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ТУЛЬСКИЙ РЕГИОНАЛЬНЫЙ ФИЛИАЛ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АО «РОССЕЛЬХОЗБАНК»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ТАРИФЫ КОМИССИОННОГО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ВОЗНАГРАЖДЕНИЯ НА УСЛУГИ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ИНДИВИДУАЛЬНЫМ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ПРЕДПРИНИМАТЕЛЯМ И ФИЗИЧЕСКИМ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ЛИЦАМ, ЗАНИМАЮЩИМСЯ В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УСТАНОВЛЕННОМ ЗАКОНОДАТЕЛЬСТВОМ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РОССИЙКОЙ ФЕДЕРАЦИИ ПОРЯДКЕ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ЧАСТНОЙ ПРАКТИКОЙ</w:t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действуют с 1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3.08.2025г.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065" cy="1217295"/>
                <wp:effectExtent l="0" t="0" r="635" b="190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90734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062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5pt;height:95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  <w:r/>
    </w:p>
    <w:p>
      <w:r>
        <w:rPr>
          <w:b/>
          <w:caps/>
          <w:sz w:val="22"/>
          <w:highlight w:val="none"/>
        </w:rPr>
      </w:r>
      <w:r/>
      <w:r/>
    </w:p>
    <w:p>
      <w:pPr>
        <w:rPr>
          <w:b/>
          <w:bCs/>
          <w:caps/>
          <w:sz w:val="22"/>
          <w:szCs w:val="22"/>
          <w:highlight w:val="none"/>
        </w:rPr>
      </w:pPr>
      <w:r>
        <w:rPr>
          <w:b/>
          <w:caps/>
          <w:sz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</w:p>
    <w:p>
      <w:pPr>
        <w:rPr>
          <w:b/>
          <w:bCs/>
          <w:caps/>
          <w:sz w:val="22"/>
          <w:szCs w:val="22"/>
          <w:highlight w:val="none"/>
        </w:rPr>
      </w:pPr>
      <w:r>
        <w:rPr>
          <w:b/>
          <w:caps/>
          <w:sz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6"/>
        <w:gridCol w:w="5929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25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Департамент транзакционного бизнеса </w:t>
            </w:r>
            <w:r>
              <w:rPr>
                <w:color w:val="000000"/>
                <w:lang w:eastAsia="en-US"/>
              </w:rPr>
              <w:t xml:space="preserve">(ДТБ)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25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rFonts w:eastAsia="Calibri"/>
                <w:lang w:eastAsia="en-US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25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1</w:t>
            </w:r>
            <w:r>
              <w:rPr>
                <w:color w:val="000000"/>
                <w:lang w:eastAsia="en-US"/>
              </w:rPr>
              <w:t xml:space="preserve">-13/04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25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pStyle w:val="1125"/>
              <w:spacing w:line="300" w:lineRule="auto"/>
              <w:rPr>
                <w:b/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pStyle w:val="1125"/>
              <w:jc w:val="both"/>
              <w:spacing w:line="300" w:lineRule="auto"/>
              <w:rPr>
                <w:color w:val="000000"/>
                <w:lang w:eastAsia="en-US"/>
              </w:rPr>
              <w:framePr w:hSpace="180" w:wrap="around" w:vAnchor="text" w:hAnchor="margin" w:xAlign="center" w:y="56"/>
            </w:pPr>
            <w:r>
              <w:rPr>
                <w:rFonts w:eastAsia="Calibri"/>
                <w:lang w:eastAsia="en-US"/>
              </w:rPr>
              <w:t xml:space="preserve">ГО/ВСП ГО/РФ/ВСП РФ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rPr>
          <w:b w:val="0"/>
          <w:bCs w:val="0"/>
          <w:caps/>
          <w:sz w:val="22"/>
          <w:szCs w:val="22"/>
          <w:highlight w:val="none"/>
        </w:rPr>
      </w:pPr>
      <w:r>
        <w:br w:type="page" w:clear="all"/>
      </w:r>
      <w:r>
        <w:rPr>
          <w:b w:val="0"/>
          <w:bCs w:val="0"/>
          <w:caps/>
          <w:sz w:val="22"/>
          <w:szCs w:val="22"/>
        </w:rPr>
        <w:t xml:space="preserve">Содержание:</w:t>
      </w: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caps/>
          <w:sz w:val="22"/>
          <w:szCs w:val="22"/>
          <w:highlight w:val="none"/>
        </w:rPr>
      </w:pP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caps/>
          <w:sz w:val="22"/>
          <w:szCs w:val="22"/>
          <w:highlight w:val="none"/>
        </w:rPr>
      </w:pP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begin"/>
      </w:r>
      <w:r>
        <w:rPr>
          <w:b w:val="0"/>
          <w:bCs w:val="0"/>
          <w:color w:val="000000" w:themeColor="text1"/>
          <w:sz w:val="22"/>
          <w:szCs w:val="22"/>
          <w:u w:val="none"/>
        </w:rPr>
        <w:instrText xml:space="preserve"> TOC \o "4-4" \h \z \u </w:instrText>
      </w: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separate"/>
      </w:r>
      <w:hyperlink r:id="rId13" w:tooltip="file:///N:\ВЫДЕЛЕННЫЕ%20РЕСУРСЫ\Тарифы\Тарифы%20ЮЛ%202023\Тарифы%20ЮЛ%20изм%20№%20119%20с%2001.10.2023\Новая%20папка\Тар.%20юр.лица%20Тульский%20РФ_%2006-10-23.docx#_Toc64472176" w:anchor="_Toc64472176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Открытие и ведение счетов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begin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instrText xml:space="preserve"> PAGEREF _Toc64472176 \h </w:instrTex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separate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end"/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4" w:tooltip="file:///N:\ВЫДЕЛЕННЫЕ%20РЕСУРСЫ\Тарифы\Тарифы%20ЮЛ%202023\Тарифы%20ЮЛ%20изм%20№%20119%20с%2001.10.2023\Новая%20папка\Тар.%20юр.лица%20Тульский%20РФ_%2006-10-23.docx#_Toc64472177" w:anchor="_Toc64472177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2.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Кассовые операции*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begin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instrText xml:space="preserve"> PAGEREF _Toc64472177 \h </w:instrTex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end"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23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5" w:tooltip="file:///N:\ВЫДЕЛЕННЫЕ%20РЕСУРСЫ\Тарифы\Тарифы%20ЮЛ%202023\Тарифы%20ЮЛ%20изм%20№%20119%20с%2001.10.2023\Новая%20папка\Тар.%20юр.лица%20Тульский%20РФ_%2006-10-23.docx#_Toc64472178" w:anchor="_Toc64472178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3.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Выполнение функций агента валютного контроля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27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6" w:tooltip="file:///N:\ВЫДЕЛЕННЫЕ%20РЕСУРСЫ\Тарифы\Тарифы%20ЮЛ%202023\Тарифы%20ЮЛ%20изм%20№%20119%20с%2001.10.2023\Новая%20папка\Тар.%20юр.лица%20Тульский%20РФ_%2006-10-23.docx#_Toc64472179" w:anchor="_Toc64472179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(размер тарифов указан без учета НДС)*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30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7" w:tooltip="file:///N:\ВЫДЕЛЕННЫЕ%20РЕСУРСЫ\Тарифы\Тарифы%20ЮЛ%202023\Тарифы%20ЮЛ%20изм%20№%20119%20с%2001.10.2023\Новая%20папка\Тар.%20юр.лица%20Тульский%20РФ_%2006-10-23.docx#_Toc64472180" w:anchor="_Toc64472180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4.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ценными бумагами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3</w:t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8" w:tooltip="file:///N:\ВЫДЕЛЕННЫЕ%20РЕСУРСЫ\Тарифы\Тарифы%20ЮЛ%202023\Тарифы%20ЮЛ%20изм%20№%20119%20с%2001.10.2023\Новая%20папка\Тар.%20юр.лица%20Тульский%20РФ_%2006-10-23.docx#_Toc64472181" w:anchor="_Toc64472181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5.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Документарные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32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9" w:tooltip="file:///N:\ВЫДЕЛЕННЫЕ%20РЕСУРСЫ\Тарифы\Тарифы%20ЮЛ%202023\Тарифы%20ЮЛ%20изм%20№%20119%20с%2001.10.2023\Новая%20папка\Тар.%20юр.лица%20Тульский%20РФ_%2006-10-23.docx#_Toc64472182" w:anchor="_Toc64472182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6.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Гарантийные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39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0" w:tooltip="file:///N:\ВЫДЕЛЕННЫЕ%20РЕСУРСЫ\Тарифы\Тарифы%20ЮЛ%202023\Тарифы%20ЮЛ%20изм%20№%20119%20с%2001.10.2023\Новая%20папка\Тар.%20юр.лица%20Тульский%20РФ_%2006-10-23.docx#_Toc64472183" w:anchor="_Toc64472183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7.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Дистанционное банковское обслуживание (ДБО)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42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1" w:tooltip="file:///N:\ВЫДЕЛЕННЫЕ%20РЕСУРСЫ\Тарифы\Тарифы%20ЮЛ%202023\Тарифы%20ЮЛ%20изм%20№%20119%20с%2001.10.2023\Новая%20папка\Тар.%20юр.лица%20Тульский%20РФ_%2006-10-23.docx#_Toc64472184" w:anchor="_Toc64472184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8.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Хранение ценностей клиентов в хранилище ценностей Банка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48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2" w:tooltip="file:///N:\ВЫДЕЛЕННЫЕ%20РЕСУРСЫ\Тарифы\Тарифы%20ЮЛ%202023\Тарифы%20ЮЛ%20изм%20№%20119%20с%2001.10.2023\Новая%20папка\Тар.%20юр.лица%20Тульский%20РФ_%2006-10-23.docx#_Toc64472185" w:anchor="_Toc64472185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9.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по предоставлению клиентам в аренду индивидуальных сейфовых ячеек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49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3" w:tooltip="file:///N:\ВЫДЕЛЕННЫЕ%20РЕСУРСЫ\Тарифы\Тарифы%20ЮЛ%202023\Тарифы%20ЮЛ%20изм%20№%20119%20с%2001.10.2023\Новая%20папка\Тар.%20юр.лица%20Тульский%20РФ_%2006-10-23.docx#_Toc64472186" w:anchor="_Toc64472186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10.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Услуги инкассации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50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4" w:tooltip="file:///N:\ВЫДЕЛЕННЫЕ%20РЕСУРСЫ\Тарифы\Тарифы%20ЮЛ%202023\Тарифы%20ЮЛ%20изм%20№%20119%20с%2001.10.2023\Новая%20папка\Тар.%20юр.лица%20Тульский%20РФ_%2006-10-23.docx#_Toc64472187" w:anchor="_Toc64472187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11.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по покупке-продаже иностранной валюты¹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51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5" w:tooltip="file:///N:\ВЫДЕЛЕННЫЕ%20РЕСУРСЫ\Тарифы\Тарифы%20ЮЛ%202023\Тарифы%20ЮЛ%20изм%20№%20119%20с%2001.10.2023\Новая%20папка\Тар.%20юр.лица%20Тульский%20РФ_%2006-10-23.docx#_Toc64472188" w:anchor="_Toc64472188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12.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Кредитные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52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6" w:tooltip="file:///N:\ВЫДЕЛЕННЫЕ%20РЕСУРСЫ\Тарифы\Тарифы%20ЮЛ%202023\Тарифы%20ЮЛ%20изм%20№%20119%20с%2001.10.2023\Новая%20папка\Тар.%20юр.лица%20Тульский%20РФ_%2006-10-23.docx#_Toc64472189" w:anchor="_Toc64472189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13.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Обслуживание торгово-сервисных предприятий*, принимающих к оплате платежные карты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63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7" w:tooltip="file:///N:\ВЫДЕЛЕННЫЕ%20РЕСУРСЫ\Тарифы\Тарифы%20ЮЛ%202023\Тарифы%20ЮЛ%20изм%20№%20119%20с%2001.10.2023\Новая%20папка\Тар.%20юр.лица%20Тульский%20РФ_%2006-10-23.docx#_Toc64472190" w:anchor="_Toc64472190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14.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Депозитарные услуги 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65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8" w:tooltip="file:///N:\ВЫДЕЛЕННЫЕ%20РЕСУРСЫ\Тарифы\Тарифы%20ЮЛ%202023\Тарифы%20ЮЛ%20изм%20№%20119%20с%2001.10.2023\Новая%20папка\Тар.%20юр.лица%20Тульский%20РФ_%2006-10-23.docx#_Toc64472191" w:anchor="_Toc64472191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15.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монетами из драгоценных металлов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69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9" w:tooltip="file:///N:\ВЫДЕЛЕННЫЕ%20РЕСУРСЫ\Тарифы\Тарифы%20ЮЛ%202023\Тарифы%20ЮЛ%20изм%20№%20119%20с%2001.10.2023\Новая%20папка\Тар.%20юр.лица%20Тульский%20РФ_%2006-10-23.docx#_Toc64472192" w:anchor="_Toc64472192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16.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драгоценными металлами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70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30" w:tooltip="file:///N:\ВЫДЕЛЕННЫЕ%20РЕСУРСЫ\Тарифы\Тарифы%20ЮЛ%202023\Тарифы%20ЮЛ%20изм%20№%20119%20с%2001.10.2023\Новая%20папка\Тар.%20юр.лица%20Тульский%20РФ_%2006-10-23.docx#_Toc64472193" w:anchor="_Toc64472193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</w:rPr>
        <w:t xml:space="preserve">71</w:t>
      </w:r>
      <w:r>
        <w:rPr>
          <w:b w:val="0"/>
          <w:bCs w:val="0"/>
          <w:color w:val="000000" w:themeColor="text1"/>
          <w:sz w:val="22"/>
          <w:szCs w:val="22"/>
          <w:u w:val="none"/>
        </w:rPr>
      </w:r>
      <w:r>
        <w:rPr>
          <w:b w:val="0"/>
          <w:bCs w:val="0"/>
          <w:color w:val="000000" w:themeColor="text1"/>
          <w:sz w:val="22"/>
          <w:szCs w:val="22"/>
          <w:u w:val="none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color w:val="000000" w:themeColor="text1"/>
          <w:sz w:val="22"/>
          <w:szCs w:val="22"/>
        </w:rPr>
      </w:pPr>
      <w:r>
        <w:rPr>
          <w:rStyle w:val="1145"/>
          <w:b w:val="0"/>
          <w:bCs w:val="0"/>
          <w:color w:val="000000" w:themeColor="text1"/>
          <w:sz w:val="22"/>
          <w:szCs w:val="22"/>
          <w:u w:val="none"/>
        </w:rPr>
        <w:t xml:space="preserve">18.  Операции с использованием цифрового рубля  </w:t>
      </w: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end"/>
      </w:r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…</w:t>
      </w:r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              ………………………</w:t>
      </w:r>
      <w:r>
        <w:rPr>
          <w:bCs/>
          <w:color w:val="000000" w:themeColor="text1"/>
          <w:sz w:val="22"/>
          <w:szCs w:val="22"/>
          <w:u w:val="none"/>
        </w:rPr>
        <w:t xml:space="preserve">……………………..73</w:t>
      </w:r>
      <w:r>
        <w:rPr>
          <w:color w:val="000000" w:themeColor="text1"/>
          <w:sz w:val="22"/>
          <w:szCs w:val="22"/>
          <w:u w:val="none"/>
        </w:rPr>
      </w:r>
      <w:r>
        <w:rPr>
          <w:color w:val="000000" w:themeColor="text1"/>
          <w:sz w:val="22"/>
          <w:szCs w:val="22"/>
          <w:u w:val="none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</w:p>
    <w:p>
      <w:r/>
      <w:r/>
    </w:p>
    <w:p>
      <w:r/>
      <w:r/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ТАРИФЫ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КОМИССИОННОГО ВОЗНАГРАЖДЕНИЯ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НА УСЛУГИ ТУЛЬСКОГО РЕГИОНАЛЬНОГО ФИЛИАЛА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/>
    </w:p>
    <w:p>
      <w:r/>
      <w:r/>
    </w:p>
    <w:p>
      <w:pPr>
        <w:pStyle w:val="1129"/>
        <w:numPr>
          <w:ilvl w:val="0"/>
          <w:numId w:val="2"/>
        </w:numPr>
      </w:pPr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</w:t>
      </w:r>
      <w:r>
        <w:t xml:space="preserve">ние</w:t>
      </w:r>
      <w:r>
        <w:t xml:space="preserve"> </w:t>
      </w:r>
      <w:r>
        <w:t xml:space="preserve">счетов</w:t>
      </w:r>
      <w:bookmarkEnd w:id="0"/>
      <w:r/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985"/>
        <w:gridCol w:w="3401"/>
      </w:tblGrid>
      <w:tr>
        <w:tblPrEx/>
        <w:trPr>
          <w:trHeight w:val="2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41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  <w:t xml:space="preserve">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-клиентами, включенными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номинального банковского счета, открываемого организациям, на которые возлагается исполнение обязанностей опекунов или попечителей,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1.1.3.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</w:t>
            </w:r>
            <w:r>
              <w:rPr>
                <w:sz w:val="20"/>
                <w:szCs w:val="20"/>
              </w:rPr>
              <w:t xml:space="preserve">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bCs/>
                <w:sz w:val="20"/>
                <w:szCs w:val="20"/>
              </w:rPr>
              <w:t xml:space="preserve">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firstLine="0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-зачисление денежных средств с целью погашения дебиторской задолженности по оп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firstLine="0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41"/>
                <w:bCs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соглашением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</w:t>
            </w:r>
            <w:r>
              <w:rPr>
                <w:sz w:val="20"/>
                <w:szCs w:val="20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соответствии с п. 1.1.8 Тарифов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</w:t>
            </w:r>
            <w:r>
              <w:rPr>
                <w:sz w:val="20"/>
                <w:szCs w:val="20"/>
              </w:rPr>
              <w:t xml:space="preserve"> пенсионного и</w:t>
            </w:r>
            <w:r>
              <w:rPr>
                <w:sz w:val="20"/>
                <w:szCs w:val="20"/>
              </w:rPr>
              <w:t xml:space="preserve">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</w:t>
            </w:r>
            <w:r>
              <w:rPr>
                <w:sz w:val="20"/>
                <w:szCs w:val="20"/>
              </w:rPr>
              <w:t xml:space="preserve">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</w:t>
            </w:r>
            <w:r>
              <w:rPr>
                <w:sz w:val="20"/>
                <w:szCs w:val="20"/>
              </w:rPr>
              <w:br/>
              <w:t xml:space="preserve">в других кредитных организациях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балансо</w:t>
            </w:r>
            <w:r>
              <w:rPr>
                <w:sz w:val="20"/>
                <w:szCs w:val="20"/>
              </w:rPr>
              <w:t xml:space="preserve">вой позицией 30102, 30109,</w:t>
            </w:r>
            <w:r>
              <w:rPr>
                <w:sz w:val="20"/>
                <w:szCs w:val="20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на счета физических лиц,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 и в долларах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ff0000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-зачисление денежных средств с целью погашения дебиторской задолженности по оп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1.2.3.3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 Комиссия взимается ежемесячно в последний рабочий день мес</w:t>
            </w:r>
            <w:r>
              <w:rPr>
                <w:sz w:val="20"/>
                <w:szCs w:val="20"/>
              </w:rPr>
              <w:t xml:space="preserve">яца/в день закрытия счета, включая месяц, в котором открыт счет. Комиссия взимается независимо от наличия/отсутствия операций в течение календарного месяца. Комиссия взимается по ставке тарифа, действующей на дату начисления комиссии. Комиссия не взимается</w:t>
            </w:r>
            <w:r>
              <w:rPr>
                <w:sz w:val="20"/>
                <w:szCs w:val="20"/>
              </w:rPr>
              <w:t xml:space="preserve"> если совокупный среднедневной остаток равен нулю. 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</w:t>
            </w:r>
            <w:r>
              <w:rPr>
                <w:sz w:val="20"/>
                <w:szCs w:val="20"/>
              </w:rPr>
              <w:t xml:space="preserve">награждения Банку и на котором имеется доступный остаток, достаточный для оплаты комиссии. При расчете совокупного среднедневного остатка учитываются остатки на расчетном счете в иностранной валюте и соответствующем ему транзитном счете. Совокупный среднед</w:t>
            </w:r>
            <w:r>
              <w:rPr>
                <w:sz w:val="20"/>
                <w:szCs w:val="20"/>
              </w:rPr>
              <w:t xml:space="preserve">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</w:t>
            </w:r>
            <w:r>
              <w:rPr>
                <w:sz w:val="20"/>
                <w:szCs w:val="20"/>
              </w:rPr>
              <w:t xml:space="preserve">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16 http://www.rshb.ru/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ff0000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Перечисление/выдача</w:t>
            </w:r>
            <w:r>
              <w:rPr>
                <w:sz w:val="20"/>
                <w:szCs w:val="20"/>
              </w:rPr>
              <w:t xml:space="preserve">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Валюта перевода – доллары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0"/>
                <w:szCs w:val="20"/>
              </w:rPr>
              <w:t xml:space="preserve"> 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sz w:val="16"/>
          <w:szCs w:val="16"/>
        </w:rPr>
      </w:pPr>
      <w:r>
        <w:rPr>
          <w:iCs/>
          <w:sz w:val="20"/>
          <w:szCs w:val="20"/>
        </w:rPr>
        <w:t xml:space="preserve">* </w:t>
      </w:r>
      <w:r>
        <w:rPr>
          <w:sz w:val="16"/>
          <w:szCs w:val="16"/>
        </w:rPr>
        <w:t xml:space="preserve">Срок действия – до 31 декабря 2025 года (включительно).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60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Венгерский форинт;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Японская йена.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40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0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0"/>
        <w:ind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</w:t>
      </w:r>
      <w:r>
        <w:rPr>
          <w:i/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</w:t>
      </w:r>
      <w:r>
        <w:rPr>
          <w:i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bCs/>
          <w:i/>
          <w:sz w:val="16"/>
          <w:szCs w:val="16"/>
        </w:rPr>
        <w:t xml:space="preserve">Без взимания комиссии в Банке открываются и обслуживаются: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1" w:name="_Toc64472177"/>
      <w:r>
        <w:t xml:space="preserve">Кассовые</w:t>
      </w:r>
      <w:r>
        <w:t xml:space="preserve"> </w:t>
      </w:r>
      <w:r>
        <w:t xml:space="preserve">операции</w:t>
      </w:r>
      <w:r>
        <w:t xml:space="preserve">*</w:t>
      </w:r>
      <w:bookmarkEnd w:id="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39"/>
        <w:gridCol w:w="3865"/>
        <w:gridCol w:w="1957"/>
        <w:gridCol w:w="3452"/>
        <w:gridCol w:w="235"/>
      </w:tblGrid>
      <w:tr>
        <w:tblPrEx/>
        <w:trPr>
          <w:gridAfter w:val="1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руб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</w:t>
            </w:r>
            <w:r>
              <w:rPr>
                <w:bCs/>
              </w:rPr>
              <w:t xml:space="preserve"> предпринимателям, относящимся к агропромышленному </w:t>
            </w:r>
            <w:r>
              <w:rPr>
                <w:bCs/>
                <w:sz w:val="20"/>
                <w:szCs w:val="20"/>
              </w:rPr>
              <w:t xml:space="preserve">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cs="Helv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образовавшегося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излишка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недостачи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ветхих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дефектной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заявке**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</w:t>
            </w:r>
            <w:r>
              <w:rPr>
                <w:bCs/>
                <w:sz w:val="20"/>
                <w:szCs w:val="20"/>
              </w:rPr>
              <w:t xml:space="preserve">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(группы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услуги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взимается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момент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если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конкретным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пунктом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Тарифов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предусмотрено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Предварительная заявка клиента – это письменное заявление</w:t>
      </w:r>
      <w:r>
        <w:rPr>
          <w:i/>
          <w:sz w:val="16"/>
          <w:szCs w:val="16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i/>
          <w:sz w:val="16"/>
          <w:szCs w:val="16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</w:t>
      </w:r>
      <w:r>
        <w:rPr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</w:t>
      </w:r>
      <w:r>
        <w:rPr>
          <w:bCs/>
          <w:i/>
          <w:sz w:val="16"/>
          <w:szCs w:val="16"/>
        </w:rPr>
        <w:t xml:space="preserve">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2" w:name="_Toc64472178"/>
      <w:r>
        <w:t xml:space="preserve">Выполнение</w:t>
      </w:r>
      <w:r>
        <w:t xml:space="preserve"> </w:t>
      </w:r>
      <w:r>
        <w:t xml:space="preserve">функций</w:t>
      </w:r>
      <w:r>
        <w:t xml:space="preserve"> </w:t>
      </w:r>
      <w:r>
        <w:t xml:space="preserve">агента</w:t>
      </w:r>
      <w:r>
        <w:t xml:space="preserve"> </w:t>
      </w:r>
      <w:r>
        <w:t xml:space="preserve">валютного</w:t>
      </w:r>
      <w:r>
        <w:t xml:space="preserve"> </w:t>
      </w:r>
      <w:r>
        <w:t xml:space="preserve">контроля</w:t>
      </w:r>
      <w:bookmarkEnd w:id="2"/>
      <w:r/>
      <w:r/>
    </w:p>
    <w:p>
      <w:pPr>
        <w:pStyle w:val="1129"/>
        <w:rPr>
          <w:i/>
        </w:rPr>
      </w:pPr>
      <w:r>
        <w:t xml:space="preserve">                         </w:t>
      </w:r>
      <w:bookmarkStart w:id="3" w:name="_Toc64472179"/>
      <w:r>
        <w:t xml:space="preserve">(размер</w:t>
      </w:r>
      <w:r>
        <w:t xml:space="preserve"> </w:t>
      </w:r>
      <w:r>
        <w:t xml:space="preserve">тарифов</w:t>
      </w:r>
      <w:r>
        <w:t xml:space="preserve"> </w:t>
      </w:r>
      <w:r>
        <w:t xml:space="preserve">указан</w:t>
      </w:r>
      <w:r>
        <w:t xml:space="preserve"> </w:t>
      </w:r>
      <w:r>
        <w:t xml:space="preserve">без</w:t>
      </w:r>
      <w:r>
        <w:t xml:space="preserve"> </w:t>
      </w:r>
      <w:r>
        <w:t xml:space="preserve">учета</w:t>
      </w:r>
      <w:r>
        <w:t xml:space="preserve"> </w:t>
      </w:r>
      <w:r>
        <w:t xml:space="preserve">НДС)*</w:t>
      </w:r>
      <w:bookmarkEnd w:id="3"/>
      <w:r>
        <w:rPr>
          <w:i/>
        </w:rPr>
      </w:r>
      <w:r>
        <w:rPr>
          <w:i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tbl>
      <w:tblPr>
        <w:tblW w:w="102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431"/>
      </w:tblGrid>
      <w:tr>
        <w:tblPrEx/>
        <w:trPr>
          <w:trHeight w:val="227"/>
          <w:tblHeader/>
        </w:trPr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миниму</w:t>
            </w:r>
            <w:r>
              <w:rPr>
                <w:sz w:val="20"/>
                <w:szCs w:val="20"/>
              </w:rPr>
              <w:t xml:space="preserve">м 500 руб., </w:t>
            </w: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- Центр розничного и малого бизнеса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использованием системы дистанционного банковского обслуживания;                                                 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</w:t>
            </w:r>
            <w:r>
              <w:rPr>
                <w:sz w:val="20"/>
                <w:szCs w:val="20"/>
              </w:rPr>
              <w:t xml:space="preserve">верждающих документах (далее – </w:t>
            </w:r>
            <w:r>
              <w:rPr>
                <w:sz w:val="20"/>
                <w:szCs w:val="20"/>
              </w:rPr>
              <w:t xml:space="preserve">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85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максимум      80 000 руб. 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i/>
          <w:sz w:val="16"/>
          <w:szCs w:val="16"/>
        </w:rPr>
        <w:t xml:space="preserve">Регламентом взаимодействия клиентов с АО «</w:t>
      </w:r>
      <w:r>
        <w:rPr>
          <w:bCs/>
          <w:i/>
          <w:sz w:val="16"/>
          <w:szCs w:val="16"/>
        </w:rPr>
        <w:t xml:space="preserve">Россельхозбанк</w:t>
      </w:r>
      <w:r>
        <w:rPr>
          <w:bCs/>
          <w:i/>
          <w:sz w:val="16"/>
          <w:szCs w:val="16"/>
        </w:rPr>
        <w:t xml:space="preserve">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i/>
          <w:sz w:val="16"/>
          <w:szCs w:val="16"/>
        </w:rPr>
        <w:t xml:space="preserve"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i/>
          <w:sz w:val="16"/>
          <w:szCs w:val="16"/>
        </w:rPr>
        <w:t xml:space="preserve">ия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5"/>
        </w:numPr>
        <w:contextualSpacing/>
        <w:ind w:left="0" w:firstLine="567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5"/>
        </w:numPr>
        <w:ind w:left="0"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</w:t>
      </w:r>
      <w:r>
        <w:rPr>
          <w:i/>
          <w:sz w:val="16"/>
          <w:szCs w:val="16"/>
        </w:rPr>
        <w:t xml:space="preserve">–</w:t>
      </w:r>
      <w:r>
        <w:rPr>
          <w:i/>
          <w:sz w:val="16"/>
          <w:szCs w:val="16"/>
        </w:rPr>
        <w:t xml:space="preserve">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</w:t>
      </w:r>
      <w:r>
        <w:rPr>
          <w:i/>
          <w:sz w:val="16"/>
          <w:szCs w:val="16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1129"/>
        <w:numPr>
          <w:ilvl w:val="0"/>
          <w:numId w:val="2"/>
        </w:numPr>
        <w:rPr>
          <w:lang w:val="en-US"/>
        </w:rPr>
      </w:pPr>
      <w:r/>
      <w:bookmarkStart w:id="4" w:name="_Toc64472180"/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4"/>
      <w:r>
        <w:rPr>
          <w:lang w:val="en-US"/>
        </w:rPr>
      </w:r>
      <w:r>
        <w:rPr>
          <w:lang w:val="en-US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5" w:name="_Toc64472181"/>
      <w:r>
        <w:t xml:space="preserve">Документарные</w:t>
      </w:r>
      <w:r>
        <w:t xml:space="preserve"> </w:t>
      </w:r>
      <w:r>
        <w:t xml:space="preserve">операции</w:t>
      </w:r>
      <w:bookmarkEnd w:id="5"/>
      <w:r/>
      <w:r/>
    </w:p>
    <w:p>
      <w:r/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2552"/>
        <w:gridCol w:w="3431"/>
      </w:tblGrid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</w:t>
            </w:r>
            <w:r>
              <w:rPr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2"/>
                <w:szCs w:val="22"/>
              </w:rPr>
              <w:t xml:space="preserve">трансферация</w:t>
            </w:r>
            <w:r>
              <w:rPr>
                <w:bCs/>
                <w:sz w:val="22"/>
                <w:szCs w:val="22"/>
              </w:rPr>
              <w:t xml:space="preserve">);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Предварительное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0"/>
                <w:szCs w:val="20"/>
              </w:rPr>
              <w:t xml:space="preserve">трансферация</w:t>
            </w:r>
            <w:r>
              <w:rPr>
                <w:bCs/>
                <w:sz w:val="20"/>
                <w:szCs w:val="20"/>
              </w:rPr>
              <w:t xml:space="preserve">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указании в наименовании услуги двух и более операций к</w:t>
      </w:r>
      <w:r>
        <w:rPr>
          <w:bCs/>
          <w:i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для расчетов по внешнеторговым сделкам (импортные аккредитивы)», </w:t>
      </w:r>
      <w:r>
        <w:rPr>
          <w:i/>
          <w:sz w:val="16"/>
          <w:szCs w:val="16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129"/>
        <w:numPr>
          <w:ilvl w:val="0"/>
          <w:numId w:val="2"/>
        </w:numPr>
      </w:pPr>
      <w:r/>
      <w:bookmarkStart w:id="6" w:name="_Toc64472182"/>
      <w:r>
        <w:t xml:space="preserve">Гарантийные</w:t>
      </w:r>
      <w:r>
        <w:t xml:space="preserve"> </w:t>
      </w:r>
      <w:r>
        <w:t xml:space="preserve">операции</w:t>
      </w:r>
      <w:bookmarkEnd w:id="6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сумма),так 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5 000 руб.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3 500 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.».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7" w:name="_Toc64472183"/>
      <w:r>
        <w:t xml:space="preserve">Дистанционное банковское обслуживание (ДБО)</w:t>
      </w:r>
      <w:bookmarkEnd w:id="7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161"/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8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Туле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Тульской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«Банк-Клиент»/«Интернет-Клиент/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6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-для клиентов «Банк-Клиент»/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«Интернет-Клиент»/«Мобильный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 «Свой бизнес»,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7.3.2-7.3.3 комиссия по    п. 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</w:t>
            </w:r>
            <w:r>
              <w:rPr>
                <w:bCs/>
                <w:sz w:val="20"/>
                <w:szCs w:val="20"/>
              </w:rPr>
              <w:t xml:space="preserve">ванному рабочему месту системы </w:t>
            </w:r>
            <w:r>
              <w:rPr>
                <w:bCs/>
                <w:sz w:val="20"/>
                <w:szCs w:val="20"/>
              </w:rPr>
              <w:t xml:space="preserve">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766"/>
              <w:jc w:val="both"/>
              <w:spacing w:after="120"/>
              <w:widowControl w:val="off"/>
              <w:tabs>
                <w:tab w:val="clear" w:pos="964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0"/>
              <w:jc w:val="both"/>
              <w:tabs>
                <w:tab w:val="left" w:pos="1134" w:leader="none"/>
              </w:tabs>
              <w:rPr>
                <w:bCs/>
              </w:rPr>
            </w:pPr>
            <w:r>
              <w:rPr>
                <w:bCs/>
              </w:rPr>
              <w:t xml:space="preserve">Тариф включает в себя НДС (дополнительно не взимается).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140"/>
              <w:jc w:val="both"/>
              <w:tabs>
                <w:tab w:val="left" w:pos="1134" w:leader="none"/>
              </w:tabs>
              <w:rPr>
                <w:bCs/>
              </w:rPr>
            </w:pPr>
            <w: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</w:t>
            </w:r>
            <w:r>
              <w:rPr>
                <w:sz w:val="20"/>
                <w:szCs w:val="20"/>
              </w:rPr>
              <w:t xml:space="preserve">ие 45 дней </w:t>
            </w:r>
            <w:r>
              <w:rPr>
                <w:sz w:val="20"/>
                <w:szCs w:val="20"/>
              </w:rPr>
              <w:t xml:space="preserve">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</w:t>
            </w:r>
            <w:r>
              <w:rPr>
                <w:sz w:val="20"/>
                <w:szCs w:val="20"/>
              </w:rPr>
              <w:t xml:space="preserve">вления Субъекту информационного </w:t>
            </w:r>
            <w:r>
              <w:rPr>
                <w:sz w:val="20"/>
                <w:szCs w:val="20"/>
              </w:rPr>
              <w:t xml:space="preserve">обмена  сертификата ключа проверки электронной подписи.                  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6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2 050,00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6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предоставляется в соответствии с п.7.6.2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</w:t>
            </w:r>
            <w:r>
              <w:rPr>
                <w:sz w:val="20"/>
                <w:szCs w:val="20"/>
                <w:lang w:val="en-US"/>
              </w:rPr>
              <w:t xml:space="preserve">SMS </w:t>
            </w:r>
            <w:r>
              <w:rPr>
                <w:sz w:val="20"/>
                <w:szCs w:val="20"/>
              </w:rPr>
              <w:t xml:space="preserve">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Комиссионное вознаграждение (абонентская плата) </w:t>
            </w:r>
            <w:r>
              <w:br/>
              <w:t xml:space="preserve">за сервис </w:t>
            </w:r>
            <w:r>
              <w:t xml:space="preserve">«</w:t>
            </w:r>
            <w:r>
              <w:rPr>
                <w:lang w:val="en-US"/>
              </w:rPr>
              <w:t xml:space="preserve">SMS</w:t>
            </w:r>
            <w:r>
              <w:t xml:space="preserve"> информирование» (далее – Сервис) в рамках операций по счетам Клиента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189 руб. ежемесячно за каждый банковский счет, подключенный </w:t>
            </w:r>
            <w:r>
              <w:br/>
              <w:t xml:space="preserve">к Сервису, </w:t>
            </w:r>
            <w:r>
              <w:br/>
              <w:t xml:space="preserve">и за каждый телефонный номер</w:t>
            </w:r>
            <w:r/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подключении Сервиса до 15-го числа календарного месяца комиссия за текущий месяц взимается </w:t>
            </w:r>
            <w: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br/>
              <w:t xml:space="preserve">за текущий месяц взимается в размере 50% от расчетной величины. </w:t>
            </w:r>
            <w:r/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</w:t>
            </w:r>
            <w: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/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12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7.10.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pStyle w:val="1125"/>
              <w:jc w:val="center"/>
              <w:spacing w:before="40" w:after="4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</w:r>
            <w:r>
              <w:rPr>
                <w:bCs/>
                <w:color w:val="ff0000"/>
                <w:sz w:val="20"/>
                <w:szCs w:val="20"/>
              </w:rPr>
            </w:r>
            <w:r>
              <w:rPr>
                <w:bCs/>
                <w:color w:val="ff0000"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Комиссия взимается с Контролирующей организации*** ежемесячно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12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7.11.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ж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организации*** ежемесячно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/>
          <w:sz w:val="16"/>
          <w:szCs w:val="16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pStyle w:val="1140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* Под обязательствами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кредитным сделкам понимаются:</w:t>
      </w:r>
      <w:r>
        <w:rPr>
          <w:i w:val="0"/>
          <w:iCs w:val="0"/>
          <w:sz w:val="18"/>
          <w:szCs w:val="18"/>
        </w:rPr>
      </w:r>
      <w:r>
        <w:rPr>
          <w:i w:val="0"/>
          <w:iCs w:val="0"/>
          <w:sz w:val="18"/>
          <w:szCs w:val="18"/>
        </w:rPr>
      </w:r>
    </w:p>
    <w:p>
      <w:pPr>
        <w:pStyle w:val="1140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 w:val="0"/>
          <w:iCs w:val="0"/>
          <w:sz w:val="18"/>
          <w:szCs w:val="18"/>
        </w:rPr>
      </w:r>
      <w:r>
        <w:rPr>
          <w:i w:val="0"/>
          <w:iCs w:val="0"/>
          <w:sz w:val="18"/>
          <w:szCs w:val="18"/>
        </w:rPr>
      </w:r>
    </w:p>
    <w:p>
      <w:pPr>
        <w:jc w:val="both"/>
        <w:tabs>
          <w:tab w:val="left" w:pos="1134" w:leader="none"/>
        </w:tabs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 w:val="0"/>
          <w:iCs w:val="0"/>
          <w:sz w:val="18"/>
          <w:szCs w:val="18"/>
        </w:rPr>
      </w:r>
      <w:r>
        <w:rPr>
          <w:i w:val="0"/>
          <w:iCs w:val="0"/>
          <w:sz w:val="18"/>
          <w:szCs w:val="18"/>
        </w:rPr>
      </w:r>
    </w:p>
    <w:p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*</w:t>
      </w:r>
      <w:r>
        <w:rPr>
          <w:rFonts w:eastAsia="Calibri"/>
          <w:color w:val="ff0000"/>
          <w:sz w:val="20"/>
          <w:szCs w:val="20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color w:val="ff0000"/>
          <w:sz w:val="20"/>
          <w:szCs w:val="20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ff0000"/>
          <w:sz w:val="20"/>
          <w:szCs w:val="20"/>
          <w:highlight w:val="none"/>
          <w:lang w:eastAsia="en-US"/>
        </w:rPr>
        <w:t xml:space="preserve"> или </w:t>
      </w:r>
      <w:r>
        <w:rPr>
          <w:rFonts w:eastAsia="Calibri"/>
          <w:color w:val="ff0000"/>
          <w:sz w:val="20"/>
          <w:szCs w:val="20"/>
          <w:lang w:eastAsia="en-US"/>
        </w:rPr>
        <w:t xml:space="preserve">Федеральным законом </w:t>
      </w:r>
      <w:r>
        <w:rPr>
          <w:color w:val="ff0000"/>
          <w:sz w:val="20"/>
          <w:szCs w:val="20"/>
        </w:rPr>
        <w:t xml:space="preserve">от 07.05.1998 №</w:t>
      </w:r>
      <w:r>
        <w:rPr>
          <w:color w:val="ff0000"/>
          <w:sz w:val="20"/>
          <w:szCs w:val="20"/>
        </w:rPr>
        <w:t xml:space="preserve"> </w:t>
      </w:r>
      <w:r>
        <w:rPr>
          <w:color w:val="ff0000"/>
          <w:sz w:val="20"/>
          <w:szCs w:val="20"/>
        </w:rPr>
        <w:t xml:space="preserve">75-ФЗ «О негосударственных пенсионных фондах»,</w:t>
      </w:r>
      <w:r>
        <w:rPr>
          <w:rFonts w:eastAsia="Calibri"/>
          <w:color w:val="ff0000"/>
          <w:sz w:val="20"/>
          <w:szCs w:val="20"/>
          <w:highlight w:val="none"/>
          <w:lang w:eastAsia="en-US"/>
        </w:rPr>
        <w:t xml:space="preserve"> </w:t>
      </w:r>
      <w:r>
        <w:rPr>
          <w:rFonts w:eastAsia="Calibri"/>
          <w:color w:val="ff0000"/>
          <w:sz w:val="20"/>
          <w:szCs w:val="20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ff0000"/>
          <w:sz w:val="20"/>
          <w:szCs w:val="20"/>
          <w:highlight w:val="none"/>
          <w:lang w:eastAsia="en-US"/>
        </w:rPr>
        <w:t xml:space="preserve">.</w:t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rPr>
          <w:bCs/>
          <w:i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rPr>
          <w:bCs/>
          <w:i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rPr>
          <w:i/>
          <w:iCs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u w:val="single"/>
        </w:rPr>
        <w:t xml:space="preserve">Примечание:</w:t>
      </w:r>
      <w:r>
        <w:rPr>
          <w:i/>
          <w:iCs/>
          <w:sz w:val="16"/>
          <w:szCs w:val="16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rPr>
          <w:bCs/>
          <w:i/>
          <w:iCs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i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i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обслуживание бюджетных (некоммерческих) учреждений осуществляется бесплатно.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 xml:space="preserve"> В </w:t>
      </w:r>
      <w:r>
        <w:rPr>
          <w:bCs/>
          <w:i/>
          <w:iCs/>
          <w:sz w:val="16"/>
          <w:szCs w:val="16"/>
        </w:rPr>
        <w:t xml:space="preserve">случае если на момент оказания услуги клиент не имеет счетов, открытых в АО «</w:t>
      </w:r>
      <w:r>
        <w:rPr>
          <w:bCs/>
          <w:i/>
          <w:iCs/>
          <w:sz w:val="16"/>
          <w:szCs w:val="16"/>
        </w:rPr>
        <w:t xml:space="preserve">Россельхозбанк</w:t>
      </w:r>
      <w:r>
        <w:rPr>
          <w:bCs/>
          <w:i/>
          <w:iCs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</w:t>
      </w:r>
      <w:r>
        <w:rPr>
          <w:bCs/>
          <w:i/>
          <w:iCs/>
          <w:sz w:val="16"/>
          <w:szCs w:val="16"/>
        </w:rPr>
        <w:tab/>
      </w:r>
      <w:r>
        <w:rPr>
          <w:i/>
          <w:sz w:val="16"/>
          <w:szCs w:val="16"/>
        </w:rPr>
        <w:t xml:space="preserve">По операциям, совершаемым через «Мобильный банк»/ «Мобильное приложение «Свой Бизнес </w:t>
      </w:r>
      <w:r>
        <w:rPr>
          <w:i/>
          <w:sz w:val="16"/>
          <w:szCs w:val="16"/>
        </w:rPr>
        <w:t xml:space="preserve">Мобайл</w:t>
      </w:r>
      <w:r>
        <w:rPr>
          <w:i/>
          <w:sz w:val="16"/>
          <w:szCs w:val="16"/>
        </w:rPr>
        <w:t xml:space="preserve">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5"/>
        <w:rPr>
          <w:i/>
          <w:iCs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  <w:t xml:space="preserve">5. </w:t>
      </w:r>
      <w:r>
        <w:rPr>
          <w:i/>
          <w:iCs/>
          <w:color w:val="ff0000"/>
          <w:sz w:val="16"/>
          <w:szCs w:val="16"/>
        </w:rPr>
        <w:t xml:space="preserve">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</w:t>
      </w:r>
      <w:r>
        <w:rPr>
          <w:i/>
          <w:iCs/>
          <w:color w:val="ff0000"/>
          <w:sz w:val="16"/>
          <w:szCs w:val="16"/>
        </w:rPr>
        <w:t xml:space="preserve">о</w:t>
      </w:r>
      <w:r>
        <w:rPr>
          <w:i/>
          <w:iCs/>
          <w:color w:val="ff0000"/>
          <w:sz w:val="16"/>
          <w:szCs w:val="16"/>
        </w:rPr>
        <w:t xml:space="preserve">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</w:t>
      </w:r>
      <w:r>
        <w:rPr>
          <w:i/>
          <w:iCs/>
          <w:color w:val="ff0000"/>
          <w:sz w:val="16"/>
          <w:szCs w:val="16"/>
        </w:rPr>
        <w:t xml:space="preserve">ж</w:t>
      </w:r>
      <w:r>
        <w:rPr>
          <w:i/>
          <w:iCs/>
          <w:color w:val="ff0000"/>
          <w:sz w:val="16"/>
          <w:szCs w:val="16"/>
        </w:rPr>
        <w:t xml:space="preserve">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</w:t>
      </w:r>
      <w:r>
        <w:rPr>
          <w:i/>
          <w:iCs/>
          <w:color w:val="ff0000"/>
          <w:sz w:val="16"/>
          <w:szCs w:val="16"/>
        </w:rPr>
        <w:t xml:space="preserve">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i/>
          <w:iCs/>
          <w:color w:val="ff0000"/>
          <w:sz w:val="16"/>
          <w:szCs w:val="16"/>
        </w:rPr>
      </w:r>
      <w:r>
        <w:rPr>
          <w:i/>
          <w:iCs/>
          <w:color w:val="ff0000"/>
          <w:sz w:val="16"/>
          <w:szCs w:val="16"/>
        </w:rPr>
      </w:r>
    </w:p>
    <w:p>
      <w:pPr>
        <w:pStyle w:val="1_40146"/>
      </w:pPr>
      <w:r>
        <w:rPr>
          <w:highlight w:val="none"/>
        </w:rPr>
      </w:r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8" w:name="_Toc64472184"/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8"/>
      <w:r/>
      <w:r/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(с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учетом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НДС)</w:t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$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r/>
      <w:r/>
    </w:p>
    <w:p>
      <w:pPr>
        <w:pStyle w:val="1129"/>
        <w:numPr>
          <w:ilvl w:val="0"/>
          <w:numId w:val="2"/>
        </w:numPr>
      </w:pPr>
      <w:r/>
      <w:bookmarkStart w:id="9" w:name="_Toc64472185"/>
      <w:r>
        <w:t xml:space="preserve">Операции по предоставлению клиентам в аренду индивидуальных сейфовых ячеек</w:t>
      </w:r>
      <w:bookmarkEnd w:id="9"/>
      <w:r/>
      <w:r/>
    </w:p>
    <w:p>
      <w:r/>
      <w:r/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76,2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127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254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381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0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10" w:name="_Toc64472186"/>
      <w:r>
        <w:t xml:space="preserve">Услуги</w:t>
      </w:r>
      <w:r>
        <w:t xml:space="preserve"> </w:t>
      </w:r>
      <w:r>
        <w:t xml:space="preserve">инкассации</w:t>
      </w:r>
      <w:bookmarkEnd w:id="10"/>
      <w:r>
        <w:t xml:space="preserve"> </w:t>
      </w:r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290"/>
      </w:tblGrid>
      <w:tr>
        <w:tblPrEx/>
        <w:trPr>
          <w:trHeight w:val="33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Примечание</w:t>
      </w:r>
      <w:r>
        <w:rPr>
          <w:bCs/>
          <w:i/>
          <w:sz w:val="16"/>
          <w:szCs w:val="16"/>
        </w:rPr>
        <w:t xml:space="preserve">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Cs/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27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>
        <w:rPr>
          <w:b/>
          <w:i/>
          <w:sz w:val="16"/>
          <w:szCs w:val="16"/>
        </w:rPr>
        <w:t xml:space="preserve">Заезд</w:t>
      </w:r>
      <w:r>
        <w:rPr>
          <w:i/>
          <w:sz w:val="16"/>
          <w:szCs w:val="16"/>
        </w:rPr>
        <w:t xml:space="preserve"> – прибытие бригады инка</w:t>
      </w:r>
      <w:r>
        <w:rPr>
          <w:i/>
          <w:sz w:val="16"/>
          <w:szCs w:val="16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</w:t>
      </w:r>
      <w:r>
        <w:rPr>
          <w:b/>
          <w:i/>
          <w:sz w:val="16"/>
          <w:szCs w:val="16"/>
        </w:rPr>
        <w:t xml:space="preserve">Объект инкассации</w:t>
      </w:r>
      <w:r>
        <w:rPr>
          <w:i/>
          <w:sz w:val="16"/>
          <w:szCs w:val="16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11" w:name="_Toc64472187"/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t xml:space="preserve">¹</w:t>
      </w:r>
      <w:bookmarkEnd w:id="11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588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Операции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обязательной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продаже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части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выручки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внутреннем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рынке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Российской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Федерации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осуществляются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правилам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11.1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настоящих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Тарифов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учетом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требований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нормативных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документов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Банка России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установленным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размером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расчетной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комиссии,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действующим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соответствующую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совершения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операции²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</w:t>
      </w:r>
      <w:r>
        <w:rPr>
          <w:i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1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Покупка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продажа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непосредственно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только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которым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головным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офисом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установлены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соответствующие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2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имеет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право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изменять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течение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дня.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3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указанных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п.п.11.1-11.2,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действующий(</w:t>
      </w:r>
      <w:r>
        <w:rPr>
          <w:i/>
          <w:sz w:val="16"/>
          <w:szCs w:val="16"/>
        </w:rPr>
        <w:t xml:space="preserve">ие</w:t>
      </w:r>
      <w:r>
        <w:rPr>
          <w:i/>
          <w:sz w:val="16"/>
          <w:szCs w:val="16"/>
        </w:rPr>
        <w:t xml:space="preserve"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дату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время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сообщаются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клиенту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после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приема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исполнению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</w:p>
    <w:p>
      <w:pPr>
        <w:pStyle w:val="1129"/>
        <w:numPr>
          <w:ilvl w:val="0"/>
          <w:numId w:val="2"/>
        </w:numPr>
        <w:rPr>
          <w:color w:val="ff0000"/>
        </w:rPr>
      </w:pPr>
      <w:r/>
      <w:bookmarkStart w:id="12" w:name="_Toc64472188"/>
      <w:r>
        <w:rPr>
          <w:color w:val="ff0000"/>
        </w:rPr>
        <w:t xml:space="preserve">Кредитные</w:t>
      </w:r>
      <w:r>
        <w:rPr>
          <w:color w:val="ff0000"/>
        </w:rPr>
        <w:t xml:space="preserve"> </w:t>
      </w:r>
      <w:r>
        <w:rPr>
          <w:color w:val="ff0000"/>
        </w:rPr>
        <w:t xml:space="preserve">операции</w:t>
      </w:r>
      <w:bookmarkEnd w:id="12"/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способами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открытия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банковского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счета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(овердрафт)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0,8%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0,1%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</w:t>
            </w:r>
            <w:r>
              <w:rPr>
                <w:bCs/>
                <w:sz w:val="20"/>
                <w:szCs w:val="20"/>
              </w:rPr>
              <w:t xml:space="preserve">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t xml:space="preserve">АО«Россельхозбанк</w:t>
            </w:r>
            <w:r>
              <w:rPr>
                <w:bCs/>
                <w:sz w:val="20"/>
                <w:szCs w:val="20"/>
              </w:rPr>
              <w:t xml:space="preserve">» № 738-П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Обслуживание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«овердрафт»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действия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0,5%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годовых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(бронирование)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41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3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срока(-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color w:val="auto"/>
                <w:sz w:val="20"/>
                <w:szCs w:val="20"/>
              </w:rPr>
              <w:br/>
              <w:t xml:space="preserve">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</w:t>
            </w:r>
            <w:r>
              <w:rPr>
                <w:color w:val="auto"/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41"/>
                <w:color w:val="auto"/>
                <w:sz w:val="20"/>
                <w:szCs w:val="20"/>
              </w:rPr>
              <w:footnoteReference w:id="5"/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по договору об </w:t>
            </w:r>
            <w:r>
              <w:rPr>
                <w:bCs/>
                <w:color w:val="auto"/>
                <w:sz w:val="20"/>
                <w:szCs w:val="20"/>
              </w:rPr>
              <w:t xml:space="preserve">открытии кредитной линии, </w:t>
            </w:r>
            <w:r>
              <w:rPr>
                <w:bCs/>
                <w:color w:val="auto"/>
                <w:sz w:val="20"/>
                <w:szCs w:val="20"/>
              </w:rPr>
              <w:t xml:space="preserve">заключенному </w:t>
            </w:r>
            <w:r>
              <w:rPr>
                <w:color w:val="auto"/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color w:val="auto"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8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начисляется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</w:t>
            </w:r>
            <w:r>
              <w:rPr>
                <w:bCs/>
                <w:sz w:val="20"/>
                <w:szCs w:val="20"/>
              </w:rPr>
              <w:t xml:space="preserve">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процедуры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сроком(-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оставшимся(-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долга/окончательной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вышеуказанной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осрочный возврат кредита (основного долга) по инициативе заемщика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на цели, связанные с проведением сезонных работ, № 411-П 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color w:val="auto"/>
                <w:sz w:val="20"/>
                <w:szCs w:val="20"/>
              </w:rPr>
              <w:t xml:space="preserve">Микро_АПК</w:t>
            </w:r>
            <w:r>
              <w:rPr>
                <w:bCs/>
                <w:color w:val="auto"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в АО 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 656-П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при кредитовании в соответствии с Порядком рефинансирования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color w:val="auto"/>
                <w:sz w:val="20"/>
                <w:szCs w:val="20"/>
              </w:rPr>
              <w:t xml:space="preserve">Рефинанс</w:t>
            </w:r>
            <w:r>
              <w:rPr>
                <w:color w:val="auto"/>
                <w:sz w:val="20"/>
                <w:szCs w:val="20"/>
              </w:rPr>
              <w:t xml:space="preserve">»,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рамках Порядка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кредитования клиентов </w:t>
            </w:r>
            <w:r>
              <w:rPr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 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юридических лиц – публичных обществ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в рамках Генерального соглашения о порядке заключения кредитных сделок № 447-П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color w:val="auto"/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color w:val="auto"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color w:val="auto"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7"/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</w:t>
            </w:r>
            <w:r>
              <w:rPr>
                <w:color w:val="auto"/>
                <w:sz w:val="20"/>
                <w:szCs w:val="20"/>
              </w:rPr>
              <w:t xml:space="preserve">более 1,5%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1,5%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</w:t>
            </w:r>
            <w:r>
              <w:rPr>
                <w:sz w:val="20"/>
                <w:szCs w:val="20"/>
              </w:rPr>
              <w:t xml:space="preserve">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</w:t>
            </w:r>
            <w:r>
              <w:rPr>
                <w:sz w:val="20"/>
                <w:szCs w:val="20"/>
              </w:rPr>
              <w:t xml:space="preserve">- 15</w:t>
            </w:r>
            <w:r>
              <w:rPr>
                <w:sz w:val="20"/>
                <w:szCs w:val="20"/>
              </w:rPr>
              <w:t xml:space="preserve">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5" w:leader="none"/>
                <w:tab w:val="center" w:pos="8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 xml:space="preserve">Лимит кредитования</w:t>
      </w:r>
      <w:r>
        <w:rPr>
          <w:bCs/>
          <w:i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i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Примечание</w:t>
      </w:r>
      <w:r>
        <w:rPr>
          <w:bCs/>
          <w:i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</w:t>
      </w:r>
      <w:r>
        <w:rPr>
          <w:i/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20"/>
        </w:rPr>
      </w:pPr>
      <w:r>
        <w:rPr>
          <w:bCs/>
          <w:i/>
          <w:iCs/>
          <w:sz w:val="20"/>
          <w:szCs w:val="20"/>
        </w:rPr>
        <w:t xml:space="preserve">2.</w:t>
      </w:r>
      <w:r>
        <w:rPr>
          <w:bCs/>
          <w:i/>
          <w:iCs/>
          <w:sz w:val="20"/>
          <w:szCs w:val="20"/>
        </w:rPr>
        <w:tab/>
        <w:t xml:space="preserve">Установление размера(</w:t>
      </w:r>
      <w:r>
        <w:rPr>
          <w:bCs/>
          <w:i/>
          <w:iCs/>
          <w:sz w:val="20"/>
          <w:szCs w:val="20"/>
        </w:rPr>
        <w:t xml:space="preserve">ов</w:t>
      </w:r>
      <w:r>
        <w:rPr>
          <w:bCs/>
          <w:i/>
          <w:iCs/>
          <w:sz w:val="20"/>
          <w:szCs w:val="20"/>
        </w:rPr>
        <w:t xml:space="preserve">) комиссии(</w:t>
      </w:r>
      <w:r>
        <w:rPr>
          <w:bCs/>
          <w:i/>
          <w:iCs/>
          <w:sz w:val="20"/>
          <w:szCs w:val="20"/>
        </w:rPr>
        <w:t xml:space="preserve">ий</w:t>
      </w:r>
      <w:r>
        <w:rPr>
          <w:bCs/>
          <w:i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 либо Кредитного комитета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», либо Правления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both"/>
        <w:spacing w:before="120"/>
        <w:rPr>
          <w:b/>
          <w:bCs/>
          <w:i/>
          <w:iCs/>
          <w:sz w:val="20"/>
          <w:szCs w:val="20"/>
          <w:u w:val="single"/>
        </w:rPr>
        <w:outlineLvl w:val="5"/>
      </w:pPr>
      <w:r>
        <w:rPr>
          <w:b/>
          <w:bCs/>
          <w:i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20"/>
          <w:szCs w:val="20"/>
          <w:u w:val="single"/>
        </w:rPr>
      </w:r>
      <w:r>
        <w:rPr>
          <w:b/>
          <w:bCs/>
          <w:i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bCs/>
          <w:i/>
          <w:iCs/>
          <w:sz w:val="20"/>
          <w:szCs w:val="20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bCs/>
          <w:i/>
          <w:iCs/>
          <w:sz w:val="20"/>
          <w:szCs w:val="20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</w:t>
      </w:r>
      <w:r>
        <w:rPr>
          <w:bCs/>
          <w:i/>
          <w:iCs/>
          <w:sz w:val="20"/>
          <w:szCs w:val="20"/>
        </w:rPr>
        <w:t xml:space="preserve"> № 574) (далее – ППРФ от 02.04.2022 № 574);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ППРФ </w:t>
      </w:r>
      <w:r>
        <w:rPr>
          <w:bCs/>
          <w:i/>
          <w:iCs/>
          <w:sz w:val="20"/>
          <w:szCs w:val="20"/>
        </w:rPr>
        <w:t xml:space="preserve">от 18.05.2022 № 895);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/>
          <w:iCs/>
          <w:sz w:val="20"/>
          <w:szCs w:val="20"/>
        </w:rPr>
        <w:t xml:space="preserve">№ 1528);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i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i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i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i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</w:t>
      </w:r>
      <w:r>
        <w:rPr>
          <w:bCs/>
          <w:i/>
          <w:iCs/>
          <w:sz w:val="20"/>
          <w:szCs w:val="20"/>
        </w:rPr>
        <w:t xml:space="preserve"> № 1764);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 w:after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i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i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i/>
          <w:sz w:val="20"/>
          <w:szCs w:val="20"/>
        </w:rPr>
        <w:t xml:space="preserve">№ 1570)</w:t>
      </w:r>
      <w:r>
        <w:rPr>
          <w:bCs/>
          <w:i/>
          <w:iCs/>
          <w:sz w:val="20"/>
          <w:szCs w:val="20"/>
        </w:rPr>
        <w:t xml:space="preserve">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rPr>
          <w:i/>
          <w:color w:val="auto"/>
          <w:sz w:val="20"/>
          <w:szCs w:val="20"/>
        </w:rPr>
        <w:outlineLvl w:val="5"/>
      </w:pPr>
      <w:r>
        <w:rPr>
          <w:i/>
          <w:color w:val="auto"/>
          <w:sz w:val="20"/>
          <w:szCs w:val="20"/>
        </w:rPr>
        <w:t xml:space="preserve">- при кредитовании в рамках решения М</w:t>
      </w:r>
      <w:r>
        <w:rPr>
          <w:i/>
          <w:color w:val="auto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i/>
          <w:color w:val="auto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color w:val="auto"/>
          <w:sz w:val="20"/>
          <w:szCs w:val="20"/>
          <w:highlight w:val="none"/>
        </w:rPr>
      </w:pPr>
      <w:r>
        <w:rPr>
          <w:i/>
          <w:color w:val="auto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</w:t>
      </w:r>
      <w:r>
        <w:rPr>
          <w:i/>
          <w:color w:val="auto"/>
          <w:sz w:val="20"/>
          <w:szCs w:val="20"/>
        </w:rPr>
        <w:t xml:space="preserve">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</w:t>
      </w:r>
      <w:r>
        <w:rPr>
          <w:i/>
          <w:color w:val="auto"/>
          <w:sz w:val="20"/>
          <w:szCs w:val="20"/>
        </w:rPr>
        <w:t xml:space="preserve">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</w:t>
      </w:r>
      <w:r>
        <w:rPr>
          <w:i/>
          <w:color w:val="auto"/>
          <w:sz w:val="20"/>
          <w:szCs w:val="20"/>
        </w:rPr>
        <w:t xml:space="preserve"> с ППРФ </w:t>
      </w:r>
      <w:r>
        <w:rPr>
          <w:i/>
          <w:color w:val="auto"/>
          <w:sz w:val="20"/>
          <w:szCs w:val="20"/>
        </w:rPr>
        <w:t xml:space="preserve">от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25.10.2023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№ 1780.</w:t>
      </w:r>
      <w:r>
        <w:rPr>
          <w:bCs/>
          <w:i/>
          <w:color w:val="auto"/>
          <w:sz w:val="20"/>
          <w:szCs w:val="20"/>
          <w:highlight w:val="none"/>
        </w:rPr>
      </w:r>
      <w:r>
        <w:rPr>
          <w:bCs/>
          <w:i/>
          <w:color w:val="auto"/>
          <w:sz w:val="20"/>
          <w:szCs w:val="20"/>
          <w:highlight w:val="none"/>
        </w:rPr>
      </w:r>
    </w:p>
    <w:p>
      <w:pPr>
        <w:ind w:firstLine="0"/>
        <w:jc w:val="both"/>
        <w:spacing w:before="40"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 w:eastAsia="Times New Roman"/>
            <w:b w:val="0"/>
            <w:bCs w:val="0"/>
            <w:i/>
            <w:iCs/>
            <w:color w:val="000000" w:themeColor="text1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«Возмещение недополученных российскими кредитными организациями, международ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- при кредитовании в рамках решения Министерства экономического развития Российской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Федерации о порядке предоставления субсидии No 25-61781-02070-Р «Реализация механизма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государственной поддержки инвестиционных проектов по созданию туристической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инфраструктуры в форме льготного кредитования» (далее – Решение No 2070-Р), принятого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соответствии с ППРФ от 25.10.2023 No 1780.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tabs>
          <w:tab w:val="left" w:pos="1134" w:leader="none"/>
        </w:tabs>
        <w:rPr>
          <w:bCs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  <w:highlight w:val="none"/>
        </w:rPr>
      </w:r>
      <w:r>
        <w:rPr>
          <w:bCs/>
          <w:i/>
          <w:color w:val="000000" w:themeColor="text1"/>
          <w:sz w:val="20"/>
          <w:szCs w:val="20"/>
        </w:rPr>
      </w:r>
      <w:r>
        <w:rPr>
          <w:bCs/>
          <w:i/>
          <w:color w:val="000000" w:themeColor="text1"/>
          <w:sz w:val="20"/>
          <w:szCs w:val="20"/>
        </w:rPr>
      </w:r>
    </w:p>
    <w:p>
      <w:pPr>
        <w:jc w:val="both"/>
        <w:spacing w:before="40" w:after="120"/>
        <w:rPr>
          <w:bCs/>
          <w:i/>
          <w:iCs/>
          <w:color w:val="auto"/>
          <w:sz w:val="20"/>
          <w:szCs w:val="20"/>
        </w:rPr>
        <w:outlineLvl w:val="5"/>
      </w:pP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</w:t>
            </w:r>
            <w:bookmarkStart w:id="13" w:name="_GoBack"/>
            <w:r>
              <w:rPr>
                <w:color w:val="auto"/>
              </w:rPr>
            </w:r>
            <w:bookmarkEnd w:id="13"/>
            <w:r>
              <w:rPr>
                <w:bCs/>
                <w:iCs/>
                <w:color w:val="auto"/>
                <w:sz w:val="20"/>
                <w:szCs w:val="20"/>
              </w:rPr>
              <w:t xml:space="preserve">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982-Р (в рамках ППРФ от 25.10.2023 № 1780) 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 25.10.2023 No 1780)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 25.10.2023 No 1780)»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before="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*Льготные программы кредитования в рамках решени</w:t>
      </w:r>
      <w:r>
        <w:rPr>
          <w:bCs/>
          <w:i/>
          <w:iCs/>
          <w:sz w:val="20"/>
          <w:szCs w:val="20"/>
        </w:rPr>
        <w:t xml:space="preserve">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</w:t>
      </w:r>
      <w:r>
        <w:rPr>
          <w:bCs/>
          <w:i/>
          <w:iCs/>
          <w:sz w:val="20"/>
          <w:szCs w:val="20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62"/>
        <w:jc w:val="left"/>
        <w:rPr>
          <w:b w:val="0"/>
          <w:bCs w:val="0"/>
          <w:i/>
          <w:sz w:val="16"/>
          <w:szCs w:val="16"/>
        </w:rPr>
        <w:outlineLvl w:val="0"/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>
        <w:t xml:space="preserve">Обслуживание торгово-сервисных предприятий</w:t>
      </w:r>
      <w:r>
        <w:rPr>
          <w:rStyle w:val="1141"/>
        </w:rPr>
        <w:footnoteReference w:id="8"/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1046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969"/>
        <w:gridCol w:w="2864"/>
        <w:gridCol w:w="266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4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за услугу «Торговый </w:t>
            </w:r>
            <w:r>
              <w:rPr>
                <w:bCs/>
                <w:sz w:val="20"/>
                <w:szCs w:val="20"/>
              </w:rPr>
              <w:t xml:space="preserve">эквайринг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rStyle w:val="1141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sz w:val="20"/>
                <w:szCs w:val="20"/>
              </w:rPr>
              <w:t xml:space="preserve">эквайринг</w:t>
            </w:r>
            <w:r>
              <w:rPr>
                <w:iCs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sz w:val="20"/>
                <w:szCs w:val="20"/>
              </w:rPr>
              <w:t xml:space="preserve">эквайрингового</w:t>
            </w:r>
            <w:r>
              <w:rPr>
                <w:iCs/>
                <w:sz w:val="20"/>
                <w:szCs w:val="20"/>
              </w:rPr>
              <w:t xml:space="preserve"> обслуживания клиентов АО «</w:t>
            </w:r>
            <w:r>
              <w:rPr>
                <w:iCs/>
                <w:sz w:val="20"/>
                <w:szCs w:val="20"/>
              </w:rPr>
              <w:t xml:space="preserve">Россельхозбанк</w:t>
            </w:r>
            <w:r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UnionPay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</w:t>
            </w:r>
            <w:r>
              <w:rPr>
                <w:color w:val="auto"/>
                <w:sz w:val="20"/>
                <w:szCs w:val="20"/>
              </w:rPr>
              <w:t xml:space="preserve">х перевода юридическими лицами, </w:t>
            </w:r>
            <w:r>
              <w:rPr>
                <w:color w:val="auto"/>
                <w:sz w:val="20"/>
                <w:szCs w:val="20"/>
              </w:rPr>
              <w:t xml:space="preserve">индивидуальными предпринимателями в пользу юридических лиц и индивидуальных предпринимателей»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37 руб. за операцию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Обслуживание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принимающих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оплате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платежные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карты,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бесплатно.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*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Под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торгово-сервисным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предприятием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(ТСП)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целей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настоящего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раздела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понимается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юридическое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лицо,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индивидуальный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предприниматель,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учреждение,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нотариус,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занимающийся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частной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практикой,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независимо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деятельности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организационно-правовой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формы,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заключившие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договор </w:t>
      </w:r>
      <w:r>
        <w:rPr>
          <w:i/>
          <w:sz w:val="16"/>
          <w:szCs w:val="16"/>
        </w:rPr>
        <w:t xml:space="preserve">эквайринга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r/>
      <w:r/>
    </w:p>
    <w:p>
      <w:pPr>
        <w:pStyle w:val="1129"/>
        <w:numPr>
          <w:ilvl w:val="0"/>
          <w:numId w:val="2"/>
        </w:numPr>
      </w:pPr>
      <w:r>
        <w:t xml:space="preserve"> </w:t>
      </w:r>
      <w:bookmarkStart w:id="14" w:name="_Toc64472190"/>
      <w:r>
        <w:t xml:space="preserve">Депозитарные услуги </w:t>
      </w:r>
      <w:r>
        <w:footnoteReference w:customMarkFollows="1" w:id="10"/>
      </w:r>
      <w:r>
        <w:rPr>
          <w:rFonts w:ascii="Symbol" w:hAnsi="Symbol" w:eastAsia="Symbol" w:cs="Symbol"/>
        </w:rPr>
        <w:t xml:space="preserve">*</w:t>
      </w:r>
      <w:bookmarkEnd w:id="14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3940"/>
        <w:gridCol w:w="1227"/>
        <w:gridCol w:w="758"/>
        <w:gridCol w:w="283"/>
        <w:gridCol w:w="3260"/>
      </w:tblGrid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i/>
                <w:sz w:val="22"/>
                <w:szCs w:val="22"/>
              </w:rPr>
              <w:t xml:space="preserve">.1. Административные операции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pStyle w:val="113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услуги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/>
            <w:bookmarkStart w:id="15" w:name="_Toc95617936"/>
            <w:r>
              <w:rPr>
                <w:bCs/>
                <w:sz w:val="20"/>
                <w:szCs w:val="20"/>
              </w:rPr>
              <w:t xml:space="preserve">Тариф</w:t>
            </w:r>
            <w:bookmarkEnd w:id="1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междепозитарном</w:t>
            </w:r>
            <w:r>
              <w:rPr>
                <w:bCs/>
                <w:color w:val="auto"/>
                <w:sz w:val="20"/>
                <w:szCs w:val="20"/>
              </w:rPr>
              <w:t xml:space="preserve"> счете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НКО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/>
            <w:bookmarkStart w:id="16" w:name="_Toc95617938"/>
            <w:r>
              <w:rPr>
                <w:bCs/>
                <w:i/>
                <w:sz w:val="20"/>
                <w:szCs w:val="20"/>
              </w:rPr>
              <w:t xml:space="preserve">14.2. </w:t>
            </w:r>
            <w:bookmarkEnd w:id="16"/>
            <w:r>
              <w:rPr>
                <w:bCs/>
                <w:i/>
                <w:sz w:val="20"/>
                <w:szCs w:val="20"/>
              </w:rPr>
              <w:t xml:space="preserve">Хранение и учет ценных бумаг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14.2.1.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50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месяц, свыше 50 млн. руб.                              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bCs/>
                <w:color w:val="auto"/>
                <w:sz w:val="18"/>
                <w:szCs w:val="18"/>
              </w:rPr>
              <w:t xml:space="preserve">месяцгодовых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68" w:type="dxa"/>
            <w:textDirection w:val="lrTb"/>
            <w:noWrap w:val="false"/>
          </w:tcPr>
          <w:p>
            <w:pPr>
              <w:ind w:left="-2" w:right="-18"/>
              <w:jc w:val="both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 300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- 0,07% годовых, минимум 300 руб. месяц, от 300 млн. руб. до 500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- 0,065% годовых, минимум 300 руб. в месяц,                          свыше 500 млн. руб.                     - 0,06% годовых, минимум 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sz w:val="20"/>
                <w:szCs w:val="20"/>
              </w:rPr>
              <w:t xml:space="preserve">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color w:val="auto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5"/>
            <w:tcW w:w="946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принятых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на брокерское обслуживание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41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041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14.2.7.1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6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12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14.2.7.2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за исключением паев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0,035% годовых               минимум 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сертификатов </w:t>
            </w:r>
            <w:r>
              <w:rPr>
                <w:bCs/>
                <w:sz w:val="20"/>
                <w:szCs w:val="20"/>
              </w:rPr>
              <w:t xml:space="preserve">эмис</w:t>
            </w:r>
            <w:r>
              <w:rPr>
                <w:bCs/>
                <w:sz w:val="20"/>
                <w:szCs w:val="20"/>
                <w:lang w:val="en-US"/>
              </w:rPr>
              <w:t xml:space="preserve">c</w:t>
            </w:r>
            <w:r>
              <w:rPr>
                <w:bCs/>
                <w:sz w:val="20"/>
                <w:szCs w:val="20"/>
              </w:rPr>
              <w:t xml:space="preserve">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80"/>
              <w:jc w:val="both"/>
              <w:spacing w:before="40"/>
              <w:tabs>
                <w:tab w:val="left" w:pos="54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10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междепозитарные</w:t>
            </w:r>
            <w:r>
              <w:rPr>
                <w:bCs/>
                <w:color w:val="auto"/>
                <w:sz w:val="20"/>
                <w:szCs w:val="20"/>
              </w:rPr>
              <w:t xml:space="preserve">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междепозитарных</w:t>
            </w:r>
            <w:r>
              <w:rPr>
                <w:bCs/>
                <w:color w:val="auto"/>
                <w:sz w:val="20"/>
                <w:szCs w:val="20"/>
              </w:rPr>
              <w:t xml:space="preserve">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600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руб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 счетам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Переводы ценных бумаг по операциям           купли-продажи ценных бумаг, совершенным   через брокера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.5. Операции по блокировке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auto"/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.6. Корпоративные действия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14.7. Прочие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336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.8. Информационные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 xml:space="preserve">б. за лист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pStyle w:val="1129"/>
        <w:numPr>
          <w:ilvl w:val="0"/>
          <w:numId w:val="8"/>
        </w:numPr>
      </w:pPr>
      <w:r/>
      <w:bookmarkStart w:id="17" w:name="_Toc64472191"/>
      <w:r>
        <w:t xml:space="preserve">Операции с монетами из драгоценных металлов</w:t>
      </w:r>
      <w:bookmarkEnd w:id="17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1129"/>
        <w:numPr>
          <w:ilvl w:val="0"/>
          <w:numId w:val="8"/>
        </w:numPr>
      </w:pPr>
      <w:r/>
      <w:bookmarkStart w:id="18" w:name="_Toc64472192"/>
      <w:r>
        <w:t xml:space="preserve">Операции с драгоценными металлами</w:t>
      </w:r>
      <w:bookmarkEnd w:id="1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721"/>
        <w:gridCol w:w="2374"/>
        <w:gridCol w:w="3231"/>
      </w:tblGrid>
      <w:tr>
        <w:tblPrEx/>
        <w:trPr>
          <w:tblHeader/>
        </w:trPr>
        <w:tc>
          <w:tcPr>
            <w:shd w:val="clear" w:color="auto" w:fill="auto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102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российских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</w:t>
            </w:r>
            <w:r>
              <w:rPr>
                <w:sz w:val="20"/>
                <w:szCs w:val="20"/>
              </w:rPr>
              <w:t xml:space="preserve">банковским счетам в драгоценных металлах </w:t>
            </w:r>
            <w:r>
              <w:rPr>
                <w:sz w:val="16"/>
                <w:szCs w:val="16"/>
              </w:rPr>
              <w:footnoteReference w:id="12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</w:t>
            </w:r>
            <w:r>
              <w:rPr>
                <w:sz w:val="20"/>
                <w:szCs w:val="20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41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276"/>
            </w:tblGrid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Тариф за слиток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41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34"/>
            </w:tblGrid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Металлы платиновой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29"/>
      </w:pPr>
      <w:r/>
      <w:bookmarkStart w:id="19" w:name="_Toc64472193"/>
      <w:r>
        <w:t xml:space="preserve">17. Обслуживание с использованием Торговой системы</w:t>
      </w:r>
      <w:r>
        <w:br/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</w:t>
      </w:r>
      <w:r>
        <w:t xml:space="preserve">, Торговой системы РСХБ-</w:t>
      </w:r>
      <w:r>
        <w:t xml:space="preserve">Дилинг</w:t>
      </w:r>
      <w:r>
        <w:t xml:space="preserve"> 2.0</w:t>
      </w:r>
      <w:bookmarkEnd w:id="19"/>
      <w:r/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5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В случае если на момент оказания услуги клиент не имеет счетов, открытых в АО «</w:t>
      </w:r>
      <w:r>
        <w:rPr>
          <w:bCs/>
          <w:iCs/>
          <w:sz w:val="18"/>
          <w:szCs w:val="18"/>
        </w:rPr>
        <w:t xml:space="preserve">Россельхозбанк</w:t>
      </w:r>
      <w:r>
        <w:rPr>
          <w:bCs/>
          <w:iCs/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«Операции с использованием цифрового рубля» следующего содержания: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90"/>
        <w:gridCol w:w="2126"/>
        <w:gridCol w:w="3261"/>
      </w:tblGrid>
      <w:tr>
        <w:tblPrEx/>
        <w:trPr/>
        <w:tc>
          <w:tcP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4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31.12.2025 (включительно).».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Cs/>
          <w:sz w:val="18"/>
          <w:szCs w:val="18"/>
          <w:highlight w:val="none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  <w:tab/>
        <w:tab/>
      </w:r>
      <w:r>
        <w:rPr>
          <w:iCs/>
          <w:sz w:val="18"/>
          <w:szCs w:val="18"/>
          <w:highlight w:val="none"/>
        </w:rPr>
      </w:r>
      <w:r>
        <w:rPr>
          <w:iCs/>
          <w:sz w:val="18"/>
          <w:szCs w:val="18"/>
          <w:highlight w:val="none"/>
        </w:rPr>
      </w:r>
    </w:p>
    <w:tbl>
      <w:tblPr>
        <w:tblStyle w:val="1139"/>
        <w:tblW w:w="0" w:type="auto"/>
        <w:tblLook w:val="04A0" w:firstRow="1" w:lastRow="0" w:firstColumn="1" w:lastColumn="0" w:noHBand="0" w:noVBand="1"/>
      </w:tblPr>
      <w:tblGrid>
        <w:gridCol w:w="1935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2700"/>
      </w:tblGrid>
      <w:tr>
        <w:tblPrEx/>
        <w:trPr>
          <w:trHeight w:val="1032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065"/>
        </w:trPr>
        <w:tc>
          <w:tcPr>
            <w:shd w:val="clear" w:color="d8d8d8" w:fill="d8d8d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Фаст фуд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Супермаркет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АЗС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Медицина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75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4900, 9399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8211, 8220, 8241, 8244, 8249, 8299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 100 000 вкл.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2,20%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2,35%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100 001- 300 000 вкл.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300 001- 500 000 вкл.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500 001- 1000 000 вкл.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1,29%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2,19%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1 000 001 и 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0,89%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0,99%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2,09%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Порядок применения Тарифа: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азмер комиссии за совершение операции  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 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сяце, приходящегося на один электронный терминал/сервис «SoftPOS решение».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/>
          </w:p>
        </w:tc>
      </w:tr>
      <w:tr>
        <w:tblPrEx/>
        <w:trPr>
          <w:trHeight w:val="6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** Комиссия за технологическое взаимодействие - фиксированная величина,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плачиваемая клиентом, за каждый электронный терминал (комиссия за технологическое взаимодействие для сервиса «SoftPOS решение» не взимается). Первый месяц подключения электронного терминала льготный- комиссия за технологическое взаимодействие не взимается.</w:t>
            </w:r>
            <w:r/>
          </w:p>
        </w:tc>
      </w:tr>
    </w:tbl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bCs/>
          <w:iCs/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720" w:right="720" w:bottom="720" w:left="128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Tahoma">
    <w:panose1 w:val="020B0604030504040204"/>
  </w:font>
  <w:font w:name="Helv">
    <w:panose1 w:val="02000603000000000000"/>
  </w:font>
  <w:font w:name="Verdana">
    <w:panose1 w:val="020B060403050404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40"/>
      </w:pPr>
      <w:r>
        <w:rPr>
          <w:rStyle w:val="1141"/>
        </w:rPr>
        <w:footnoteRef/>
      </w:r>
      <w:r>
        <w:t xml:space="preserve"> Вступает в силу с 18.04.2022 г.</w:t>
      </w:r>
      <w:r/>
    </w:p>
  </w:footnote>
  <w:footnote w:id="3">
    <w:p>
      <w:pPr>
        <w:pStyle w:val="1140"/>
      </w:pPr>
      <w:r>
        <w:rPr>
          <w:rStyle w:val="1141"/>
        </w:rPr>
        <w:footnoteRef/>
      </w:r>
      <w:r>
        <w:t xml:space="preserve"> Вступает в силу с 14.04.2022 г.</w:t>
      </w:r>
      <w:r/>
    </w:p>
  </w:footnote>
  <w:footnote w:id="4">
    <w:p>
      <w:pPr>
        <w:pStyle w:val="1140"/>
      </w:pPr>
      <w:r>
        <w:rPr>
          <w:rStyle w:val="1141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40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5">
    <w:p>
      <w:pPr>
        <w:pStyle w:val="1140"/>
      </w:pPr>
      <w:r>
        <w:rPr>
          <w:rStyle w:val="1141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40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40"/>
      </w:pPr>
      <w:r/>
      <w:r/>
    </w:p>
  </w:footnote>
  <w:footnote w:id="6">
    <w:p>
      <w:pPr>
        <w:pStyle w:val="1140"/>
        <w:jc w:val="both"/>
      </w:pPr>
      <w:r>
        <w:rPr>
          <w:rStyle w:val="1141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7">
    <w:p>
      <w:pPr>
        <w:pStyle w:val="1140"/>
      </w:pPr>
      <w:r>
        <w:rPr>
          <w:rStyle w:val="1141"/>
        </w:rPr>
        <w:footnoteRef/>
      </w:r>
      <w:r>
        <w:t xml:space="preserve"> В соответствии с пунктом 11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8">
    <w:p>
      <w:pPr>
        <w:pStyle w:val="1170"/>
        <w:ind w:left="0"/>
        <w:jc w:val="both"/>
        <w:tabs>
          <w:tab w:val="left" w:pos="426" w:leader="none"/>
        </w:tabs>
      </w:pPr>
      <w:r>
        <w:rPr>
          <w:rStyle w:val="1141"/>
        </w:rPr>
        <w:footnoteRef/>
      </w:r>
      <w:r>
        <w:t xml:space="preserve"> </w:t>
      </w:r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</w:t>
      </w:r>
      <w:r>
        <w:rPr>
          <w:sz w:val="20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20"/>
        </w:rPr>
        <w:t xml:space="preserve">эквайринга</w:t>
      </w:r>
      <w:r>
        <w:rPr>
          <w:sz w:val="20"/>
        </w:rPr>
        <w:t xml:space="preserve"> или договор, предусматривающий обслуживание в сервисе быстрых платежей платежной системы Банка России»</w:t>
      </w:r>
      <w:r>
        <w:t xml:space="preserve">.</w:t>
      </w:r>
      <w:r/>
    </w:p>
  </w:footnote>
  <w:footnote w:id="9">
    <w:p>
      <w:pPr>
        <w:pStyle w:val="1140"/>
        <w:jc w:val="both"/>
      </w:pPr>
      <w:r>
        <w:t xml:space="preserve">*</w:t>
      </w:r>
      <w:r>
        <w:t xml:space="preserve"> Тарифы, установленные пункт</w:t>
      </w:r>
      <w:r>
        <w:t xml:space="preserve">ом </w:t>
      </w:r>
      <w:r>
        <w:t xml:space="preserve">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t xml:space="preserve">эквайринга</w:t>
      </w:r>
      <w:r>
        <w:t xml:space="preserve"> в рамках одного регионального филиала Банка/внутреннего структурного подразделения Банка и ранее действующие Договор</w:t>
      </w:r>
      <w:r>
        <w:t xml:space="preserve">ы</w:t>
      </w:r>
      <w:r>
        <w:t xml:space="preserve"> </w:t>
      </w:r>
      <w:r>
        <w:t xml:space="preserve">эквайринга</w:t>
      </w:r>
      <w:r>
        <w:t xml:space="preserve"> были расторгнуты Клиентом/Банком более 3 месяцев назад.</w:t>
      </w:r>
      <w:r/>
    </w:p>
  </w:footnote>
  <w:footnote w:id="10">
    <w:p>
      <w:pPr>
        <w:pStyle w:val="1140"/>
        <w:rPr>
          <w:i/>
        </w:rPr>
      </w:pPr>
      <w:r>
        <w:rPr>
          <w:rStyle w:val="1141"/>
          <w:rFonts w:ascii="Symbol" w:hAnsi="Symbol" w:eastAsia="Symbol" w:cs="Symbol"/>
          <w:i/>
        </w:rPr>
        <w:t xml:space="preserve">*</w:t>
      </w:r>
      <w:r>
        <w:rPr>
          <w:i/>
        </w:rPr>
        <w:t xml:space="preserve"> Порядок расчета и взимания комиссии осуществляется на основании Условий осуществ</w:t>
      </w:r>
      <w:r>
        <w:rPr>
          <w:i/>
        </w:rPr>
        <w:t xml:space="preserve">ления депозитарной деятельности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</w:footnote>
  <w:footnote w:id="11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</w:t>
      </w:r>
      <w:r>
        <w:rPr>
          <w:sz w:val="18"/>
          <w:szCs w:val="18"/>
        </w:rPr>
        <w:t xml:space="preserve">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sz w:val="18"/>
          <w:szCs w:val="18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40"/>
        <w:rPr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3">
    <w:p>
      <w:pPr>
        <w:pStyle w:val="1140"/>
        <w:jc w:val="both"/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40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4">
    <w:p>
      <w:pPr>
        <w:pStyle w:val="1140"/>
        <w:jc w:val="both"/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40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5">
    <w:p>
      <w:pPr>
        <w:jc w:val="both"/>
        <w:rPr>
          <w:bCs/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6">
    <w:p>
      <w:pPr>
        <w:jc w:val="both"/>
        <w:rPr>
          <w:bCs/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63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2"/>
      <w:rPr>
        <w:color w:val="ffffff"/>
      </w:rPr>
    </w:pPr>
    <w:r>
      <w:rPr>
        <w:color w:val="ffffff"/>
      </w:rPr>
      <w:t xml:space="preserve">2013.08.16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9">
    <w:name w:val="Heading 1 Char"/>
    <w:basedOn w:val="1135"/>
    <w:link w:val="1126"/>
    <w:uiPriority w:val="9"/>
    <w:rPr>
      <w:rFonts w:ascii="Arial" w:hAnsi="Arial" w:eastAsia="Arial" w:cs="Arial"/>
      <w:sz w:val="40"/>
      <w:szCs w:val="40"/>
    </w:rPr>
  </w:style>
  <w:style w:type="character" w:styleId="970">
    <w:name w:val="Heading 2 Char"/>
    <w:basedOn w:val="1135"/>
    <w:link w:val="1127"/>
    <w:uiPriority w:val="9"/>
    <w:rPr>
      <w:rFonts w:ascii="Arial" w:hAnsi="Arial" w:eastAsia="Arial" w:cs="Arial"/>
      <w:sz w:val="34"/>
    </w:rPr>
  </w:style>
  <w:style w:type="character" w:styleId="971">
    <w:name w:val="Heading 3 Char"/>
    <w:basedOn w:val="1135"/>
    <w:link w:val="1128"/>
    <w:uiPriority w:val="9"/>
    <w:rPr>
      <w:rFonts w:ascii="Arial" w:hAnsi="Arial" w:eastAsia="Arial" w:cs="Arial"/>
      <w:sz w:val="30"/>
      <w:szCs w:val="30"/>
    </w:rPr>
  </w:style>
  <w:style w:type="character" w:styleId="972">
    <w:name w:val="Heading 4 Char"/>
    <w:basedOn w:val="1135"/>
    <w:link w:val="1129"/>
    <w:uiPriority w:val="9"/>
    <w:rPr>
      <w:rFonts w:ascii="Arial" w:hAnsi="Arial" w:eastAsia="Arial" w:cs="Arial"/>
      <w:b/>
      <w:bCs/>
      <w:sz w:val="26"/>
      <w:szCs w:val="26"/>
    </w:rPr>
  </w:style>
  <w:style w:type="character" w:styleId="973">
    <w:name w:val="Heading 5 Char"/>
    <w:basedOn w:val="1135"/>
    <w:link w:val="1130"/>
    <w:uiPriority w:val="9"/>
    <w:rPr>
      <w:rFonts w:ascii="Arial" w:hAnsi="Arial" w:eastAsia="Arial" w:cs="Arial"/>
      <w:b/>
      <w:bCs/>
      <w:sz w:val="24"/>
      <w:szCs w:val="24"/>
    </w:rPr>
  </w:style>
  <w:style w:type="character" w:styleId="974">
    <w:name w:val="Heading 6 Char"/>
    <w:basedOn w:val="1135"/>
    <w:link w:val="1131"/>
    <w:uiPriority w:val="9"/>
    <w:rPr>
      <w:rFonts w:ascii="Arial" w:hAnsi="Arial" w:eastAsia="Arial" w:cs="Arial"/>
      <w:b/>
      <w:bCs/>
      <w:sz w:val="22"/>
      <w:szCs w:val="22"/>
    </w:rPr>
  </w:style>
  <w:style w:type="character" w:styleId="975">
    <w:name w:val="Heading 7 Char"/>
    <w:basedOn w:val="1135"/>
    <w:link w:val="11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6">
    <w:name w:val="Heading 8 Char"/>
    <w:basedOn w:val="1135"/>
    <w:link w:val="1133"/>
    <w:uiPriority w:val="9"/>
    <w:rPr>
      <w:rFonts w:ascii="Arial" w:hAnsi="Arial" w:eastAsia="Arial" w:cs="Arial"/>
      <w:i/>
      <w:iCs/>
      <w:sz w:val="22"/>
      <w:szCs w:val="22"/>
    </w:rPr>
  </w:style>
  <w:style w:type="character" w:styleId="977">
    <w:name w:val="Heading 9 Char"/>
    <w:basedOn w:val="1135"/>
    <w:link w:val="1134"/>
    <w:uiPriority w:val="9"/>
    <w:rPr>
      <w:rFonts w:ascii="Arial" w:hAnsi="Arial" w:eastAsia="Arial" w:cs="Arial"/>
      <w:i/>
      <w:iCs/>
      <w:sz w:val="21"/>
      <w:szCs w:val="21"/>
    </w:rPr>
  </w:style>
  <w:style w:type="paragraph" w:styleId="978">
    <w:name w:val="Title"/>
    <w:basedOn w:val="1125"/>
    <w:next w:val="1125"/>
    <w:link w:val="9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9">
    <w:name w:val="Title Char"/>
    <w:basedOn w:val="1135"/>
    <w:link w:val="978"/>
    <w:uiPriority w:val="10"/>
    <w:rPr>
      <w:sz w:val="48"/>
      <w:szCs w:val="48"/>
    </w:rPr>
  </w:style>
  <w:style w:type="paragraph" w:styleId="980">
    <w:name w:val="Subtitle"/>
    <w:basedOn w:val="1125"/>
    <w:next w:val="1125"/>
    <w:link w:val="981"/>
    <w:uiPriority w:val="11"/>
    <w:qFormat/>
    <w:pPr>
      <w:spacing w:before="200" w:after="200"/>
    </w:pPr>
    <w:rPr>
      <w:sz w:val="24"/>
      <w:szCs w:val="24"/>
    </w:rPr>
  </w:style>
  <w:style w:type="character" w:styleId="981">
    <w:name w:val="Subtitle Char"/>
    <w:basedOn w:val="1135"/>
    <w:link w:val="980"/>
    <w:uiPriority w:val="11"/>
    <w:rPr>
      <w:sz w:val="24"/>
      <w:szCs w:val="24"/>
    </w:rPr>
  </w:style>
  <w:style w:type="paragraph" w:styleId="982">
    <w:name w:val="Quote"/>
    <w:basedOn w:val="1125"/>
    <w:next w:val="1125"/>
    <w:link w:val="983"/>
    <w:uiPriority w:val="29"/>
    <w:qFormat/>
    <w:pPr>
      <w:ind w:left="720" w:right="720"/>
    </w:pPr>
    <w:rPr>
      <w:i/>
    </w:rPr>
  </w:style>
  <w:style w:type="character" w:styleId="983">
    <w:name w:val="Quote Char"/>
    <w:link w:val="982"/>
    <w:uiPriority w:val="29"/>
    <w:rPr>
      <w:i/>
    </w:rPr>
  </w:style>
  <w:style w:type="paragraph" w:styleId="984">
    <w:name w:val="Intense Quote"/>
    <w:basedOn w:val="1125"/>
    <w:next w:val="1125"/>
    <w:link w:val="9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5">
    <w:name w:val="Intense Quote Char"/>
    <w:link w:val="984"/>
    <w:uiPriority w:val="30"/>
    <w:rPr>
      <w:i/>
    </w:rPr>
  </w:style>
  <w:style w:type="character" w:styleId="986">
    <w:name w:val="Header Char"/>
    <w:basedOn w:val="1135"/>
    <w:link w:val="1152"/>
    <w:uiPriority w:val="99"/>
  </w:style>
  <w:style w:type="character" w:styleId="987">
    <w:name w:val="Footer Char"/>
    <w:basedOn w:val="1135"/>
    <w:link w:val="1154"/>
    <w:uiPriority w:val="99"/>
  </w:style>
  <w:style w:type="paragraph" w:styleId="988">
    <w:name w:val="Caption"/>
    <w:basedOn w:val="1125"/>
    <w:next w:val="11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9">
    <w:name w:val="Caption Char"/>
    <w:basedOn w:val="988"/>
    <w:link w:val="1154"/>
    <w:uiPriority w:val="99"/>
  </w:style>
  <w:style w:type="table" w:styleId="990">
    <w:name w:val="Table Grid Light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1">
    <w:name w:val="Plain Table 1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2">
    <w:name w:val="Plain Table 2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3">
    <w:name w:val="Plain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4">
    <w:name w:val="Plain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Plain Table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6">
    <w:name w:val="Grid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Grid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Grid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Grid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8">
    <w:name w:val="Grid Table 4 - Accent 1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9">
    <w:name w:val="Grid Table 4 - Accent 2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0">
    <w:name w:val="Grid Table 4 - Accent 3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1">
    <w:name w:val="Grid Table 4 - Accent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2">
    <w:name w:val="Grid Table 4 - Accent 5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3">
    <w:name w:val="Grid Table 4 - Accent 6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4">
    <w:name w:val="Grid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5">
    <w:name w:val="Grid Table 5 Dark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8">
    <w:name w:val="Grid Table 5 Dark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9">
    <w:name w:val="Grid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30">
    <w:name w:val="Grid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31">
    <w:name w:val="Grid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2">
    <w:name w:val="Grid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3">
    <w:name w:val="Grid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4">
    <w:name w:val="Grid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5">
    <w:name w:val="Grid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6">
    <w:name w:val="Grid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7">
    <w:name w:val="Grid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8">
    <w:name w:val="Grid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List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3">
    <w:name w:val="List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4">
    <w:name w:val="List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5">
    <w:name w:val="List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6">
    <w:name w:val="List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7">
    <w:name w:val="List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8">
    <w:name w:val="List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9">
    <w:name w:val="List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4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4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5 Dark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8">
    <w:name w:val="List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9">
    <w:name w:val="List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0">
    <w:name w:val="List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1">
    <w:name w:val="List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2">
    <w:name w:val="List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3">
    <w:name w:val="List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4">
    <w:name w:val="List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5">
    <w:name w:val="List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6">
    <w:name w:val="List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7">
    <w:name w:val="List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8">
    <w:name w:val="List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9">
    <w:name w:val="List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90">
    <w:name w:val="List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91">
    <w:name w:val="List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92">
    <w:name w:val="List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93">
    <w:name w:val="List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4">
    <w:name w:val="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5">
    <w:name w:val="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6">
    <w:name w:val="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7">
    <w:name w:val="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8">
    <w:name w:val="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9">
    <w:name w:val="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0">
    <w:name w:val="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1">
    <w:name w:val="Bordered &amp; 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2">
    <w:name w:val="Bordered &amp; 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3">
    <w:name w:val="Bordered &amp; 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4">
    <w:name w:val="Bordered &amp; 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5">
    <w:name w:val="Bordered &amp; 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6">
    <w:name w:val="Bordered &amp; 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7">
    <w:name w:val="Bordered &amp; 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8">
    <w:name w:val="Bordered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9">
    <w:name w:val="Bordered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0">
    <w:name w:val="Bordered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1">
    <w:name w:val="Bordered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2">
    <w:name w:val="Bordered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3">
    <w:name w:val="Bordered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4">
    <w:name w:val="Bordered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15">
    <w:name w:val="Footnote Text Char"/>
    <w:link w:val="1140"/>
    <w:uiPriority w:val="99"/>
    <w:rPr>
      <w:sz w:val="18"/>
    </w:rPr>
  </w:style>
  <w:style w:type="character" w:styleId="1116">
    <w:name w:val="Endnote Text Char"/>
    <w:link w:val="1164"/>
    <w:uiPriority w:val="99"/>
    <w:rPr>
      <w:sz w:val="20"/>
    </w:rPr>
  </w:style>
  <w:style w:type="paragraph" w:styleId="1117">
    <w:name w:val="toc 2"/>
    <w:basedOn w:val="1125"/>
    <w:next w:val="1125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5"/>
    <w:next w:val="1125"/>
    <w:uiPriority w:val="39"/>
    <w:unhideWhenUsed/>
    <w:pPr>
      <w:ind w:left="567" w:right="0" w:firstLine="0"/>
      <w:spacing w:after="57"/>
    </w:pPr>
  </w:style>
  <w:style w:type="paragraph" w:styleId="1119">
    <w:name w:val="toc 5"/>
    <w:basedOn w:val="1125"/>
    <w:next w:val="1125"/>
    <w:uiPriority w:val="39"/>
    <w:unhideWhenUsed/>
    <w:pPr>
      <w:ind w:left="1134" w:right="0" w:firstLine="0"/>
      <w:spacing w:after="57"/>
    </w:pPr>
  </w:style>
  <w:style w:type="paragraph" w:styleId="1120">
    <w:name w:val="toc 6"/>
    <w:basedOn w:val="1125"/>
    <w:next w:val="1125"/>
    <w:uiPriority w:val="39"/>
    <w:unhideWhenUsed/>
    <w:pPr>
      <w:ind w:left="1417" w:right="0" w:firstLine="0"/>
      <w:spacing w:after="57"/>
    </w:pPr>
  </w:style>
  <w:style w:type="paragraph" w:styleId="1121">
    <w:name w:val="toc 7"/>
    <w:basedOn w:val="1125"/>
    <w:next w:val="1125"/>
    <w:uiPriority w:val="39"/>
    <w:unhideWhenUsed/>
    <w:pPr>
      <w:ind w:left="1701" w:right="0" w:firstLine="0"/>
      <w:spacing w:after="57"/>
    </w:pPr>
  </w:style>
  <w:style w:type="paragraph" w:styleId="1122">
    <w:name w:val="toc 8"/>
    <w:basedOn w:val="1125"/>
    <w:next w:val="1125"/>
    <w:uiPriority w:val="39"/>
    <w:unhideWhenUsed/>
    <w:pPr>
      <w:ind w:left="1984" w:right="0" w:firstLine="0"/>
      <w:spacing w:after="57"/>
    </w:pPr>
  </w:style>
  <w:style w:type="paragraph" w:styleId="1123">
    <w:name w:val="toc 9"/>
    <w:basedOn w:val="1125"/>
    <w:next w:val="1125"/>
    <w:uiPriority w:val="39"/>
    <w:unhideWhenUsed/>
    <w:pPr>
      <w:ind w:left="2268" w:right="0" w:firstLine="0"/>
      <w:spacing w:after="57"/>
    </w:pPr>
  </w:style>
  <w:style w:type="paragraph" w:styleId="1124">
    <w:name w:val="table of figures"/>
    <w:basedOn w:val="1125"/>
    <w:next w:val="1125"/>
    <w:uiPriority w:val="99"/>
    <w:unhideWhenUsed/>
    <w:pPr>
      <w:spacing w:after="0" w:afterAutospacing="0"/>
    </w:pPr>
  </w:style>
  <w:style w:type="paragraph" w:styleId="1125" w:default="1">
    <w:name w:val="Normal"/>
    <w:qFormat/>
    <w:rPr>
      <w:sz w:val="24"/>
      <w:szCs w:val="24"/>
    </w:rPr>
  </w:style>
  <w:style w:type="paragraph" w:styleId="1126">
    <w:name w:val="Heading 1"/>
    <w:basedOn w:val="1125"/>
    <w:next w:val="112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27">
    <w:name w:val="Heading 2"/>
    <w:basedOn w:val="1125"/>
    <w:next w:val="1125"/>
    <w:link w:val="1138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28">
    <w:name w:val="Heading 3"/>
    <w:basedOn w:val="1125"/>
    <w:next w:val="1125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29">
    <w:name w:val="Heading 4"/>
    <w:basedOn w:val="1125"/>
    <w:next w:val="1125"/>
    <w:qFormat/>
    <w:pPr>
      <w:jc w:val="center"/>
      <w:keepNext/>
      <w:outlineLvl w:val="3"/>
    </w:pPr>
    <w:rPr>
      <w:b/>
      <w:sz w:val="22"/>
      <w:szCs w:val="22"/>
    </w:rPr>
  </w:style>
  <w:style w:type="paragraph" w:styleId="1130">
    <w:name w:val="Heading 5"/>
    <w:basedOn w:val="1125"/>
    <w:next w:val="1125"/>
    <w:qFormat/>
    <w:pPr>
      <w:keepNext/>
      <w:outlineLvl w:val="4"/>
    </w:pPr>
    <w:rPr>
      <w:b/>
      <w:bCs/>
      <w:sz w:val="28"/>
      <w:szCs w:val="28"/>
    </w:rPr>
  </w:style>
  <w:style w:type="paragraph" w:styleId="1131">
    <w:name w:val="Heading 6"/>
    <w:basedOn w:val="1125"/>
    <w:next w:val="1125"/>
    <w:qFormat/>
    <w:pPr>
      <w:jc w:val="center"/>
      <w:keepNext/>
      <w:outlineLvl w:val="5"/>
    </w:pPr>
    <w:rPr>
      <w:b/>
      <w:bCs/>
    </w:rPr>
  </w:style>
  <w:style w:type="paragraph" w:styleId="1132">
    <w:name w:val="Heading 7"/>
    <w:basedOn w:val="1125"/>
    <w:next w:val="1125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33">
    <w:name w:val="Heading 8"/>
    <w:basedOn w:val="1125"/>
    <w:next w:val="1125"/>
    <w:link w:val="1158"/>
    <w:qFormat/>
    <w:pPr>
      <w:keepNext/>
      <w:outlineLvl w:val="7"/>
    </w:pPr>
    <w:rPr>
      <w:b/>
      <w:bCs/>
    </w:rPr>
  </w:style>
  <w:style w:type="paragraph" w:styleId="1134">
    <w:name w:val="Heading 9"/>
    <w:basedOn w:val="1125"/>
    <w:next w:val="1125"/>
    <w:qFormat/>
    <w:pPr>
      <w:keepNext/>
      <w:outlineLvl w:val="8"/>
    </w:pPr>
    <w:rPr>
      <w:b/>
      <w:bCs/>
      <w:sz w:val="20"/>
      <w:szCs w:val="20"/>
    </w:rPr>
  </w:style>
  <w:style w:type="character" w:styleId="1135" w:default="1">
    <w:name w:val="Default Paragraph Font"/>
    <w:uiPriority w:val="1"/>
    <w:semiHidden/>
    <w:unhideWhenUsed/>
  </w:style>
  <w:style w:type="table" w:styleId="11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7" w:default="1">
    <w:name w:val="No List"/>
    <w:uiPriority w:val="99"/>
    <w:semiHidden/>
    <w:unhideWhenUsed/>
  </w:style>
  <w:style w:type="character" w:styleId="1138" w:customStyle="1">
    <w:name w:val="Заголовок 2 Знак"/>
    <w:link w:val="1127"/>
    <w:rPr>
      <w:b/>
      <w:bCs/>
      <w:i/>
      <w:iCs/>
      <w:sz w:val="24"/>
      <w:szCs w:val="24"/>
    </w:rPr>
  </w:style>
  <w:style w:type="table" w:styleId="1139">
    <w:name w:val="Table Grid"/>
    <w:basedOn w:val="113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40">
    <w:name w:val="footnote text"/>
    <w:basedOn w:val="1125"/>
    <w:link w:val="1161"/>
    <w:qFormat/>
    <w:rPr>
      <w:sz w:val="20"/>
      <w:szCs w:val="20"/>
    </w:rPr>
  </w:style>
  <w:style w:type="character" w:styleId="1141">
    <w:name w:val="footnote reference"/>
    <w:qFormat/>
    <w:rPr>
      <w:vertAlign w:val="superscript"/>
    </w:rPr>
  </w:style>
  <w:style w:type="paragraph" w:styleId="1142">
    <w:name w:val="No Spacing"/>
    <w:link w:val="1143"/>
    <w:uiPriority w:val="1"/>
    <w:qFormat/>
    <w:rPr>
      <w:rFonts w:ascii="Calibri" w:hAnsi="Calibri"/>
      <w:sz w:val="22"/>
      <w:szCs w:val="22"/>
      <w:lang w:eastAsia="en-US"/>
    </w:rPr>
  </w:style>
  <w:style w:type="character" w:styleId="1143" w:customStyle="1">
    <w:name w:val="Без интервала Знак"/>
    <w:link w:val="1142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44">
    <w:name w:val="toc 4"/>
    <w:basedOn w:val="1125"/>
    <w:next w:val="1125"/>
    <w:uiPriority w:val="39"/>
    <w:pPr>
      <w:spacing w:line="360" w:lineRule="auto"/>
      <w:tabs>
        <w:tab w:val="left" w:pos="426" w:leader="none"/>
        <w:tab w:val="right" w:pos="10065" w:leader="dot"/>
      </w:tabs>
    </w:pPr>
    <w:rPr>
      <w:b/>
      <w:bCs/>
      <w:sz w:val="22"/>
    </w:rPr>
  </w:style>
  <w:style w:type="character" w:styleId="1145">
    <w:name w:val="Hyperlink"/>
    <w:uiPriority w:val="99"/>
    <w:unhideWhenUsed/>
    <w:rPr>
      <w:color w:val="0000ff"/>
      <w:u w:val="single"/>
    </w:rPr>
  </w:style>
  <w:style w:type="paragraph" w:styleId="1146">
    <w:name w:val="Body Text Indent"/>
    <w:basedOn w:val="1125"/>
    <w:link w:val="1159"/>
    <w:rPr>
      <w:sz w:val="22"/>
      <w:szCs w:val="22"/>
    </w:rPr>
  </w:style>
  <w:style w:type="paragraph" w:styleId="1147" w:customStyle="1">
    <w:name w:val="Char Char Char"/>
    <w:basedOn w:val="11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48">
    <w:name w:val="Body Text"/>
    <w:basedOn w:val="1125"/>
    <w:link w:val="1160"/>
    <w:rPr>
      <w:b/>
      <w:bCs/>
    </w:rPr>
  </w:style>
  <w:style w:type="paragraph" w:styleId="1149">
    <w:name w:val="Body Text Indent 3"/>
    <w:basedOn w:val="1125"/>
    <w:pPr>
      <w:ind w:left="283"/>
      <w:spacing w:after="120"/>
    </w:pPr>
    <w:rPr>
      <w:sz w:val="16"/>
      <w:szCs w:val="16"/>
    </w:rPr>
  </w:style>
  <w:style w:type="paragraph" w:styleId="1150" w:customStyle="1">
    <w:name w:val="Default"/>
    <w:rPr>
      <w:color w:val="000000"/>
      <w:sz w:val="24"/>
      <w:szCs w:val="24"/>
    </w:rPr>
  </w:style>
  <w:style w:type="paragraph" w:styleId="1151">
    <w:name w:val="Body Text Indent 2"/>
    <w:basedOn w:val="1125"/>
    <w:pPr>
      <w:ind w:firstLine="360"/>
      <w:jc w:val="both"/>
    </w:pPr>
  </w:style>
  <w:style w:type="paragraph" w:styleId="1152">
    <w:name w:val="Header"/>
    <w:basedOn w:val="1125"/>
    <w:link w:val="1153"/>
    <w:uiPriority w:val="99"/>
    <w:pPr>
      <w:tabs>
        <w:tab w:val="center" w:pos="4677" w:leader="none"/>
        <w:tab w:val="right" w:pos="9355" w:leader="none"/>
      </w:tabs>
    </w:pPr>
  </w:style>
  <w:style w:type="character" w:styleId="1153" w:customStyle="1">
    <w:name w:val="Верхний колонтитул Знак"/>
    <w:link w:val="1152"/>
    <w:uiPriority w:val="99"/>
    <w:rPr>
      <w:sz w:val="24"/>
      <w:szCs w:val="24"/>
      <w:lang w:val="ru-RU" w:eastAsia="ru-RU" w:bidi="ar-SA"/>
    </w:rPr>
  </w:style>
  <w:style w:type="paragraph" w:styleId="1154">
    <w:name w:val="Footer"/>
    <w:basedOn w:val="1125"/>
    <w:link w:val="1155"/>
    <w:pPr>
      <w:tabs>
        <w:tab w:val="center" w:pos="4677" w:leader="none"/>
        <w:tab w:val="right" w:pos="9355" w:leader="none"/>
      </w:tabs>
    </w:pPr>
  </w:style>
  <w:style w:type="character" w:styleId="1155" w:customStyle="1">
    <w:name w:val="Нижний колонтитул Знак"/>
    <w:link w:val="1154"/>
    <w:rPr>
      <w:sz w:val="24"/>
      <w:szCs w:val="24"/>
    </w:rPr>
  </w:style>
  <w:style w:type="paragraph" w:styleId="1156">
    <w:name w:val="Balloon Text"/>
    <w:basedOn w:val="1125"/>
    <w:link w:val="1157"/>
    <w:rPr>
      <w:rFonts w:ascii="Tahoma" w:hAnsi="Tahoma"/>
      <w:sz w:val="16"/>
      <w:szCs w:val="16"/>
    </w:rPr>
  </w:style>
  <w:style w:type="character" w:styleId="1157" w:customStyle="1">
    <w:name w:val="Текст выноски Знак"/>
    <w:link w:val="1156"/>
    <w:rPr>
      <w:rFonts w:ascii="Tahoma" w:hAnsi="Tahoma" w:cs="Tahoma"/>
      <w:sz w:val="16"/>
      <w:szCs w:val="16"/>
    </w:rPr>
  </w:style>
  <w:style w:type="character" w:styleId="1158" w:customStyle="1">
    <w:name w:val="Заголовок 8 Знак"/>
    <w:link w:val="1133"/>
    <w:rPr>
      <w:b/>
      <w:bCs/>
      <w:sz w:val="24"/>
      <w:szCs w:val="24"/>
    </w:rPr>
  </w:style>
  <w:style w:type="character" w:styleId="1159" w:customStyle="1">
    <w:name w:val="Основной текст с отступом Знак"/>
    <w:link w:val="1146"/>
    <w:rPr>
      <w:sz w:val="22"/>
      <w:szCs w:val="22"/>
    </w:rPr>
  </w:style>
  <w:style w:type="character" w:styleId="1160" w:customStyle="1">
    <w:name w:val="Основной текст Знак"/>
    <w:link w:val="1148"/>
    <w:rPr>
      <w:b/>
      <w:bCs/>
      <w:sz w:val="24"/>
      <w:szCs w:val="24"/>
    </w:rPr>
  </w:style>
  <w:style w:type="character" w:styleId="1161" w:customStyle="1">
    <w:name w:val="Текст сноски Знак"/>
    <w:link w:val="1140"/>
  </w:style>
  <w:style w:type="paragraph" w:styleId="1162" w:customStyle="1">
    <w:name w:val="Название"/>
    <w:basedOn w:val="1125"/>
    <w:link w:val="1163"/>
    <w:qFormat/>
    <w:pPr>
      <w:jc w:val="center"/>
    </w:pPr>
    <w:rPr>
      <w:b/>
      <w:bCs/>
      <w:sz w:val="28"/>
      <w:szCs w:val="28"/>
    </w:rPr>
  </w:style>
  <w:style w:type="character" w:styleId="1163" w:customStyle="1">
    <w:name w:val="Название Знак"/>
    <w:link w:val="1162"/>
    <w:rPr>
      <w:b/>
      <w:bCs/>
      <w:sz w:val="28"/>
      <w:szCs w:val="28"/>
    </w:rPr>
  </w:style>
  <w:style w:type="paragraph" w:styleId="1164">
    <w:name w:val="endnote text"/>
    <w:basedOn w:val="1125"/>
    <w:link w:val="1165"/>
    <w:rPr>
      <w:sz w:val="20"/>
      <w:szCs w:val="20"/>
    </w:rPr>
  </w:style>
  <w:style w:type="character" w:styleId="1165" w:customStyle="1">
    <w:name w:val="Текст концевой сноски Знак"/>
    <w:basedOn w:val="1135"/>
    <w:link w:val="1164"/>
  </w:style>
  <w:style w:type="character" w:styleId="1166">
    <w:name w:val="endnote reference"/>
    <w:rPr>
      <w:vertAlign w:val="superscript"/>
    </w:rPr>
  </w:style>
  <w:style w:type="paragraph" w:styleId="1167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168">
    <w:name w:val="TOC Heading"/>
    <w:basedOn w:val="1126"/>
    <w:next w:val="1125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69">
    <w:name w:val="toc 1"/>
    <w:basedOn w:val="1125"/>
    <w:next w:val="1125"/>
    <w:uiPriority w:val="39"/>
  </w:style>
  <w:style w:type="paragraph" w:styleId="1170">
    <w:name w:val="List Paragraph"/>
    <w:basedOn w:val="1125"/>
    <w:uiPriority w:val="34"/>
    <w:qFormat/>
    <w:pPr>
      <w:ind w:left="708"/>
    </w:pPr>
  </w:style>
  <w:style w:type="paragraph" w:styleId="1171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_40146" w:customStyle="1">
    <w:name w:val="Заголовок 4"/>
    <w:basedOn w:val="1177"/>
    <w:next w:val="1177"/>
    <w:link w:val="1193"/>
    <w:uiPriority w:val="9"/>
    <w:qFormat/>
    <w:pPr>
      <w:contextualSpacing w:val="0"/>
      <w:ind w:left="0" w:right="-1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1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2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3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AF3-ADBE-4D39-AB66-4EE5A75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Grafskaya</dc:creator>
  <cp:keywords/>
  <cp:revision>17</cp:revision>
  <dcterms:created xsi:type="dcterms:W3CDTF">2024-08-06T11:55:00Z</dcterms:created>
  <dcterms:modified xsi:type="dcterms:W3CDTF">2025-08-21T12:10:08Z</dcterms:modified>
</cp:coreProperties>
</file>