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E81E83">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E81E83">
              <w:rPr>
                <w:rFonts w:ascii="Calibri" w:eastAsia="Times New Roman" w:hAnsi="Calibri" w:cs="Times New Roman"/>
                <w:bCs/>
                <w:sz w:val="32"/>
                <w:szCs w:val="32"/>
              </w:rPr>
              <w:t>1</w:t>
            </w:r>
            <w:r w:rsidR="00FB6388">
              <w:rPr>
                <w:rFonts w:ascii="Calibri" w:eastAsia="Times New Roman" w:hAnsi="Calibri" w:cs="Times New Roman"/>
                <w:bCs/>
                <w:sz w:val="32"/>
                <w:szCs w:val="32"/>
              </w:rPr>
              <w:t>5</w:t>
            </w:r>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E81E83">
              <w:rPr>
                <w:rFonts w:ascii="Calibri" w:eastAsia="Times New Roman" w:hAnsi="Calibri" w:cs="Times New Roman"/>
                <w:bCs/>
                <w:sz w:val="32"/>
                <w:szCs w:val="32"/>
              </w:rPr>
              <w:t>9</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990033"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если сумма платежа до 100 млн.руб.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lastRenderedPageBreak/>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573BA4" w:rsidRDefault="00573BA4" w:rsidP="003F3369">
      <w:pPr>
        <w:pStyle w:val="1"/>
        <w:jc w:val="center"/>
        <w:rPr>
          <w:sz w:val="22"/>
          <w:szCs w:val="22"/>
        </w:rPr>
      </w:pPr>
      <w:bookmarkStart w:id="4" w:name="_Toc367800043"/>
      <w:bookmarkStart w:id="5" w:name="_Toc419465955"/>
      <w:bookmarkStart w:id="6" w:name="_Toc509930240"/>
      <w:bookmarkStart w:id="7" w:name="_Toc509930649"/>
    </w:p>
    <w:p w:rsidR="00573BA4" w:rsidRPr="00573BA4" w:rsidRDefault="00573BA4" w:rsidP="00573BA4">
      <w:pPr>
        <w:rPr>
          <w:lang w:eastAsia="ru-RU"/>
        </w:rPr>
      </w:pPr>
    </w:p>
    <w:p w:rsidR="00573BA4" w:rsidRDefault="00573BA4" w:rsidP="003F3369">
      <w:pPr>
        <w:pStyle w:val="1"/>
        <w:jc w:val="center"/>
        <w:rPr>
          <w:sz w:val="22"/>
          <w:szCs w:val="22"/>
        </w:rPr>
      </w:pPr>
    </w:p>
    <w:p w:rsidR="00573BA4" w:rsidRPr="00573BA4" w:rsidRDefault="00573BA4" w:rsidP="00573BA4">
      <w:pPr>
        <w:rPr>
          <w:lang w:eastAsia="ru-RU"/>
        </w:rPr>
      </w:pPr>
    </w:p>
    <w:p w:rsidR="00355A70" w:rsidRPr="003F3369" w:rsidRDefault="00355A70" w:rsidP="003F3369">
      <w:pPr>
        <w:pStyle w:val="1"/>
        <w:jc w:val="center"/>
        <w:rPr>
          <w:sz w:val="22"/>
          <w:szCs w:val="22"/>
        </w:rPr>
      </w:pPr>
      <w:r w:rsidRPr="003F3369">
        <w:rPr>
          <w:sz w:val="22"/>
          <w:szCs w:val="22"/>
        </w:rPr>
        <w:lastRenderedPageBreak/>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 xml:space="preserve">до 6 000 000,00 руб. (включительно) в течение </w:t>
            </w:r>
            <w:r w:rsidRPr="001E3B5B">
              <w:rPr>
                <w:sz w:val="20"/>
                <w:szCs w:val="20"/>
              </w:rPr>
              <w:lastRenderedPageBreak/>
              <w:t>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w:t>
            </w:r>
            <w:r w:rsidRPr="001E3B5B">
              <w:rPr>
                <w:sz w:val="20"/>
                <w:szCs w:val="20"/>
              </w:rPr>
              <w:lastRenderedPageBreak/>
              <w:t xml:space="preserve">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банкнот иностранного государства (группы иностранных государств), </w:t>
            </w:r>
            <w:r w:rsidRPr="00C044B7">
              <w:rPr>
                <w:sz w:val="20"/>
                <w:szCs w:val="20"/>
              </w:rPr>
              <w:lastRenderedPageBreak/>
              <w:t>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(размер тарифов указан без учета НДС)*</w:t>
      </w:r>
      <w:bookmarkStart w:id="12" w:name="_Toc367800045"/>
      <w:bookmarkStart w:id="13" w:name="_Toc419465957"/>
      <w:bookmarkEnd w:id="11"/>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lastRenderedPageBreak/>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w:t>
            </w:r>
            <w:r w:rsidRPr="00585FE4">
              <w:rPr>
                <w:rFonts w:eastAsia="Times New Roman" w:cs="Times New Roman"/>
                <w:sz w:val="20"/>
                <w:szCs w:val="20"/>
                <w:lang w:eastAsia="ru-RU"/>
              </w:rPr>
              <w:lastRenderedPageBreak/>
              <w:t>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lastRenderedPageBreak/>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w:t>
            </w:r>
            <w:r w:rsidRPr="00CC77C9">
              <w:rPr>
                <w:sz w:val="20"/>
                <w:szCs w:val="20"/>
              </w:rPr>
              <w:lastRenderedPageBreak/>
              <w:t>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lastRenderedPageBreak/>
        <w:t>5. Документарные операции</w:t>
      </w:r>
      <w:bookmarkEnd w:id="16"/>
      <w:bookmarkEnd w:id="17"/>
      <w:bookmarkEnd w:id="18"/>
      <w:bookmarkEnd w:id="1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w:t>
            </w:r>
            <w:r w:rsidRPr="00846C13">
              <w:rPr>
                <w:rFonts w:eastAsia="Calibri" w:cs="Times New Roman"/>
                <w:iCs/>
                <w:sz w:val="22"/>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90 последовательных календарных </w:t>
            </w:r>
            <w:r w:rsidRPr="00846C13">
              <w:rPr>
                <w:rFonts w:eastAsia="Calibri" w:cs="Times New Roman"/>
                <w:bCs/>
                <w:sz w:val="22"/>
              </w:rPr>
              <w:lastRenderedPageBreak/>
              <w:t>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w:t>
            </w:r>
            <w:r w:rsidRPr="00846C13">
              <w:rPr>
                <w:rFonts w:eastAsia="Calibri" w:cs="Times New Roman"/>
                <w:iCs/>
                <w:sz w:val="22"/>
              </w:rPr>
              <w:lastRenderedPageBreak/>
              <w:t>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w:t>
            </w:r>
            <w:r w:rsidRPr="00846C13">
              <w:rPr>
                <w:rFonts w:eastAsia="Calibri" w:cs="Times New Roman"/>
                <w:iCs/>
                <w:sz w:val="22"/>
              </w:rPr>
              <w:lastRenderedPageBreak/>
              <w:t>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 xml:space="preserve">0,15% от суммы аккредитива, увеличения суммы </w:t>
            </w:r>
            <w:r w:rsidRPr="00846C13">
              <w:rPr>
                <w:rFonts w:eastAsia="Calibri" w:cs="Times New Roman"/>
                <w:bCs/>
                <w:sz w:val="22"/>
              </w:rPr>
              <w:lastRenderedPageBreak/>
              <w:t>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(не применяется при изменении условий и аннуляции трансферированного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(трансферация);</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трансферированной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трансферированного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Предварительное авизование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Перевод аккредитива в пользу другого бенефициара (трансферация);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трансферированной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запроса на аннуляцию трансферированного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w:t>
      </w:r>
      <w:r w:rsidRPr="00846C13">
        <w:rPr>
          <w:rFonts w:eastAsia="Times New Roman" w:cs="Times New Roman"/>
          <w:i/>
          <w:sz w:val="16"/>
          <w:szCs w:val="16"/>
          <w:lang w:eastAsia="ru-RU"/>
        </w:rPr>
        <w:lastRenderedPageBreak/>
        <w:t>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t>6. Гарантийные операции</w:t>
      </w:r>
      <w:bookmarkEnd w:id="20"/>
      <w:bookmarkEnd w:id="21"/>
      <w:bookmarkEnd w:id="22"/>
      <w:bookmarkEnd w:id="2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гарантии, авизование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r w:rsidRPr="00D430DC">
              <w:rPr>
                <w:sz w:val="20"/>
                <w:szCs w:val="20"/>
              </w:rPr>
              <w:t>авизование запроса на</w:t>
            </w:r>
          </w:p>
          <w:p w:rsidR="00355A70" w:rsidRPr="00C044B7" w:rsidRDefault="00D430DC" w:rsidP="00D430DC">
            <w:pPr>
              <w:spacing w:after="0" w:line="240" w:lineRule="atLeast"/>
              <w:jc w:val="both"/>
              <w:rPr>
                <w:sz w:val="20"/>
                <w:szCs w:val="20"/>
              </w:rPr>
            </w:pPr>
            <w:r w:rsidRPr="00D430DC">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lastRenderedPageBreak/>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пользовании клиентом услуг Банка по п.п.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Комиссия взимается в день предоставления доступа клиенту к системе «Интернет-Клиент</w:t>
            </w:r>
            <w:r>
              <w:rPr>
                <w:rFonts w:eastAsia="Times New Roman" w:cs="Times New Roman"/>
                <w:bCs/>
                <w:sz w:val="20"/>
                <w:szCs w:val="20"/>
                <w:lang w:eastAsia="ru-RU"/>
              </w:rPr>
              <w:t>»</w:t>
            </w:r>
            <w:bookmarkStart w:id="28" w:name="_GoBack"/>
            <w:bookmarkEnd w:id="28"/>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Формирование постоянного сертификата ключа проверки </w:t>
            </w:r>
            <w:r w:rsidRPr="00701BAB">
              <w:rPr>
                <w:rFonts w:eastAsia="Times New Roman" w:cs="Times New Roman"/>
                <w:bCs/>
                <w:sz w:val="20"/>
                <w:szCs w:val="20"/>
                <w:lang w:eastAsia="ru-RU"/>
              </w:rPr>
              <w:lastRenderedPageBreak/>
              <w:t>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lastRenderedPageBreak/>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lastRenderedPageBreak/>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lastRenderedPageBreak/>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0D1768">
              <w:rPr>
                <w:sz w:val="20"/>
                <w:szCs w:val="20"/>
              </w:rPr>
              <w:lastRenderedPageBreak/>
              <w:t>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lastRenderedPageBreak/>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lastRenderedPageBreak/>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lastRenderedPageBreak/>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lastRenderedPageBreak/>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 xml:space="preserve">АО «Россельхозбанк» кредитов на приобретение зерна из федерального интервенционного фонда № 372-П, Порядка </w:t>
            </w:r>
            <w:r w:rsidRPr="00195BFB">
              <w:rPr>
                <w:sz w:val="20"/>
                <w:szCs w:val="20"/>
              </w:rPr>
              <w:lastRenderedPageBreak/>
              <w:t>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lastRenderedPageBreak/>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Положения о предоставлении АО «Россельхозбанк» </w:t>
            </w:r>
            <w:r>
              <w:rPr>
                <w:sz w:val="20"/>
                <w:szCs w:val="20"/>
              </w:rPr>
              <w:lastRenderedPageBreak/>
              <w:t>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w:t>
            </w:r>
            <w:r>
              <w:rPr>
                <w:sz w:val="20"/>
                <w:szCs w:val="20"/>
              </w:rPr>
              <w:lastRenderedPageBreak/>
              <w:t>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xml:space="preserve">- при кредитовании в рамках Временного порядка предоставления кредитных продуктов клиентам микробизнеса (ИП/ИП Глава КФХ) с использованием </w:t>
            </w:r>
            <w:r w:rsidRPr="009813E0">
              <w:rPr>
                <w:bCs/>
                <w:sz w:val="20"/>
                <w:szCs w:val="20"/>
              </w:rPr>
              <w:lastRenderedPageBreak/>
              <w:t>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lastRenderedPageBreak/>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w:t>
            </w:r>
            <w:r>
              <w:rPr>
                <w:sz w:val="20"/>
                <w:szCs w:val="20"/>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xml:space="preserve">- при рефинансировании (реструктурировании) за счет средств АО «МСП Банк» кредитов, предоставленных </w:t>
            </w:r>
            <w:r w:rsidRPr="00413DD0">
              <w:rPr>
                <w:rFonts w:eastAsia="Times New Roman"/>
                <w:sz w:val="20"/>
                <w:szCs w:val="20"/>
                <w:lang w:eastAsia="ru-RU"/>
              </w:rPr>
              <w:lastRenderedPageBreak/>
              <w:t>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«Россельхозбанк»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lastRenderedPageBreak/>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w:t>
            </w:r>
            <w:r w:rsidRPr="00A21048">
              <w:rPr>
                <w:sz w:val="20"/>
                <w:szCs w:val="20"/>
              </w:rPr>
              <w:lastRenderedPageBreak/>
              <w:t xml:space="preserve">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Pr="0053374D"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Pr="00FE2F9C" w:rsidRDefault="00A21048" w:rsidP="002E5E40">
            <w:pPr>
              <w:spacing w:after="0" w:line="240" w:lineRule="atLeast"/>
              <w:jc w:val="center"/>
              <w:rPr>
                <w:sz w:val="20"/>
                <w:szCs w:val="20"/>
              </w:rPr>
            </w:pPr>
            <w:r w:rsidRPr="00A21048">
              <w:rPr>
                <w:sz w:val="20"/>
                <w:szCs w:val="20"/>
              </w:rPr>
              <w:lastRenderedPageBreak/>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lastRenderedPageBreak/>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lastRenderedPageBreak/>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r>
            <w:r w:rsidRPr="004E0464">
              <w:rPr>
                <w:bCs/>
                <w:sz w:val="20"/>
                <w:szCs w:val="20"/>
              </w:rPr>
              <w:lastRenderedPageBreak/>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w:t>
            </w:r>
            <w:r w:rsidRPr="003D727F">
              <w:rPr>
                <w:sz w:val="20"/>
                <w:szCs w:val="20"/>
              </w:rPr>
              <w:lastRenderedPageBreak/>
              <w:t xml:space="preserve">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lastRenderedPageBreak/>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lastRenderedPageBreak/>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 xml:space="preserve">Комиссия взимается в случае, если залогодателем по кредитной сделке, в рамках которой по инициативе заемщика требуется </w:t>
            </w:r>
            <w:r w:rsidRPr="00C75686">
              <w:rPr>
                <w:sz w:val="20"/>
                <w:szCs w:val="20"/>
              </w:rPr>
              <w:lastRenderedPageBreak/>
              <w:t>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 xml:space="preserve">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w:t>
      </w:r>
      <w:r w:rsidRPr="00420A66">
        <w:rPr>
          <w:rFonts w:eastAsia="Times New Roman" w:cs="Times New Roman"/>
          <w:bCs/>
          <w:iCs/>
          <w:sz w:val="16"/>
          <w:szCs w:val="16"/>
          <w:lang w:eastAsia="ru-RU"/>
        </w:rPr>
        <w:lastRenderedPageBreak/>
        <w:t>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w:t>
            </w:r>
            <w:r w:rsidRPr="00D50980">
              <w:rPr>
                <w:rFonts w:eastAsia="Times New Roman" w:cs="Times New Roman"/>
                <w:bCs/>
                <w:sz w:val="20"/>
                <w:szCs w:val="20"/>
                <w:lang w:eastAsia="ru-RU"/>
              </w:rPr>
              <w:lastRenderedPageBreak/>
              <w:t>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lastRenderedPageBreak/>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 xml:space="preserve">Депозитарный учет акций, облигаций и российских депозитарных расписок, хранение сертификатов эмиссионных </w:t>
            </w:r>
            <w:r w:rsidRPr="00D57A4A">
              <w:rPr>
                <w:rFonts w:eastAsia="Calibri" w:cs="Times New Roman"/>
                <w:bCs/>
                <w:sz w:val="20"/>
                <w:szCs w:val="20"/>
              </w:rPr>
              <w:lastRenderedPageBreak/>
              <w:t>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lastRenderedPageBreak/>
              <w:t xml:space="preserve">Акций (депозитарных расписок) до 50 млн. руб. (включительно) - 0,07% годовых, минимум 300 руб. в </w:t>
            </w:r>
            <w:r w:rsidRPr="00D57A4A">
              <w:rPr>
                <w:rFonts w:eastAsia="Calibri" w:cs="Times New Roman"/>
                <w:sz w:val="20"/>
                <w:szCs w:val="20"/>
              </w:rPr>
              <w:lastRenderedPageBreak/>
              <w:t>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w:t>
            </w:r>
            <w:r w:rsidRPr="00D57A4A">
              <w:rPr>
                <w:rFonts w:eastAsia="Calibri" w:cs="Times New Roman"/>
                <w:sz w:val="20"/>
                <w:szCs w:val="20"/>
              </w:rPr>
              <w:lastRenderedPageBreak/>
              <w:t>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 xml:space="preserve">Рассчитывается ежеквартально от ежедневного остатка по рыночной стоимости по акциям и производным инструментам и по номинальной </w:t>
            </w:r>
            <w:r w:rsidRPr="00D57A4A">
              <w:rPr>
                <w:rFonts w:eastAsia="Times New Roman" w:cs="Times New Roman"/>
                <w:sz w:val="20"/>
                <w:szCs w:val="20"/>
                <w:lang w:eastAsia="ru-RU"/>
              </w:rPr>
              <w:lastRenderedPageBreak/>
              <w:t>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lastRenderedPageBreak/>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lastRenderedPageBreak/>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lastRenderedPageBreak/>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7A" w:rsidRDefault="00B04A7A" w:rsidP="00B17345">
      <w:pPr>
        <w:spacing w:after="0" w:line="240" w:lineRule="auto"/>
      </w:pPr>
      <w:r>
        <w:separator/>
      </w:r>
    </w:p>
  </w:endnote>
  <w:endnote w:type="continuationSeparator" w:id="0">
    <w:p w:rsidR="00B04A7A" w:rsidRDefault="00B04A7A"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7A" w:rsidRDefault="00B04A7A" w:rsidP="00B17345">
      <w:pPr>
        <w:spacing w:after="0" w:line="240" w:lineRule="auto"/>
      </w:pPr>
      <w:r>
        <w:separator/>
      </w:r>
    </w:p>
  </w:footnote>
  <w:footnote w:type="continuationSeparator" w:id="0">
    <w:p w:rsidR="00B04A7A" w:rsidRDefault="00B04A7A" w:rsidP="00B17345">
      <w:pPr>
        <w:spacing w:after="0" w:line="240" w:lineRule="auto"/>
      </w:pPr>
      <w:r>
        <w:continuationSeparator/>
      </w:r>
    </w:p>
  </w:footnote>
  <w:footnote w:id="1">
    <w:p w:rsidR="00B04A7A" w:rsidRPr="001E1FC4" w:rsidRDefault="00B04A7A"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04A7A" w:rsidRPr="001B7ED9" w:rsidRDefault="00B04A7A"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B04A7A" w:rsidRPr="00DA3808" w:rsidRDefault="00B04A7A"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B04A7A" w:rsidRPr="00DA3808" w:rsidRDefault="00B04A7A"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B04A7A" w:rsidRPr="002D39DC" w:rsidRDefault="00B04A7A"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B04A7A" w:rsidRPr="00186FA1" w:rsidRDefault="00B04A7A"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B04A7A" w:rsidRPr="00AB1858" w:rsidRDefault="00B04A7A"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B04A7A" w:rsidRDefault="00B04A7A">
        <w:pPr>
          <w:pStyle w:val="a9"/>
          <w:jc w:val="center"/>
        </w:pPr>
        <w:r>
          <w:fldChar w:fldCharType="begin"/>
        </w:r>
        <w:r>
          <w:instrText>PAGE   \* MERGEFORMAT</w:instrText>
        </w:r>
        <w:r>
          <w:fldChar w:fldCharType="separate"/>
        </w:r>
        <w:r w:rsidR="00990033">
          <w:rPr>
            <w:noProof/>
          </w:rPr>
          <w:t>40</w:t>
        </w:r>
        <w:r>
          <w:fldChar w:fldCharType="end"/>
        </w:r>
      </w:p>
    </w:sdtContent>
  </w:sdt>
  <w:p w:rsidR="00B04A7A" w:rsidRDefault="00B04A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B5C09"/>
    <w:rsid w:val="009B60F1"/>
    <w:rsid w:val="009C51BE"/>
    <w:rsid w:val="009C6C2E"/>
    <w:rsid w:val="009D224B"/>
    <w:rsid w:val="009D4633"/>
    <w:rsid w:val="009D77F9"/>
    <w:rsid w:val="009E3ED6"/>
    <w:rsid w:val="009E4235"/>
    <w:rsid w:val="009E744E"/>
    <w:rsid w:val="00A00C30"/>
    <w:rsid w:val="00A07B6B"/>
    <w:rsid w:val="00A21048"/>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B6388"/>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023"/>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36D9-11C5-4650-B456-D603AD27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73</Pages>
  <Words>25826</Words>
  <Characters>147210</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11</cp:revision>
  <cp:lastPrinted>2019-07-04T06:38:00Z</cp:lastPrinted>
  <dcterms:created xsi:type="dcterms:W3CDTF">2022-07-01T09:18:00Z</dcterms:created>
  <dcterms:modified xsi:type="dcterms:W3CDTF">2022-09-16T06:52:00Z</dcterms:modified>
</cp:coreProperties>
</file>