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935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1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35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приказу АО «Россельхозбанк» 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9356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 xml:space="preserve">16</w:t>
      </w:r>
      <w:r>
        <w:rPr>
          <w:rFonts w:ascii="Times New Roman" w:hAnsi="Times New Roman" w:cs="Times New Roman"/>
          <w:sz w:val="20"/>
          <w:szCs w:val="20"/>
        </w:rPr>
        <w:t xml:space="preserve">.11.2021 № 2100-ОД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ind w:left="7938" w:firstLine="284"/>
        <w:jc w:val="right"/>
        <w:spacing w:before="40" w:after="0" w:line="240" w:lineRule="auto"/>
        <w:widowControl w:val="off"/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1177"/>
        <w:tblW w:w="5001" w:type="pct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4451"/>
        <w:gridCol w:w="39"/>
        <w:gridCol w:w="523"/>
        <w:gridCol w:w="2277"/>
        <w:gridCol w:w="15"/>
        <w:gridCol w:w="83"/>
        <w:gridCol w:w="6601"/>
        <w:gridCol w:w="36"/>
      </w:tblGrid>
      <w:tr>
        <w:tblPrEx/>
        <w:trPr>
          <w:jc w:val="center"/>
          <w:trHeight w:val="556"/>
        </w:trPr>
        <w:tc>
          <w:tcPr>
            <w:gridSpan w:val="9"/>
            <w:shd w:val="clear" w:color="auto" w:fill="c2d69b" w:themeFill="accent3" w:themeFillTint="99"/>
            <w:tcW w:w="5000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Тарифный план «Кредитная карта с льготным периодом кредитования»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highlight w:val="none"/>
                <w:lang w:eastAsia="ru-RU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iCs/>
                <w:sz w:val="24"/>
                <w:szCs w:val="24"/>
                <w:highlight w:val="none"/>
                <w:lang w:eastAsia="ru-RU"/>
              </w:rPr>
              <w:t xml:space="preserve">(действует до 30.04.2025 (включительно))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r>
          </w:p>
        </w:tc>
      </w:tr>
      <w:tr>
        <w:tblPrEx/>
        <w:trPr>
          <w:jc w:val="center"/>
          <w:trHeight w:val="409"/>
        </w:trPr>
        <w:tc>
          <w:tcPr>
            <w:shd w:val="clear" w:color="auto" w:fill="d6e3bc" w:themeFill="accent3" w:themeFillTint="66"/>
            <w:tcW w:w="277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№ п/п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2"/>
            <w:shd w:val="clear" w:color="auto" w:fill="d6e3bc" w:themeFill="accent3" w:themeFillTint="66"/>
            <w:tcW w:w="1512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d6e3bc" w:themeFill="accent3" w:themeFillTint="66"/>
            <w:tcW w:w="948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Описание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gridSpan w:val="3"/>
            <w:shd w:val="clear" w:color="auto" w:fill="d6e3bc" w:themeFill="accent3" w:themeFillTint="66"/>
            <w:tcW w:w="2263" w:type="pct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Примечания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W w:w="4723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параметры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"/>
              </w:numPr>
              <w:ind w:left="0" w:firstLine="0"/>
              <w:spacing w:before="62" w:beforeAutospacing="0" w:after="62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spacing w:before="62" w:beforeAutospacing="0" w:after="62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Валюта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tcW w:w="3211" w:type="pct"/>
            <w:textDirection w:val="lrTb"/>
            <w:noWrap w:val="false"/>
          </w:tcPr>
          <w:p>
            <w:pPr>
              <w:spacing w:before="62" w:beforeAutospacing="0" w:after="62" w:afterAutospacing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Рубли (руб.)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Специальные условия предоставления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tcW w:w="321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21.03.2024 выпуск карт в рамках данного тарифного плана не осуществляется, кроме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/замены карт/дополнительных карт в период действия кредитного лимита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карты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948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действия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226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"/>
              </w:numPr>
              <w:ind w:left="0" w:firstLine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 Моментального выпуска/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 Issue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Style w:val="1181"/>
                <w:rFonts w:ascii="Times New Roman" w:hAnsi="Times New Roman" w:cs="Times New Roman"/>
                <w:sz w:val="20"/>
                <w:szCs w:val="20"/>
                <w:lang w:val="en-US"/>
              </w:rPr>
              <w:footnoteReference w:id="3"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Instant Issue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 2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(кроме карт в виде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форм-фактора)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26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МИР Моментального выпуска не выпускается держателю / представителю держателя при наличии у него действующих карт МИР иных категорий, выпущенных к этому счету.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(В), Карта МИР Моментального выпуска составляет 5 лет и зависит от наличия карт данных категорий в подразделении АО «Россельхозбанк»</w:t>
            </w:r>
            <w:r>
              <w:rPr>
                <w:rStyle w:val="1181"/>
                <w:rFonts w:ascii="Times New Roman" w:hAnsi="Times New Roman" w:cs="Times New Roman"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срок действия карт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 в виде форм-фактора/ Карта МИР Моментального выпуска в виде форм-фактора составляет 5 лет.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Замена карт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Карта МИР Моментального выпуска.</w:t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highlight w:val="none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"/>
              </w:numPr>
              <w:ind w:left="0" w:firstLine="0"/>
              <w:spacing w:before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Классическая карта 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Премиальная карта 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(М)/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948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Borders>
              <w:bottom w:val="single" w:color="auto" w:sz="4" w:space="0"/>
            </w:tcBorders>
            <w:tcW w:w="226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Перевыпуск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карт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(М)/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 </w:t>
            </w: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 действующему счету осуществляется на карты категорий: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Классическая карта МИР/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Премиальная карта МИР.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  <w:trHeight w:val="270"/>
        </w:trPr>
        <w:tc>
          <w:tcPr>
            <w:shd w:val="clear" w:color="auto" w:fill="92d050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4723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обслуживание кредитной карты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5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7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 банковской карты/ дополнительной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94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2268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7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обслуживание кредитной карты/ дополнительной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943" w:type="pc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2268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4723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Погашение кредита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9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Минимальный 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pStyle w:val="1178"/>
              <w:numPr>
                <w:ilvl w:val="0"/>
                <w:numId w:val="4"/>
              </w:numPr>
              <w:ind w:left="0" w:firstLine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10%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суммы общей ссудной задолженности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numPr>
                <w:ilvl w:val="0"/>
                <w:numId w:val="4"/>
              </w:numPr>
              <w:ind w:left="0" w:firstLine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сумма начисленных процентов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нельготную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задолженность;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numPr>
                <w:ilvl w:val="0"/>
                <w:numId w:val="4"/>
              </w:numPr>
              <w:ind w:left="0" w:firstLine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случае нарушения условий льготного периода - сумма начисленных процентов на льготную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 за предыдущий(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процентный(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 период(ы)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35" w:type="pct"/>
            <w:textDirection w:val="lrTb"/>
            <w:noWrap w:val="false"/>
          </w:tcPr>
          <w:p>
            <w:pPr>
              <w:pStyle w:val="117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Размер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минимального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платежа, а также детализация по задолженности по кредиту, указаны в ежемесячно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Счет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-выписке, котор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ый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может быть: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117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1)сформирован Клиентом самостоятельно в системах «Интернет-банк» и «Мобильный банк»,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117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получен Клиентом при обращении в офис Банка.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117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* Минимальный платеж в размере 3% от суммы общей ссудной задолженности применяется для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счетов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кредитных карт, выпущенных с 14.09.2015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r>
          </w:p>
          <w:p>
            <w:pPr>
              <w:pStyle w:val="1178"/>
              <w:ind w:left="0"/>
              <w:jc w:val="both"/>
              <w:tabs>
                <w:tab w:val="left" w:pos="202" w:leader="none"/>
                <w:tab w:val="left" w:pos="352" w:leader="none"/>
              </w:tabs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i/>
                <w:sz w:val="20"/>
                <w:szCs w:val="20"/>
                <w:lang w:eastAsia="ru-RU"/>
              </w:rPr>
            </w:r>
          </w:p>
        </w:tc>
      </w:tr>
      <w:tr>
        <w:tblPrEx/>
        <w:trPr>
          <w:jc w:val="center"/>
          <w:trHeight w:val="267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1499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Период погашения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инимальн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платежа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5"/>
            <w:tcBorders>
              <w:bottom w:val="single" w:color="auto" w:sz="4" w:space="0"/>
            </w:tcBorders>
            <w:tcW w:w="989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1-го по 25-ое число календарного месяца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3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8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Неустойка, начисляемая за возникновение просроченной задолженности: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3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со дня предоставления кредита по дату окончания начисления процентов (включительно)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235" w:type="pct"/>
            <w:vMerge w:val="restart"/>
            <w:textDirection w:val="lrTb"/>
            <w:noWrap w:val="false"/>
          </w:tcPr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Определяется в соответствии с Правилами предоставления и использования кредитных карт в </w:t>
            </w:r>
            <w:r>
              <w:rPr>
                <w:rFonts w:ascii="Times New Roman" w:hAnsi="Times New Roman" w:cs="Times New Roman"/>
              </w:rPr>
              <w:t xml:space="preserve">АО «Россельхозбанк» </w:t>
            </w:r>
            <w:r>
              <w:rPr>
                <w:rFonts w:ascii="Times New Roman" w:hAnsi="Times New Roman" w:cs="Times New Roman"/>
              </w:rPr>
              <w:t xml:space="preserve">с льготным периодом кредитования. Датой окончания начисления процентов считается дата окончательного возврата кредита, определенная в соответствии с условиями </w:t>
            </w:r>
            <w:r>
              <w:rPr>
                <w:rFonts w:ascii="Times New Roman" w:hAnsi="Times New Roman" w:cs="Times New Roman"/>
              </w:rPr>
              <w:t xml:space="preserve">Договора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6"/>
            </w:r>
            <w:r>
              <w:rPr>
                <w:rFonts w:ascii="Times New Roman" w:hAnsi="Times New Roman" w:cs="Times New Roman"/>
              </w:rPr>
              <w:t xml:space="preserve">, либо дата полного фактического возврата (погашения) кредита (включительно), если кредит фактически будет возвращен досрочно в полном объеме до даты его окончательного возврата.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период с даты, следующей 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атой окончания начисления процентов, и по дату фактического возврата Банку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редита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полном объеме неустойка начисляется из расчета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0,1% от суммы просроченной задолженности за каждый календарный день просрочки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3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за возникшую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верхлимитную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40% годовых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3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Проценты на сумму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верхлимитной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начисляются со дня, следующего за датой ее возникновения по дату ее фактического погашения (включительно).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8"/>
            <w:shd w:val="clear" w:color="auto" w:fill="92d050"/>
            <w:tcBorders>
              <w:bottom w:val="single" w:color="auto" w:sz="4" w:space="0"/>
            </w:tcBorders>
            <w:tcW w:w="4723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Пополнение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карты в банкоматах, пунктах выдачи наличных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2235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с использованием карты в режиме реального времени, при этом они будут зачислены на счет на следующий банковский день.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использованием реквизитов карты в пунктах выдачи наличных Банка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7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35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без использования карты в подразделении Банка,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2235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Денежные средства доступны для совершения операций по счету не позднее банковского дня, следующего за днем зачисления/внесения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 w:clear="all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Borders>
              <w:bottom w:val="single" w:color="auto" w:sz="4" w:space="0"/>
            </w:tcBorders>
            <w:tcW w:w="4711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дение безналичных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оплата товаров и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Borders>
              <w:bottom w:val="single" w:color="auto" w:sz="4" w:space="0"/>
            </w:tcBorders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223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предоставляется в точках обслуживания, имеющих рекламные указатели о приеме соответствующих категорий карт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Borders>
              <w:bottom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редств c использованием услуги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«Перевод денежных средств по реквизитам получателя на сайте партнера Банка/«Перевод денежных средств физических лиц в пользу поставщиков услуг с использованием реквизитов платежных карт»/в банкоматах, информационно-платежных терминалах: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 размере взимаемой с плательщика комиссии предоставляется при проведении операции до ее подтверждения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получателей денежных средств устанавливается и ведется каждым подразделением Банка самостоятельно в электронном виде и доводи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тся до сведения держателя/держателя дополнительной карты при оказании услуги «Перевод денежных средств физических лиц в пользу поставщиков услуг с использованием реквизитов платежных карт» / посредством банкоматов, информационно-платежных терминалов Банка.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адрес поставщиков услуг, по договорам, заключенным Банком с поставщиками услуг в соответствии с перечнем/операторами по переводу денежных средств/ЗАО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Биллинговый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Borders>
              <w:bottom w:val="single" w:color="auto" w:sz="4" w:space="0"/>
            </w:tcBorders>
            <w:tcW w:w="248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бюджетную систему Российской Федерации, в соответствии с перечнем</w:t>
            </w:r>
            <w:r>
              <w:t xml:space="preserve">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Borders>
              <w:bottom w:val="single" w:color="auto" w:sz="4" w:space="0"/>
            </w:tcBorders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перечисление налогов и сборов (включая, пени, неустойки, штрафы в соответствии с налоговым законодательством)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Borders>
              <w:bottom w:val="single" w:color="auto" w:sz="4" w:space="0"/>
            </w:tcBorders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shd w:val="clear" w:color="auto" w:fill="ffffff" w:themeFill="background1"/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иным основаниям (кроме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Тарифов), в том числе в оплату штрафов ГИБДД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shd w:val="clear" w:color="auto" w:fill="ffffff" w:themeFill="background1"/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4711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 использованием услуги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7"/>
              </w:num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 за услугу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выбору держателя основной карты путем подключения её в устройствах самообслуживания АО «Россельхозбанк» на основании Условий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операций по переводу денежных средств физических лиц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поставщиков услуг, в пользу которых возможно осуществление перевода денежных средств с использованием услуги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Автоплатеж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доступен для ознакомления в устройствах самообслуживания, на информационных стендах в подразделениях Банка и на официальном интернет-сайте АО «Россельхозбанк» в сети Интернет по адресу www.rshb.ru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Минимальная сумма перевода для всех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Максимальная сумма перевода для получателей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«МТС», ПАО «ВымпелКом» (Билайн) и ПАО «Мегафон»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10 000 руб.;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5 000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Порог баланса для получателей: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«ВымпелКом» (Билайн) и ПАО «Мегафон» - 30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руб. и 600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ПАО «МТС» - от 30 руб. 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10 000 руб.,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ООО «Т2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Мобайл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(Tele2)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руб., 30 руб., 50 руб., 100 руб., 300 руб., 500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4711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опции по кредитной карте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8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vMerge w:val="restart"/>
            <w:textDirection w:val="lrTb"/>
            <w:noWrap w:val="false"/>
          </w:tcPr>
          <w:p>
            <w:pPr>
              <w:pStyle w:val="1178"/>
              <w:numPr>
                <w:ilvl w:val="0"/>
                <w:numId w:val="36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Вознаграждение клиенту путем начисления бонусных баллов в рамках Программы лояльности «Урожай»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23:59:59 по московскому времени 30.04.2022 (включительно):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1,5 бонусных балла за каждые потраченные 100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операциям оплаты товаров и услуг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23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Бонусные баллы начисляются в соответствии с Условиями Программы лояльности «Урожай» для Клиентов, являющихся держателями банковских карт АО «Россельхозбанк»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976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операциям, отраженным по счету с 00:00:00 по московскому времени 01.05.2022: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бонусных балла за каждые потраченные 100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операциям оплаты товаров и услуг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Borders>
              <w:bottom w:val="single" w:color="auto" w:sz="4" w:space="0"/>
            </w:tcBorders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Borders>
              <w:bottom w:val="single" w:color="auto" w:sz="4" w:space="0"/>
            </w:tcBorders>
            <w:tcW w:w="4711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471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Комиссия, взимаемая за проведение операций по снятию наличных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vMerge w:val="restart"/>
            <w:textDirection w:val="lrTb"/>
            <w:noWrap w:val="false"/>
          </w:tcPr>
          <w:p>
            <w:pPr>
              <w:pStyle w:val="117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подразделения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карт, выпущенных по Договору, заключенному с клиентом с 05.04.2022 по 12.09.2023 (включительно).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по выдаче наличных денежных средств, отраженным по счету карты в период с даты открытия счета и до 3-х календарных месяцев (далее - Период бесплатного снятия наличных),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бесплатного снятия наличных определяется с учетом следующего: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первый месяц начинается в дату открытия счета и заканчивается в последний календарный день месяца, в котором открыт счет;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второй месяц начинается в первый календарный день месяца, следующий за датой окончания первого календарного месяца и заканчивается в последний календарный день этого месяца;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третий месяц начинается в первый календарный день месяца, следующий за датой окончания второго календарного месяца и заканчивается в последний календарный день этого месяца.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vMerge w:val="continue"/>
            <w:textDirection w:val="lrTb"/>
            <w:noWrap w:val="false"/>
          </w:tcPr>
          <w:p>
            <w:pPr>
              <w:pStyle w:val="1178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vMerge w:val="continue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jc w:val="both"/>
              <w:shd w:val="clear" w:color="auto" w:fill="ffffff"/>
              <w:tabs>
                <w:tab w:val="left" w:pos="142" w:leader="none"/>
                <w:tab w:val="left" w:pos="426" w:leader="none"/>
                <w:tab w:val="left" w:pos="567" w:leader="none"/>
                <w:tab w:val="left" w:pos="1134" w:leader="none"/>
                <w:tab w:val="left" w:pos="1276" w:leader="none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карт, выпущенных по Договору, заключенному с клиентом с 13.09.2023.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операциям выдачи наличных денежных средств, отраженным по счету карты в период с даты открытия счета в течение 30 календарных дней, комиссия не взимается.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без использования карты через кассу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9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подразделения Банка, выдавшего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pStyle w:val="117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Комиссия не взимается - при получении клиентом остатка собственных средств, в сумме не более 15 000 рублей (включительно) при закрытии карточного счета. Если остаток собственных средств превышает 15 000 рублей комиссия взимается с суммы превышения.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банкоматах, пунктах выдачи наличных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Платежными системами и торгово-сервисными предприятиями могут быть установлены ограничения по предоставлению услуги выдачи наличных денежных средств при совершении покупки. О наличии услуги необходимо уточнять у кассира торгово-сервисного предприятия.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в банкоматах банков-партнеров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Альфа-банк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ПАО «Промсвязьбанк»,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АО «Райффайзенбанк», ПАО «РОСБАНК»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+ 490 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4711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03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ind w:left="27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9.1.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tcW w:w="4711" w:type="pct"/>
            <w:textDirection w:val="lrTb"/>
            <w:noWrap w:val="false"/>
          </w:tcPr>
          <w:p>
            <w:pPr>
              <w:jc w:val="both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без использования карты в валюте Российской Федерации со счета на основании распоряжения, поданного в подразделении Банка: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Банка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0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другую кредитную организацию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contextualSpacing w:val="0"/>
              <w:ind w:left="0"/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9.2.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7"/>
            <w:tcW w:w="4711" w:type="pct"/>
            <w:textDirection w:val="lrTb"/>
            <w:noWrap w:val="false"/>
          </w:tcPr>
          <w:p>
            <w:pPr>
              <w:spacing w:before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денежных средств со счета на основании распоряжения, поданного с использованием дистанционных каналов обслуживания (банкомат)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Перевод денежных средств на собственные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клиента (текущие, счета вкладов, «до востребования») или счета другого физического лица в пределах одного подразделения 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 распоряжений, поданных с использованием банкомата, осуществляется только на собственные счета или счета других физических лиц, открытые в одном подразделении АО «Россельхозбанк»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17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Курс конвертации из валюты операции в валюту счета карты установлен п.10.2 настоящего Тарифного плана.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4711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или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счета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одном подразделении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230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того же держателя в другое подразделение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restart"/>
            <w:textDirection w:val="lrTb"/>
            <w:noWrap w:val="false"/>
          </w:tcPr>
          <w:p>
            <w:pPr>
              <w:pStyle w:val="117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Перевод денежных средств производится только в валюте Рос</w:t>
            </w:r>
            <w:r>
              <w:rPr>
                <w:rFonts w:ascii="Times New Roman" w:hAnsi="Times New Roman" w:cs="Times New Roman"/>
              </w:rPr>
              <w:t xml:space="preserve">с</w:t>
            </w:r>
            <w:r>
              <w:rPr>
                <w:rFonts w:ascii="Times New Roman" w:hAnsi="Times New Roman" w:cs="Times New Roman"/>
              </w:rPr>
              <w:t xml:space="preserve">ийской Федерации между счетами, открытыми в валюте Российской Федерации.</w:t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на имя другого держателя в пределах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Merge w:val="continue"/>
            <w:textDirection w:val="lrTb"/>
            <w:noWrap w:val="false"/>
          </w:tcPr>
          <w:p>
            <w:pPr>
              <w:pStyle w:val="1179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  <w:r>
              <w:rPr>
                <w:rFonts w:ascii="Times New Roman" w:hAnsi="Times New Roman" w:cs="Times New Roman"/>
                <w:b/>
              </w:rPr>
            </w:r>
          </w:p>
        </w:tc>
      </w:tr>
      <w:tr>
        <w:tblPrEx/>
        <w:trPr>
          <w:gridAfter w:val="1"/>
          <w:jc w:val="center"/>
          <w:trHeight w:val="1692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«Национальная система платежных карт» (далее – АО «НСПК»)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Федерации* с использованием услуги «Перевод денежных средств по реквизитам получателя на сайте партнера Банка/«Перевод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 на совершение операции установлен п.11.2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Перевод денежных средств осуществляется только в валюте Российской Федерации со счета, открытого в валюте Российской Федерации.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1391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1512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Перевод с карты на карту с использованием услуги «Перевод денежных средств по реквизитам получателя на сайте партнера Банка/банкоматов/сайтов сторонних банков и сайтов иных организаций*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4"/>
            <w:tcW w:w="976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,9% (от суммы операции)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конвертации из валюты операции в валюту счета карты установлен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оказывается сторонним банком или организацией, не являющейся банком. За данную услугу возможно взимание сторонним банком или организацией дополнительной комиссии, в том числе могут быть установлены ограничения на сумму перевода.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  <w:trHeight w:val="323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4711" w:type="pct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Банка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10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 в сети Банка на момент совершения операции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5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tcW w:w="4711" w:type="pct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из валюты операции в валюту счета при совершении операций по карте в устройствах сторонних банков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операции в валюту расчетов с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(доллары США)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Производится международной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Конвертация денежных средств из валюты расчетов с международной платежной системой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валюту счета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операций с использованием платежных карт, совершенных вне сети Банка, на день отражения операции по счету карты</w:t>
            </w:r>
            <w:r>
              <w:rPr>
                <w:rStyle w:val="1181"/>
                <w:rFonts w:ascii="Times New Roman" w:hAnsi="Times New Roman" w:cs="Times New Roman"/>
                <w:sz w:val="20"/>
                <w:szCs w:val="20"/>
              </w:rPr>
              <w:footnoteReference w:id="11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5"/>
              </w:num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Конвертация денежных средств при совершении операций по счету без использования карты в подразделении Банка,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курсу покупки/продажи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безналичной иностранной валюты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4711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Лимиты на проведение операций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снятие наличных денежных средств по счету 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ерез кассу подразделения Банка, в банкоматах, пунктах выдачи наличных Банка и сторонних банков, торгово-сервисных предприятиях, являющихся банковским платежным агентом, предоставляющих услугу выдачи наличных денежных средств при совершении покупки, в месяц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12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размере кредитного лимита, установленного по Договору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Лимит на перевод на карту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МИР/международную платежную карту, осуществление операций по которой обеспечивается АО «НСПК» и производится исключительно на территории Российской Федерации,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стороннего эмитента - банка Российской Федерации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13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 использованием услуги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«Перевод денежных средств по реквизитам получателя на сайте партнера Банка/«Перевод по реквизитам платежных карт»/банкоматов Банка по реквизиту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2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Лимиты на совершение операций: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отправителя: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получателя: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суточного лимита операций – 300 000 рублей,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– сумма лимита операций в месяц – 3 000 000 рублей.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4711" w:type="pct"/>
            <w:vAlign w:val="center"/>
            <w:textDirection w:val="lrTb"/>
            <w:noWrap w:val="false"/>
          </w:tcPr>
          <w:p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Операции при утрате карты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уведомления Держателя об утрате и/или использовании карты без его согласия, принятого по телефону службы поддержки или в виде SMS-сообщения (для подключивших услугу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Уведомления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), через систему дистанционного банковского обслуживания (для пользователей системы «Интернет-банк» и «Мобильный банк»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14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Без возможности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карты, уведомление об утрате которой получено Банком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Классическая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 Премиальная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Обработка Банком письменного заявления Держателя об утрате карты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 новой карты взамен утраче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ной осуществляется согласно Правилам предоставления и использования кредитных карт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АО «Россельхозбанк» с льготным периодом кредитования (при наличии возможности выпуска новой карты).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за выпуск/обслуживание новой карты взамен утраченной, выпущенной на основании заявления клиента, взимается в соответс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вии с п.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арифного плана.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Карта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Моментального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выпуска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МИР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Классическая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Classic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Standard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МИР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Премиальная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Gold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(М)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tcW w:w="24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(В)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Platinum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contextualSpacing w:val="0"/>
              <w:ind w:left="0" w:firstLine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4711" w:type="pct"/>
            <w:vAlign w:val="center"/>
            <w:textDirection w:val="lrTb"/>
            <w:noWrap w:val="false"/>
          </w:tcPr>
          <w:p>
            <w:pPr>
              <w:pStyle w:val="1178"/>
              <w:contextualSpacing w:val="0"/>
              <w:ind w:left="0"/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Информирование клиента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ffffff" w:themeFill="background1"/>
            <w:tcW w:w="2488" w:type="pct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Услуга «Уведомления»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Плата взимается при подключении услуги, далее - ежемесячно. Порядок предоставления услуги «Уведомления» определяется Условиями предоставления услуги «Уведомления» в АО «Россельхозбанк»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1688" w:type="pct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счету»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1688" w:type="pct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Услуга «Уведомления по дополнительной карте»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99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Данная услуга предоставляется по желанию держателя/держателя дополнительной карты. Плата взимается за каждый подключенный к услуге номер мобильного телефона.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ffffff" w:themeFill="background1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16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</w:t>
            </w:r>
            <w:r>
              <w:rPr>
                <w:rStyle w:val="1181"/>
                <w:rFonts w:ascii="Times New Roman" w:hAnsi="Times New Roman" w:cs="Times New Roman"/>
                <w:b/>
                <w:sz w:val="20"/>
                <w:szCs w:val="20"/>
              </w:rPr>
              <w:footnoteReference w:id="15"/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 остатке денежных средств на счете в подразделении Банка,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shd w:val="clear" w:color="auto" w:fill="ffffff" w:themeFill="background1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shd w:val="clear" w:color="auto" w:fill="ffffff" w:themeFill="background1"/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Предоставляется по желанию клиента получить справку для консульских учреждений иностранных государств, установленного Банком образца.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6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выписки по счету, в подразделении Банка, выдавшем карту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6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расчетный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указанный в Счет-выписке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16"/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6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за произвольный период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6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Предоставление мини-выписки по карте в банкоматах Банка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(9 последних операций)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auto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6"/>
            <w:shd w:val="clear" w:color="auto" w:fill="auto"/>
            <w:tcW w:w="24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Выдача справки об остатке денежных средств на карте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shd w:val="clear" w:color="auto" w:fill="auto"/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6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Банка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не взимается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6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 банкоматах сторонних банков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shd w:val="clear" w:color="auto" w:fill="92d050"/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2"/>
              </w:numPr>
              <w:contextualSpacing w:val="0"/>
              <w:ind w:left="0" w:firstLine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/>
            <w:bookmarkStart w:id="0" w:name="_GoBack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7"/>
            <w:shd w:val="clear" w:color="auto" w:fill="92d050"/>
            <w:tcW w:w="4711" w:type="pct"/>
            <w:vAlign w:val="center"/>
            <w:textDirection w:val="lrTb"/>
            <w:noWrap w:val="false"/>
          </w:tcPr>
          <w:p>
            <w:pPr>
              <w:pStyle w:val="1178"/>
              <w:contextualSpacing w:val="0"/>
              <w:ind w:left="0"/>
              <w:spacing w:before="100" w:after="1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Прочие комиссии за облуживание кредитной карты</w:t>
            </w:r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6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Проверка операции по поручению держателя на основании заявления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Комиссия взимается в случае признания претензии клиента необоснованной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  <w:tr>
        <w:tblPrEx/>
        <w:trPr>
          <w:gridAfter w:val="1"/>
          <w:jc w:val="center"/>
        </w:trPr>
        <w:tc>
          <w:tcPr>
            <w:tcW w:w="277" w:type="pct"/>
            <w:textDirection w:val="lrTb"/>
            <w:noWrap w:val="false"/>
          </w:tcPr>
          <w:p>
            <w:pPr>
              <w:pStyle w:val="117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1688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Смена ПИН-кода в подразделении Банка в связи с его утратой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</w:r>
          </w:p>
        </w:tc>
        <w:tc>
          <w:tcPr>
            <w:gridSpan w:val="3"/>
            <w:tcW w:w="800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руб.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  <w:tc>
          <w:tcPr>
            <w:tcW w:w="2223" w:type="pct"/>
            <w:vAlign w:val="center"/>
            <w:textDirection w:val="lrTb"/>
            <w:noWrap w:val="false"/>
          </w:tcPr>
          <w:p>
            <w:pPr>
              <w:pStyle w:val="1178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карт категорий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Instant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Issue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(М) в виде форм-фактора/ Карта МИР Моментального выпуска в виде форм-фактора, операция не производится.</w: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  <w:r>
        <w:rPr>
          <w:rFonts w:ascii="Times New Roman" w:hAnsi="Times New Roman" w:cs="Times New Roman"/>
          <w:sz w:val="2"/>
          <w:szCs w:val="2"/>
        </w:rPr>
      </w:r>
    </w:p>
    <w:sectPr>
      <w:headerReference w:type="default" r:id="rId9"/>
      <w:footnotePr>
        <w:pos w:val="beneathText"/>
      </w:footnotePr>
      <w:endnotePr/>
      <w:type w:val="nextPage"/>
      <w:pgSz w:w="16838" w:h="11906" w:orient="landscape"/>
      <w:pgMar w:top="993" w:right="851" w:bottom="851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Peterburg">
    <w:panose1 w:val="02000603000000000000"/>
  </w:font>
  <w:font w:name="Tahoma">
    <w:panose1 w:val="020B0604030504040204"/>
  </w:font>
  <w:font w:name="Symbol">
    <w:panose1 w:val="05010000000000000000"/>
  </w:font>
  <w:font w:name="NKOJCK+TimesNewRoman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Категории карт приведены в порядке возрастания. Категория дополнительной карты не может превышать категорию основной карты.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3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Карты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(М)/ Карта МИР Моментального выпуска могут быть оформлены в виде форм-фактора, приобретенного в Торговой организации, с привязкой к счету, к которому имеется действующая карта: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 имя Клиента при оформлении Анкеты-заявления на получение карты и установление кредитного лимита;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- на имя представителя Клиента при оформлении Заявления на получение дополнительной карты АО «Россельхозбанк». 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Информаци</w:t>
      </w:r>
      <w:r>
        <w:rPr>
          <w:rFonts w:ascii="Times New Roman" w:hAnsi="Times New Roman" w:cs="Times New Roman"/>
          <w:sz w:val="18"/>
          <w:szCs w:val="18"/>
        </w:rPr>
        <w:t xml:space="preserve">я о сроке действия карты в виде форм-фактора доступна Клиенту в системах «Интернет-банк» и «Мобильный банк», а также предоставляется Клиенту при личном обращении в подразделение Банка и в Службу поддержки Банка по телефону, указанному на сайте www.rshb.ru.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Безналичные операции, операции выдачи наличных денежных средств, пополнения счета по картам категории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Instant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Issue</w:t>
      </w:r>
      <w:r>
        <w:rPr>
          <w:rFonts w:ascii="Times New Roman" w:hAnsi="Times New Roman" w:cs="Times New Roman"/>
          <w:sz w:val="18"/>
          <w:szCs w:val="18"/>
        </w:rPr>
        <w:t xml:space="preserve"> (М) в виде форм-фактора/Карта МИР Моментального выпуска в виде форм-фактора осуществляются в банкоматах/ информационно-платежных терминалах/электронных терминалах с бесконтактным обслуживанием.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4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допустимый вариант использования наименования: Банк. Под подразделением АО «Россельхозбанк» понимается региональный филиал, включая его дополнительные офисы, либо головной офис и дополнительные офисы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АО «Россельхозбанк».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5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Для определенных категорий карт размеры ко</w:t>
      </w:r>
      <w:r>
        <w:rPr>
          <w:rFonts w:ascii="Times New Roman" w:hAnsi="Times New Roman" w:cs="Times New Roman"/>
          <w:sz w:val="18"/>
          <w:szCs w:val="18"/>
        </w:rPr>
        <w:t xml:space="preserve">миссий, указанных в пунктах 2, 13 могут отличаться от установленных, в случае проведения АО «Россельхозбанк» маркетинговых акций. Размер комиссии для определенных категорий карт по указанным пунктам устанавливается правилами проведения маркетинговой акции.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6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Здесь и далее по тексту настоящего Тарифного плана. Договор – договор о предоставлении и обслуживании кредитной карты с льготным периодом кредитования</w:t>
      </w:r>
      <w:r>
        <w:rPr>
          <w:rFonts w:ascii="Times New Roman" w:hAnsi="Times New Roman" w:cs="Times New Roman"/>
          <w:iCs/>
          <w:sz w:val="18"/>
          <w:szCs w:val="18"/>
        </w:rPr>
        <w:t xml:space="preserve">, состоящий из </w:t>
      </w:r>
      <w:r>
        <w:rPr>
          <w:rFonts w:ascii="Times New Roman" w:hAnsi="Times New Roman" w:cs="Times New Roman"/>
          <w:sz w:val="18"/>
          <w:szCs w:val="18"/>
        </w:rPr>
        <w:t xml:space="preserve">Соглашения, содержащего все существенные условия сделки, и Правил предоставления и использования кредитных карт АО «Россельхозбанк» с льготным периодом кредитования, </w:t>
      </w:r>
      <w:r>
        <w:rPr>
          <w:rFonts w:ascii="Times New Roman" w:hAnsi="Times New Roman" w:cs="Times New Roman"/>
          <w:iCs/>
          <w:sz w:val="18"/>
          <w:szCs w:val="18"/>
        </w:rPr>
        <w:t xml:space="preserve">заключаемый </w:t>
      </w:r>
      <w:r>
        <w:rPr>
          <w:rFonts w:ascii="Times New Roman" w:hAnsi="Times New Roman" w:cs="Times New Roman"/>
          <w:sz w:val="18"/>
          <w:szCs w:val="18"/>
        </w:rPr>
        <w:t xml:space="preserve">путем присоединения Клиента к Правилам посредством подписания Соглашения.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7">
    <w:p>
      <w:pPr>
        <w:pStyle w:val="1179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Пополнение счета производится только в валюте Российской Федерации на счет карты, открытый в валюте Российской Федерации</w:t>
      </w:r>
      <w:r>
        <w:rPr>
          <w:rFonts w:ascii="Times New Roman" w:hAnsi="Times New Roman" w:cs="Times New Roman"/>
          <w:sz w:val="18"/>
          <w:szCs w:val="18"/>
        </w:rPr>
        <w:t xml:space="preserve">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8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Размеры бонусных баллов, указанных в пункте 7 могут отличаться от установленных, в случае проведения АО «Россельхозбанк» маркетинговых акций. Размер бонусных баллов по указанному пункту устанавливается правилами проведения маркетинговой акции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9">
    <w:p>
      <w:pPr>
        <w:pStyle w:val="1179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случаях, предусмотренных Договором.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0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 www.rshb.ru, в пунктах выдачи наличных и банкоматах АО «Россельхозбанк»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1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Информация размещается на </w:t>
      </w:r>
      <w:r>
        <w:rPr>
          <w:rFonts w:ascii="Times New Roman" w:hAnsi="Times New Roman" w:cs="Times New Roman"/>
          <w:sz w:val="18"/>
          <w:szCs w:val="18"/>
        </w:rPr>
        <w:t xml:space="preserve">web</w:t>
      </w:r>
      <w:r>
        <w:rPr>
          <w:rFonts w:ascii="Times New Roman" w:hAnsi="Times New Roman" w:cs="Times New Roman"/>
          <w:sz w:val="18"/>
          <w:szCs w:val="18"/>
        </w:rPr>
        <w:t xml:space="preserve">-сайте Банка: www.rshb.ru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2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Календарный месяц. Операции сня</w:t>
      </w:r>
      <w:r>
        <w:rPr>
          <w:rFonts w:ascii="Times New Roman" w:hAnsi="Times New Roman" w:cs="Times New Roman"/>
          <w:sz w:val="18"/>
          <w:szCs w:val="18"/>
        </w:rPr>
        <w:t xml:space="preserve">тия наличных денежных средств в банкоматах, пунктах выдачи наличных сторонних банков на территории Индонезии, совершенные без использования данных микропроцессора платежной карты, ограничены 3 (тремя) операциями в сутки по каждой карте, выпущенной к счету.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3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Перевод денежных средств осуществляется только в валюте Российской Федерации со счета, открытого в валюте Российской Федерации.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4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В случае присоединения Держателя к Условиям дистанционного банковского обслуживания физических лиц АО «Россельхозбанк» с использованием системы «Интернет-банк» и «Мобильный банк».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5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Комиссионное вознаграждение взимается в момент совершения операции путем внесения наличных денежных средств в кассу АО «Россельхозбанк» либо списанием суммы комиссии со счета.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  <w:footnote w:id="16">
    <w:p>
      <w:pPr>
        <w:pStyle w:val="117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1181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Определяется в соответствии с Правилами предоставления и использования кредитных карт в АО «Россельхозбанк» с льготным периодом кредитования.</w: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008512671"/>
      <w:docPartObj>
        <w:docPartGallery w:val="Page Numbers (Top of Page)"/>
        <w:docPartUnique w:val="true"/>
      </w:docPartObj>
      <w:rPr/>
    </w:sdtPr>
    <w:sdtContent>
      <w:p>
        <w:pPr>
          <w:pStyle w:val="1193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sz w:val="20"/>
            <w:szCs w:val="20"/>
          </w:rPr>
          <w:t xml:space="preserve">8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</w:r>
        <w:r>
          <w:rPr>
            <w:rFonts w:ascii="Times New Roman" w:hAnsi="Times New Roman" w:cs="Times New Roman"/>
            <w:sz w:val="20"/>
            <w:szCs w:val="20"/>
          </w:rPr>
        </w:r>
      </w:p>
    </w:sdtContent>
  </w:sdt>
  <w:p>
    <w:pPr>
      <w:pStyle w:val="1193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  <w:r>
      <w:rPr>
        <w:sz w:val="20"/>
        <w:szCs w:val="20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0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9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2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2.%1.1.2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5.2.%1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2.3.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hint="default"/>
        <w:b/>
        <w:color w:val="auto"/>
        <w:sz w:val="20"/>
        <w:szCs w:val="20"/>
      </w:rPr>
    </w:lvl>
    <w:lvl w:ilvl="1">
      <w:start w:val="3"/>
      <w:numFmt w:val="decimal"/>
      <w:isLgl/>
      <w:suff w:val="tab"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738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956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3174" w:hanging="108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3752" w:hanging="1440"/>
      </w:pPr>
      <w:rPr>
        <w:rFonts w:hint="default"/>
      </w:rPr>
    </w:lvl>
  </w:abstractNum>
  <w:abstractNum w:abstractNumId="8">
    <w:multiLevelType w:val="hybridMultilevel"/>
    <w:lvl w:ilvl="0">
      <w:start w:val="9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9">
    <w:multiLevelType w:val="hybridMultilevel"/>
    <w:lvl w:ilvl="0">
      <w:start w:val="3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13.1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9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1.%1.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2.%1."/>
      <w:lvlJc w:val="left"/>
      <w:pPr>
        <w:ind w:left="360" w:hanging="360"/>
      </w:pPr>
      <w:rPr>
        <w:rFonts w:hint="default" w:ascii="Times New Roman" w:hAnsi="Times New Roman" w:cs="Times New Roman"/>
        <w:b w:val="0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5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13.5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5.%1.2.1"/>
      <w:lvlJc w:val="left"/>
      <w:pPr>
        <w:ind w:left="72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4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19">
    <w:multiLevelType w:val="hybridMultilevel"/>
    <w:lvl w:ilvl="0">
      <w:start w:val="2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5.2.%1.2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12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4">
    <w:multiLevelType w:val="hybridMultilevel"/>
    <w:lvl w:ilvl="0">
      <w:start w:val="9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5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6">
    <w:multiLevelType w:val="hybridMultilevel"/>
    <w:lvl w:ilvl="0">
      <w:start w:val="7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9.2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8">
    <w:multiLevelType w:val="hybridMultilevel"/>
    <w:lvl w:ilvl="0">
      <w:start w:val="5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ind w:left="928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8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8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1">
    <w:multiLevelType w:val="hybridMultilevel"/>
    <w:lvl w:ilvl="0">
      <w:start w:val="3"/>
      <w:numFmt w:val="decimal"/>
      <w:isLgl w:val="false"/>
      <w:suff w:val="tab"/>
      <w:lvlText w:val="9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3"/>
      <w:numFmt w:val="decimal"/>
      <w:isLgl w:val="false"/>
      <w:suff w:val="tab"/>
      <w:lvlText w:val="%1.3"/>
      <w:lvlJc w:val="left"/>
      <w:pPr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3">
    <w:multiLevelType w:val="hybridMultilevel"/>
    <w:lvl w:ilvl="0">
      <w:start w:val="4"/>
      <w:numFmt w:val="decimal"/>
      <w:isLgl w:val="false"/>
      <w:suff w:val="tab"/>
      <w:lvlText w:val="%1.3"/>
      <w:lvlJc w:val="left"/>
      <w:pPr>
        <w:ind w:left="502" w:hanging="360"/>
      </w:pPr>
      <w:rPr>
        <w:rFonts w:hint="default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4"/>
      <w:numFmt w:val="decimal"/>
      <w:isLgl w:val="false"/>
      <w:suff w:val="tab"/>
      <w:lvlText w:val="%1.2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35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4"/>
      <w:numFmt w:val="decimal"/>
      <w:pStyle w:val="1197"/>
      <w:isLgl w:val="false"/>
      <w:suff w:val="tab"/>
      <w:lvlText w:val="%1.%2."/>
      <w:lvlJc w:val="left"/>
      <w:pPr>
        <w:ind w:left="1065" w:hanging="360"/>
        <w:tabs>
          <w:tab w:val="num" w:pos="1065" w:leader="none"/>
        </w:tabs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0" w:hanging="720"/>
        <w:tabs>
          <w:tab w:val="num" w:pos="2130" w:leader="none"/>
        </w:tabs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2835" w:hanging="720"/>
        <w:tabs>
          <w:tab w:val="num" w:pos="2835" w:leader="none"/>
        </w:tabs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00" w:hanging="1080"/>
        <w:tabs>
          <w:tab w:val="num" w:pos="3900" w:leader="none"/>
        </w:tabs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605" w:hanging="1080"/>
        <w:tabs>
          <w:tab w:val="num" w:pos="4605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5670" w:hanging="1440"/>
        <w:tabs>
          <w:tab w:val="num" w:pos="5670" w:leader="none"/>
        </w:tabs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375" w:hanging="1440"/>
        <w:tabs>
          <w:tab w:val="num" w:pos="6375" w:leader="none"/>
        </w:tabs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440" w:hanging="1800"/>
        <w:tabs>
          <w:tab w:val="num" w:pos="7440" w:leader="none"/>
        </w:tabs>
      </w:pPr>
      <w:rPr>
        <w:rFonts w:hint="default"/>
      </w:r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13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14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3.3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0">
    <w:multiLevelType w:val="hybridMultilevel"/>
    <w:lvl w:ilvl="0">
      <w:start w:val="1"/>
      <w:numFmt w:val="decimal"/>
      <w:isLgl w:val="false"/>
      <w:suff w:val="tab"/>
      <w:lvlText w:val="11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1">
    <w:multiLevelType w:val="hybridMultilevel"/>
    <w:lvl w:ilvl="0">
      <w:start w:val="1"/>
      <w:numFmt w:val="decimal"/>
      <w:isLgl w:val="false"/>
      <w:suff w:val="tab"/>
      <w:lvlText w:val="13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2">
    <w:multiLevelType w:val="hybridMultilevel"/>
    <w:lvl w:ilvl="0">
      <w:start w:val="1"/>
      <w:numFmt w:val="decimal"/>
      <w:isLgl w:val="false"/>
      <w:suff w:val="tab"/>
      <w:lvlText w:val="12.%1."/>
      <w:lvlJc w:val="left"/>
      <w:pPr>
        <w:ind w:left="360" w:hanging="360"/>
      </w:pPr>
      <w:rPr>
        <w:rFonts w:hint="default" w:ascii="Times New Roman" w:hAnsi="Times New Roman" w:cs="Times New Roman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3">
    <w:multiLevelType w:val="hybridMultilevel"/>
    <w:lvl w:ilvl="0">
      <w:start w:val="3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abstractNum w:abstractNumId="44">
    <w:multiLevelType w:val="hybridMultilevel"/>
    <w:lvl w:ilvl="0">
      <w:start w:val="2"/>
      <w:numFmt w:val="decimal"/>
      <w:isLgl w:val="false"/>
      <w:suff w:val="tab"/>
      <w:lvlText w:val="2.%1.1.1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5">
    <w:multiLevelType w:val="hybridMultilevel"/>
    <w:lvl w:ilvl="0">
      <w:start w:val="1"/>
      <w:numFmt w:val="decimal"/>
      <w:isLgl w:val="false"/>
      <w:suff w:val="tab"/>
      <w:lvlText w:val="6.%1."/>
      <w:lvlJc w:val="left"/>
      <w:pPr>
        <w:ind w:left="360" w:hanging="360"/>
      </w:pPr>
      <w:rPr>
        <w:rFonts w:hint="default" w:ascii="Times New Roman" w:hAnsi="Times New Roman" w:cs="Times New Roman"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46">
    <w:multiLevelType w:val="hybridMultilevel"/>
    <w:lvl w:ilvl="0">
      <w:start w:val="4"/>
      <w:numFmt w:val="decimal"/>
      <w:isLgl w:val="false"/>
      <w:suff w:val="tab"/>
      <w:lvlText w:val="%1.1"/>
      <w:lvlJc w:val="left"/>
      <w:pPr>
        <w:ind w:left="360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1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7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38" w:hanging="180"/>
      </w:pPr>
    </w:lvl>
  </w:abstractNum>
  <w:num w:numId="1">
    <w:abstractNumId w:val="12"/>
  </w:num>
  <w:num w:numId="2">
    <w:abstractNumId w:val="7"/>
  </w:num>
  <w:num w:numId="3">
    <w:abstractNumId w:val="29"/>
  </w:num>
  <w:num w:numId="4">
    <w:abstractNumId w:val="38"/>
  </w:num>
  <w:num w:numId="5">
    <w:abstractNumId w:val="22"/>
  </w:num>
  <w:num w:numId="6">
    <w:abstractNumId w:val="39"/>
  </w:num>
  <w:num w:numId="7">
    <w:abstractNumId w:val="9"/>
  </w:num>
  <w:num w:numId="8">
    <w:abstractNumId w:val="32"/>
  </w:num>
  <w:num w:numId="9">
    <w:abstractNumId w:val="46"/>
  </w:num>
  <w:num w:numId="10">
    <w:abstractNumId w:val="33"/>
  </w:num>
  <w:num w:numId="11">
    <w:abstractNumId w:val="18"/>
  </w:num>
  <w:num w:numId="12">
    <w:abstractNumId w:val="28"/>
  </w:num>
  <w:num w:numId="13">
    <w:abstractNumId w:val="25"/>
  </w:num>
  <w:num w:numId="14">
    <w:abstractNumId w:val="15"/>
  </w:num>
  <w:num w:numId="15">
    <w:abstractNumId w:val="4"/>
  </w:num>
  <w:num w:numId="16">
    <w:abstractNumId w:val="20"/>
  </w:num>
  <w:num w:numId="17">
    <w:abstractNumId w:val="45"/>
  </w:num>
  <w:num w:numId="18">
    <w:abstractNumId w:val="30"/>
  </w:num>
  <w:num w:numId="19">
    <w:abstractNumId w:val="8"/>
  </w:num>
  <w:num w:numId="20">
    <w:abstractNumId w:val="1"/>
  </w:num>
  <w:num w:numId="21">
    <w:abstractNumId w:val="24"/>
  </w:num>
  <w:num w:numId="22">
    <w:abstractNumId w:val="27"/>
  </w:num>
  <w:num w:numId="23">
    <w:abstractNumId w:val="31"/>
  </w:num>
  <w:num w:numId="24">
    <w:abstractNumId w:val="11"/>
  </w:num>
  <w:num w:numId="25">
    <w:abstractNumId w:val="0"/>
  </w:num>
  <w:num w:numId="26">
    <w:abstractNumId w:val="14"/>
  </w:num>
  <w:num w:numId="27">
    <w:abstractNumId w:val="40"/>
  </w:num>
  <w:num w:numId="28">
    <w:abstractNumId w:val="42"/>
  </w:num>
  <w:num w:numId="29">
    <w:abstractNumId w:val="23"/>
  </w:num>
  <w:num w:numId="30">
    <w:abstractNumId w:val="41"/>
  </w:num>
  <w:num w:numId="31">
    <w:abstractNumId w:val="10"/>
  </w:num>
  <w:num w:numId="32">
    <w:abstractNumId w:val="36"/>
  </w:num>
  <w:num w:numId="33">
    <w:abstractNumId w:val="16"/>
  </w:num>
  <w:num w:numId="34">
    <w:abstractNumId w:val="37"/>
  </w:num>
  <w:num w:numId="35">
    <w:abstractNumId w:val="34"/>
  </w:num>
  <w:num w:numId="36">
    <w:abstractNumId w:val="26"/>
  </w:num>
  <w:num w:numId="37">
    <w:abstractNumId w:val="13"/>
  </w:num>
  <w:num w:numId="38">
    <w:abstractNumId w:val="2"/>
  </w:num>
  <w:num w:numId="39">
    <w:abstractNumId w:val="17"/>
  </w:num>
  <w:num w:numId="40">
    <w:abstractNumId w:val="44"/>
  </w:num>
  <w:num w:numId="41">
    <w:abstractNumId w:val="3"/>
  </w:num>
  <w:num w:numId="42">
    <w:abstractNumId w:val="19"/>
  </w:num>
  <w:num w:numId="43">
    <w:abstractNumId w:val="21"/>
  </w:num>
  <w:num w:numId="44">
    <w:abstractNumId w:val="43"/>
  </w:num>
  <w:num w:numId="45">
    <w:abstractNumId w:val="35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beneathText"/>
    <w:numFmt w:val="decimal"/>
    <w:numStart w:val="1"/>
    <w:numRestart w:val="continuous"/>
    <w:footnote w:id="-1"/>
    <w:footnote w:id="0"/>
  </w:footnotePr>
  <w:endnotePr>
    <w:pos w:val="sect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03">
    <w:name w:val="Heading 1"/>
    <w:basedOn w:val="1172"/>
    <w:next w:val="1172"/>
    <w:link w:val="10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004">
    <w:name w:val="Heading 1 Char"/>
    <w:basedOn w:val="1173"/>
    <w:link w:val="1003"/>
    <w:uiPriority w:val="9"/>
    <w:rPr>
      <w:rFonts w:ascii="Arial" w:hAnsi="Arial" w:eastAsia="Arial" w:cs="Arial"/>
      <w:sz w:val="40"/>
      <w:szCs w:val="40"/>
    </w:rPr>
  </w:style>
  <w:style w:type="paragraph" w:styleId="1005">
    <w:name w:val="Heading 2"/>
    <w:basedOn w:val="1172"/>
    <w:next w:val="1172"/>
    <w:link w:val="100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06">
    <w:name w:val="Heading 2 Char"/>
    <w:basedOn w:val="1173"/>
    <w:link w:val="1005"/>
    <w:uiPriority w:val="9"/>
    <w:rPr>
      <w:rFonts w:ascii="Arial" w:hAnsi="Arial" w:eastAsia="Arial" w:cs="Arial"/>
      <w:sz w:val="34"/>
    </w:rPr>
  </w:style>
  <w:style w:type="paragraph" w:styleId="1007">
    <w:name w:val="Heading 3"/>
    <w:basedOn w:val="1172"/>
    <w:next w:val="1172"/>
    <w:link w:val="100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08">
    <w:name w:val="Heading 3 Char"/>
    <w:basedOn w:val="1173"/>
    <w:link w:val="1007"/>
    <w:uiPriority w:val="9"/>
    <w:rPr>
      <w:rFonts w:ascii="Arial" w:hAnsi="Arial" w:eastAsia="Arial" w:cs="Arial"/>
      <w:sz w:val="30"/>
      <w:szCs w:val="30"/>
    </w:rPr>
  </w:style>
  <w:style w:type="paragraph" w:styleId="1009">
    <w:name w:val="Heading 4"/>
    <w:basedOn w:val="1172"/>
    <w:next w:val="1172"/>
    <w:link w:val="101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10">
    <w:name w:val="Heading 4 Char"/>
    <w:basedOn w:val="1173"/>
    <w:link w:val="1009"/>
    <w:uiPriority w:val="9"/>
    <w:rPr>
      <w:rFonts w:ascii="Arial" w:hAnsi="Arial" w:eastAsia="Arial" w:cs="Arial"/>
      <w:b/>
      <w:bCs/>
      <w:sz w:val="26"/>
      <w:szCs w:val="26"/>
    </w:rPr>
  </w:style>
  <w:style w:type="paragraph" w:styleId="1011">
    <w:name w:val="Heading 5"/>
    <w:basedOn w:val="1172"/>
    <w:next w:val="1172"/>
    <w:link w:val="101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12">
    <w:name w:val="Heading 5 Char"/>
    <w:basedOn w:val="1173"/>
    <w:link w:val="1011"/>
    <w:uiPriority w:val="9"/>
    <w:rPr>
      <w:rFonts w:ascii="Arial" w:hAnsi="Arial" w:eastAsia="Arial" w:cs="Arial"/>
      <w:b/>
      <w:bCs/>
      <w:sz w:val="24"/>
      <w:szCs w:val="24"/>
    </w:rPr>
  </w:style>
  <w:style w:type="paragraph" w:styleId="1013">
    <w:name w:val="Heading 6"/>
    <w:basedOn w:val="1172"/>
    <w:next w:val="1172"/>
    <w:link w:val="10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14">
    <w:name w:val="Heading 6 Char"/>
    <w:basedOn w:val="1173"/>
    <w:link w:val="1013"/>
    <w:uiPriority w:val="9"/>
    <w:rPr>
      <w:rFonts w:ascii="Arial" w:hAnsi="Arial" w:eastAsia="Arial" w:cs="Arial"/>
      <w:b/>
      <w:bCs/>
      <w:sz w:val="22"/>
      <w:szCs w:val="22"/>
    </w:rPr>
  </w:style>
  <w:style w:type="paragraph" w:styleId="1015">
    <w:name w:val="Heading 7"/>
    <w:basedOn w:val="1172"/>
    <w:next w:val="1172"/>
    <w:link w:val="101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16">
    <w:name w:val="Heading 7 Char"/>
    <w:basedOn w:val="1173"/>
    <w:link w:val="10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17">
    <w:name w:val="Heading 8"/>
    <w:basedOn w:val="1172"/>
    <w:next w:val="1172"/>
    <w:link w:val="101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18">
    <w:name w:val="Heading 8 Char"/>
    <w:basedOn w:val="1173"/>
    <w:link w:val="1017"/>
    <w:uiPriority w:val="9"/>
    <w:rPr>
      <w:rFonts w:ascii="Arial" w:hAnsi="Arial" w:eastAsia="Arial" w:cs="Arial"/>
      <w:i/>
      <w:iCs/>
      <w:sz w:val="22"/>
      <w:szCs w:val="22"/>
    </w:rPr>
  </w:style>
  <w:style w:type="paragraph" w:styleId="1019">
    <w:name w:val="Heading 9"/>
    <w:basedOn w:val="1172"/>
    <w:next w:val="1172"/>
    <w:link w:val="102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20">
    <w:name w:val="Heading 9 Char"/>
    <w:basedOn w:val="1173"/>
    <w:link w:val="1019"/>
    <w:uiPriority w:val="9"/>
    <w:rPr>
      <w:rFonts w:ascii="Arial" w:hAnsi="Arial" w:eastAsia="Arial" w:cs="Arial"/>
      <w:i/>
      <w:iCs/>
      <w:sz w:val="21"/>
      <w:szCs w:val="21"/>
    </w:rPr>
  </w:style>
  <w:style w:type="paragraph" w:styleId="1021">
    <w:name w:val="No Spacing"/>
    <w:uiPriority w:val="1"/>
    <w:qFormat/>
    <w:pPr>
      <w:spacing w:before="0" w:after="0" w:line="240" w:lineRule="auto"/>
    </w:pPr>
  </w:style>
  <w:style w:type="paragraph" w:styleId="1022">
    <w:name w:val="Title"/>
    <w:basedOn w:val="1172"/>
    <w:next w:val="1172"/>
    <w:link w:val="10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023">
    <w:name w:val="Title Char"/>
    <w:basedOn w:val="1173"/>
    <w:link w:val="1022"/>
    <w:uiPriority w:val="10"/>
    <w:rPr>
      <w:sz w:val="48"/>
      <w:szCs w:val="48"/>
    </w:rPr>
  </w:style>
  <w:style w:type="paragraph" w:styleId="1024">
    <w:name w:val="Subtitle"/>
    <w:basedOn w:val="1172"/>
    <w:next w:val="1172"/>
    <w:link w:val="1025"/>
    <w:uiPriority w:val="11"/>
    <w:qFormat/>
    <w:pPr>
      <w:spacing w:before="200" w:after="200"/>
    </w:pPr>
    <w:rPr>
      <w:sz w:val="24"/>
      <w:szCs w:val="24"/>
    </w:rPr>
  </w:style>
  <w:style w:type="character" w:styleId="1025">
    <w:name w:val="Subtitle Char"/>
    <w:basedOn w:val="1173"/>
    <w:link w:val="1024"/>
    <w:uiPriority w:val="11"/>
    <w:rPr>
      <w:sz w:val="24"/>
      <w:szCs w:val="24"/>
    </w:rPr>
  </w:style>
  <w:style w:type="paragraph" w:styleId="1026">
    <w:name w:val="Quote"/>
    <w:basedOn w:val="1172"/>
    <w:next w:val="1172"/>
    <w:link w:val="1027"/>
    <w:uiPriority w:val="29"/>
    <w:qFormat/>
    <w:pPr>
      <w:ind w:left="720" w:right="720"/>
    </w:pPr>
    <w:rPr>
      <w:i/>
    </w:rPr>
  </w:style>
  <w:style w:type="character" w:styleId="1027">
    <w:name w:val="Quote Char"/>
    <w:link w:val="1026"/>
    <w:uiPriority w:val="29"/>
    <w:rPr>
      <w:i/>
    </w:rPr>
  </w:style>
  <w:style w:type="paragraph" w:styleId="1028">
    <w:name w:val="Intense Quote"/>
    <w:basedOn w:val="1172"/>
    <w:next w:val="1172"/>
    <w:link w:val="10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9">
    <w:name w:val="Intense Quote Char"/>
    <w:link w:val="1028"/>
    <w:uiPriority w:val="30"/>
    <w:rPr>
      <w:i/>
    </w:rPr>
  </w:style>
  <w:style w:type="character" w:styleId="1030">
    <w:name w:val="Header Char"/>
    <w:basedOn w:val="1173"/>
    <w:link w:val="1193"/>
    <w:uiPriority w:val="99"/>
  </w:style>
  <w:style w:type="character" w:styleId="1031">
    <w:name w:val="Footer Char"/>
    <w:basedOn w:val="1173"/>
    <w:link w:val="1195"/>
    <w:uiPriority w:val="99"/>
  </w:style>
  <w:style w:type="paragraph" w:styleId="1032">
    <w:name w:val="Caption"/>
    <w:basedOn w:val="1172"/>
    <w:next w:val="11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33">
    <w:name w:val="Caption Char"/>
    <w:basedOn w:val="1032"/>
    <w:link w:val="1195"/>
    <w:uiPriority w:val="99"/>
  </w:style>
  <w:style w:type="table" w:styleId="1034">
    <w:name w:val="Table Grid Light"/>
    <w:basedOn w:val="11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5">
    <w:name w:val="Plain Table 1"/>
    <w:basedOn w:val="11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6">
    <w:name w:val="Plain Table 2"/>
    <w:basedOn w:val="11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7">
    <w:name w:val="Plain Table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8">
    <w:name w:val="Plain Table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>
    <w:name w:val="Plain Table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40">
    <w:name w:val="Grid Table 1 Light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>
    <w:name w:val="Grid Table 1 Light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>
    <w:name w:val="Grid Table 1 Light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3">
    <w:name w:val="Grid Table 1 Light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4">
    <w:name w:val="Grid Table 1 Light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5">
    <w:name w:val="Grid Table 1 Light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6">
    <w:name w:val="Grid Table 1 Light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7">
    <w:name w:val="Grid Table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>
    <w:name w:val="Grid Table 2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>
    <w:name w:val="Grid Table 2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>
    <w:name w:val="Grid Table 2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>
    <w:name w:val="Grid Table 2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>
    <w:name w:val="Grid Table 2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>
    <w:name w:val="Grid Table 2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>
    <w:name w:val="Grid Table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>
    <w:name w:val="Grid Table 3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>
    <w:name w:val="Grid Table 3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>
    <w:name w:val="Grid Table 3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>
    <w:name w:val="Grid Table 3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>
    <w:name w:val="Grid Table 3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>
    <w:name w:val="Grid Table 3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1">
    <w:name w:val="Grid Table 4"/>
    <w:basedOn w:val="11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62">
    <w:name w:val="Grid Table 4 - Accent 1"/>
    <w:basedOn w:val="11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063">
    <w:name w:val="Grid Table 4 - Accent 2"/>
    <w:basedOn w:val="11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064">
    <w:name w:val="Grid Table 4 - Accent 3"/>
    <w:basedOn w:val="11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065">
    <w:name w:val="Grid Table 4 - Accent 4"/>
    <w:basedOn w:val="11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066">
    <w:name w:val="Grid Table 4 - Accent 5"/>
    <w:basedOn w:val="11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067">
    <w:name w:val="Grid Table 4 - Accent 6"/>
    <w:basedOn w:val="11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068">
    <w:name w:val="Grid Table 5 Dark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069">
    <w:name w:val="Grid Table 5 Dark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070">
    <w:name w:val="Grid Table 5 Dark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071">
    <w:name w:val="Grid Table 5 Dark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072">
    <w:name w:val="Grid Table 5 Dark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073">
    <w:name w:val="Grid Table 5 Dark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074">
    <w:name w:val="Grid Table 5 Dark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075">
    <w:name w:val="Grid Table 6 Colorful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076">
    <w:name w:val="Grid Table 6 Colorful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077">
    <w:name w:val="Grid Table 6 Colorful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078">
    <w:name w:val="Grid Table 6 Colorful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079">
    <w:name w:val="Grid Table 6 Colorful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080">
    <w:name w:val="Grid Table 6 Colorful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1">
    <w:name w:val="Grid Table 6 Colorful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082">
    <w:name w:val="Grid Table 7 Colorful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>
    <w:name w:val="Grid Table 7 Colorful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>
    <w:name w:val="Grid Table 7 Colorful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>
    <w:name w:val="Grid Table 7 Colorful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>
    <w:name w:val="Grid Table 7 Colorful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>
    <w:name w:val="Grid Table 7 Colorful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>
    <w:name w:val="Grid Table 7 Colorful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>
    <w:name w:val="List Table 1 Light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>
    <w:name w:val="List Table 1 Light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List Table 1 Light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List Table 1 Light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List Table 1 Light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List Table 1 Light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List Table 1 Light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List Table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097">
    <w:name w:val="List Table 2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098">
    <w:name w:val="List Table 2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099">
    <w:name w:val="List Table 2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00">
    <w:name w:val="List Table 2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01">
    <w:name w:val="List Table 2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02">
    <w:name w:val="List Table 2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03">
    <w:name w:val="List Table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>
    <w:name w:val="List Table 3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>
    <w:name w:val="List Table 3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>
    <w:name w:val="List Table 3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>
    <w:name w:val="List Table 3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>
    <w:name w:val="List Table 3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>
    <w:name w:val="List Table 3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>
    <w:name w:val="List Table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>
    <w:name w:val="List Table 4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>
    <w:name w:val="List Table 4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List Table 4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4">
    <w:name w:val="List Table 4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>
    <w:name w:val="List Table 4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>
    <w:name w:val="List Table 4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>
    <w:name w:val="List Table 5 Dark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8">
    <w:name w:val="List Table 5 Dark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19">
    <w:name w:val="List Table 5 Dark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0">
    <w:name w:val="List Table 5 Dark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1">
    <w:name w:val="List Table 5 Dark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2">
    <w:name w:val="List Table 5 Dark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3">
    <w:name w:val="List Table 5 Dark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24">
    <w:name w:val="List Table 6 Colorful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25">
    <w:name w:val="List Table 6 Colorful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26">
    <w:name w:val="List Table 6 Colorful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27">
    <w:name w:val="List Table 6 Colorful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28">
    <w:name w:val="List Table 6 Colorful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29">
    <w:name w:val="List Table 6 Colorful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30">
    <w:name w:val="List Table 6 Colorful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31">
    <w:name w:val="List Table 7 Colorful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32">
    <w:name w:val="List Table 7 Colorful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33">
    <w:name w:val="List Table 7 Colorful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34">
    <w:name w:val="List Table 7 Colorful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35">
    <w:name w:val="List Table 7 Colorful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36">
    <w:name w:val="List Table 7 Colorful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37">
    <w:name w:val="List Table 7 Colorful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38">
    <w:name w:val="Lined - Accent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39">
    <w:name w:val="Lined - Accent 1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40">
    <w:name w:val="Lined - Accent 2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41">
    <w:name w:val="Lined - Accent 3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42">
    <w:name w:val="Lined - Accent 4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43">
    <w:name w:val="Lined - Accent 5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44">
    <w:name w:val="Lined - Accent 6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45">
    <w:name w:val="Bordered &amp; Lined - Accent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46">
    <w:name w:val="Bordered &amp; Lined - Accent 1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47">
    <w:name w:val="Bordered &amp; Lined - Accent 2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48">
    <w:name w:val="Bordered &amp; Lined - Accent 3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49">
    <w:name w:val="Bordered &amp; Lined - Accent 4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50">
    <w:name w:val="Bordered &amp; Lined - Accent 5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51">
    <w:name w:val="Bordered &amp; Lined - Accent 6"/>
    <w:basedOn w:val="11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52">
    <w:name w:val="Bordered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53">
    <w:name w:val="Bordered - Accent 1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54">
    <w:name w:val="Bordered - Accent 2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55">
    <w:name w:val="Bordered - Accent 3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56">
    <w:name w:val="Bordered - Accent 4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157">
    <w:name w:val="Bordered - Accent 5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158">
    <w:name w:val="Bordered - Accent 6"/>
    <w:basedOn w:val="11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159">
    <w:name w:val="Footnote Text Char"/>
    <w:link w:val="1179"/>
    <w:uiPriority w:val="99"/>
    <w:rPr>
      <w:sz w:val="18"/>
    </w:rPr>
  </w:style>
  <w:style w:type="character" w:styleId="1160">
    <w:name w:val="Endnote Text Char"/>
    <w:link w:val="1189"/>
    <w:uiPriority w:val="99"/>
    <w:rPr>
      <w:sz w:val="20"/>
    </w:rPr>
  </w:style>
  <w:style w:type="paragraph" w:styleId="1161">
    <w:name w:val="toc 1"/>
    <w:basedOn w:val="1172"/>
    <w:next w:val="1172"/>
    <w:uiPriority w:val="39"/>
    <w:unhideWhenUsed/>
    <w:pPr>
      <w:ind w:left="0" w:right="0" w:firstLine="0"/>
      <w:spacing w:after="57"/>
    </w:pPr>
  </w:style>
  <w:style w:type="paragraph" w:styleId="1162">
    <w:name w:val="toc 2"/>
    <w:basedOn w:val="1172"/>
    <w:next w:val="1172"/>
    <w:uiPriority w:val="39"/>
    <w:unhideWhenUsed/>
    <w:pPr>
      <w:ind w:left="283" w:right="0" w:firstLine="0"/>
      <w:spacing w:after="57"/>
    </w:pPr>
  </w:style>
  <w:style w:type="paragraph" w:styleId="1163">
    <w:name w:val="toc 3"/>
    <w:basedOn w:val="1172"/>
    <w:next w:val="1172"/>
    <w:uiPriority w:val="39"/>
    <w:unhideWhenUsed/>
    <w:pPr>
      <w:ind w:left="567" w:right="0" w:firstLine="0"/>
      <w:spacing w:after="57"/>
    </w:pPr>
  </w:style>
  <w:style w:type="paragraph" w:styleId="1164">
    <w:name w:val="toc 4"/>
    <w:basedOn w:val="1172"/>
    <w:next w:val="1172"/>
    <w:uiPriority w:val="39"/>
    <w:unhideWhenUsed/>
    <w:pPr>
      <w:ind w:left="850" w:right="0" w:firstLine="0"/>
      <w:spacing w:after="57"/>
    </w:pPr>
  </w:style>
  <w:style w:type="paragraph" w:styleId="1165">
    <w:name w:val="toc 5"/>
    <w:basedOn w:val="1172"/>
    <w:next w:val="1172"/>
    <w:uiPriority w:val="39"/>
    <w:unhideWhenUsed/>
    <w:pPr>
      <w:ind w:left="1134" w:right="0" w:firstLine="0"/>
      <w:spacing w:after="57"/>
    </w:pPr>
  </w:style>
  <w:style w:type="paragraph" w:styleId="1166">
    <w:name w:val="toc 6"/>
    <w:basedOn w:val="1172"/>
    <w:next w:val="1172"/>
    <w:uiPriority w:val="39"/>
    <w:unhideWhenUsed/>
    <w:pPr>
      <w:ind w:left="1417" w:right="0" w:firstLine="0"/>
      <w:spacing w:after="57"/>
    </w:pPr>
  </w:style>
  <w:style w:type="paragraph" w:styleId="1167">
    <w:name w:val="toc 7"/>
    <w:basedOn w:val="1172"/>
    <w:next w:val="1172"/>
    <w:uiPriority w:val="39"/>
    <w:unhideWhenUsed/>
    <w:pPr>
      <w:ind w:left="1701" w:right="0" w:firstLine="0"/>
      <w:spacing w:after="57"/>
    </w:pPr>
  </w:style>
  <w:style w:type="paragraph" w:styleId="1168">
    <w:name w:val="toc 8"/>
    <w:basedOn w:val="1172"/>
    <w:next w:val="1172"/>
    <w:uiPriority w:val="39"/>
    <w:unhideWhenUsed/>
    <w:pPr>
      <w:ind w:left="1984" w:right="0" w:firstLine="0"/>
      <w:spacing w:after="57"/>
    </w:pPr>
  </w:style>
  <w:style w:type="paragraph" w:styleId="1169">
    <w:name w:val="toc 9"/>
    <w:basedOn w:val="1172"/>
    <w:next w:val="1172"/>
    <w:uiPriority w:val="39"/>
    <w:unhideWhenUsed/>
    <w:pPr>
      <w:ind w:left="2268" w:right="0" w:firstLine="0"/>
      <w:spacing w:after="57"/>
    </w:pPr>
  </w:style>
  <w:style w:type="paragraph" w:styleId="1170">
    <w:name w:val="TOC Heading"/>
    <w:uiPriority w:val="39"/>
    <w:unhideWhenUsed/>
  </w:style>
  <w:style w:type="paragraph" w:styleId="1171">
    <w:name w:val="table of figures"/>
    <w:basedOn w:val="1172"/>
    <w:next w:val="1172"/>
    <w:uiPriority w:val="99"/>
    <w:unhideWhenUsed/>
    <w:pPr>
      <w:spacing w:after="0" w:afterAutospacing="0"/>
    </w:pPr>
  </w:style>
  <w:style w:type="paragraph" w:styleId="1172" w:default="1">
    <w:name w:val="Normal"/>
    <w:qFormat/>
  </w:style>
  <w:style w:type="character" w:styleId="1173" w:default="1">
    <w:name w:val="Default Paragraph Font"/>
    <w:uiPriority w:val="1"/>
    <w:semiHidden/>
    <w:unhideWhenUsed/>
  </w:style>
  <w:style w:type="table" w:styleId="11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175" w:default="1">
    <w:name w:val="No List"/>
    <w:uiPriority w:val="99"/>
    <w:semiHidden/>
    <w:unhideWhenUsed/>
  </w:style>
  <w:style w:type="paragraph" w:styleId="1176" w:customStyle="1">
    <w:name w:val="Default"/>
    <w:qFormat/>
    <w:pPr>
      <w:spacing w:after="0" w:line="240" w:lineRule="auto"/>
    </w:pPr>
    <w:rPr>
      <w:rFonts w:ascii="Times New Roman" w:hAnsi="Times New Roman" w:eastAsia="Times New Roman" w:cs="NKOJCK+TimesNewRoman"/>
      <w:color w:val="000000"/>
      <w:sz w:val="24"/>
      <w:szCs w:val="24"/>
      <w:lang w:eastAsia="ru-RU"/>
    </w:rPr>
  </w:style>
  <w:style w:type="table" w:styleId="1177">
    <w:name w:val="Table Grid"/>
    <w:basedOn w:val="1174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8">
    <w:name w:val="List Paragraph"/>
    <w:basedOn w:val="1172"/>
    <w:uiPriority w:val="34"/>
    <w:qFormat/>
    <w:pPr>
      <w:contextualSpacing/>
      <w:ind w:left="720"/>
    </w:pPr>
  </w:style>
  <w:style w:type="paragraph" w:styleId="1179">
    <w:name w:val="footnote text"/>
    <w:basedOn w:val="1172"/>
    <w:link w:val="1180"/>
    <w:uiPriority w:val="99"/>
    <w:unhideWhenUsed/>
    <w:qFormat/>
    <w:pPr>
      <w:spacing w:after="0" w:line="240" w:lineRule="auto"/>
    </w:pPr>
    <w:rPr>
      <w:sz w:val="20"/>
      <w:szCs w:val="20"/>
    </w:rPr>
  </w:style>
  <w:style w:type="character" w:styleId="1180" w:customStyle="1">
    <w:name w:val="Текст сноски Знак"/>
    <w:basedOn w:val="1173"/>
    <w:link w:val="1179"/>
    <w:uiPriority w:val="99"/>
    <w:qFormat/>
    <w:rPr>
      <w:sz w:val="20"/>
      <w:szCs w:val="20"/>
    </w:rPr>
  </w:style>
  <w:style w:type="character" w:styleId="1181">
    <w:name w:val="footnote reference"/>
    <w:basedOn w:val="1173"/>
    <w:uiPriority w:val="99"/>
    <w:unhideWhenUsed/>
    <w:qFormat/>
    <w:rPr>
      <w:vertAlign w:val="superscript"/>
    </w:rPr>
  </w:style>
  <w:style w:type="character" w:styleId="1182">
    <w:name w:val="annotation reference"/>
    <w:basedOn w:val="1173"/>
    <w:uiPriority w:val="99"/>
    <w:semiHidden/>
    <w:unhideWhenUsed/>
    <w:rPr>
      <w:sz w:val="16"/>
      <w:szCs w:val="16"/>
    </w:rPr>
  </w:style>
  <w:style w:type="paragraph" w:styleId="1183">
    <w:name w:val="annotation text"/>
    <w:basedOn w:val="1172"/>
    <w:link w:val="1184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1184" w:customStyle="1">
    <w:name w:val="Текст примечания Знак"/>
    <w:basedOn w:val="1173"/>
    <w:link w:val="1183"/>
    <w:uiPriority w:val="99"/>
    <w:semiHidden/>
    <w:rPr>
      <w:sz w:val="20"/>
      <w:szCs w:val="20"/>
    </w:rPr>
  </w:style>
  <w:style w:type="paragraph" w:styleId="1185">
    <w:name w:val="annotation subject"/>
    <w:basedOn w:val="1183"/>
    <w:next w:val="1183"/>
    <w:link w:val="1186"/>
    <w:uiPriority w:val="99"/>
    <w:semiHidden/>
    <w:unhideWhenUsed/>
    <w:rPr>
      <w:b/>
      <w:bCs/>
    </w:rPr>
  </w:style>
  <w:style w:type="character" w:styleId="1186" w:customStyle="1">
    <w:name w:val="Тема примечания Знак"/>
    <w:basedOn w:val="1184"/>
    <w:link w:val="1185"/>
    <w:uiPriority w:val="99"/>
    <w:semiHidden/>
    <w:rPr>
      <w:b/>
      <w:bCs/>
      <w:sz w:val="20"/>
      <w:szCs w:val="20"/>
    </w:rPr>
  </w:style>
  <w:style w:type="paragraph" w:styleId="1187">
    <w:name w:val="Balloon Text"/>
    <w:basedOn w:val="1172"/>
    <w:link w:val="1188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88" w:customStyle="1">
    <w:name w:val="Текст выноски Знак"/>
    <w:basedOn w:val="1173"/>
    <w:link w:val="1187"/>
    <w:uiPriority w:val="99"/>
    <w:semiHidden/>
    <w:rPr>
      <w:rFonts w:ascii="Tahoma" w:hAnsi="Tahoma" w:cs="Tahoma"/>
      <w:sz w:val="16"/>
      <w:szCs w:val="16"/>
    </w:rPr>
  </w:style>
  <w:style w:type="paragraph" w:styleId="1189">
    <w:name w:val="endnote text"/>
    <w:basedOn w:val="1172"/>
    <w:link w:val="119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190" w:customStyle="1">
    <w:name w:val="Текст концевой сноски Знак"/>
    <w:basedOn w:val="1173"/>
    <w:link w:val="1189"/>
    <w:uiPriority w:val="99"/>
    <w:semiHidden/>
    <w:rPr>
      <w:sz w:val="20"/>
      <w:szCs w:val="20"/>
    </w:rPr>
  </w:style>
  <w:style w:type="character" w:styleId="1191">
    <w:name w:val="endnote reference"/>
    <w:basedOn w:val="1173"/>
    <w:uiPriority w:val="99"/>
    <w:semiHidden/>
    <w:unhideWhenUsed/>
    <w:rPr>
      <w:vertAlign w:val="superscript"/>
    </w:rPr>
  </w:style>
  <w:style w:type="character" w:styleId="1192">
    <w:name w:val="Hyperlink"/>
    <w:basedOn w:val="1173"/>
    <w:uiPriority w:val="99"/>
    <w:unhideWhenUsed/>
    <w:rPr>
      <w:color w:val="0000ff" w:themeColor="hyperlink"/>
      <w:u w:val="single"/>
    </w:rPr>
  </w:style>
  <w:style w:type="paragraph" w:styleId="1193">
    <w:name w:val="Header"/>
    <w:basedOn w:val="1172"/>
    <w:link w:val="119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94" w:customStyle="1">
    <w:name w:val="Верхний колонтитул Знак"/>
    <w:basedOn w:val="1173"/>
    <w:link w:val="1193"/>
    <w:uiPriority w:val="99"/>
  </w:style>
  <w:style w:type="paragraph" w:styleId="1195">
    <w:name w:val="Footer"/>
    <w:basedOn w:val="1172"/>
    <w:link w:val="119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96" w:customStyle="1">
    <w:name w:val="Нижний колонтитул Знак"/>
    <w:basedOn w:val="1173"/>
    <w:link w:val="1195"/>
    <w:uiPriority w:val="99"/>
  </w:style>
  <w:style w:type="paragraph" w:styleId="1197">
    <w:name w:val="List Number"/>
    <w:basedOn w:val="1172"/>
    <w:pPr>
      <w:numPr>
        <w:ilvl w:val="1"/>
        <w:numId w:val="45"/>
      </w:numPr>
      <w:jc w:val="both"/>
      <w:spacing w:before="60" w:after="60" w:line="240" w:lineRule="auto"/>
      <w:tabs>
        <w:tab w:val="clear" w:pos="1065" w:leader="none"/>
        <w:tab w:val="num" w:pos="1440" w:leader="none"/>
      </w:tabs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1198">
    <w:name w:val="List 2"/>
    <w:basedOn w:val="1172"/>
    <w:uiPriority w:val="99"/>
    <w:pPr>
      <w:ind w:left="566" w:hanging="283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1199" w:customStyle="1">
    <w:name w:val="Noeeu1"/>
    <w:basedOn w:val="1172"/>
    <w:pPr>
      <w:ind w:firstLine="709"/>
      <w:jc w:val="both"/>
      <w:spacing w:after="0" w:line="240" w:lineRule="auto"/>
    </w:pPr>
    <w:rPr>
      <w:rFonts w:ascii="Peterburg" w:hAnsi="Peterburg" w:eastAsia="Times New Roman" w:cs="Times New Roman"/>
      <w:sz w:val="24"/>
      <w:szCs w:val="24"/>
      <w:lang w:eastAsia="ru-RU"/>
    </w:rPr>
  </w:style>
  <w:style w:type="paragraph" w:styleId="1200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E6FB8-7C76-475A-8262-FB765C1E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ompany>Россельхозбанк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Андрусенко Татьяна Сергеевна</dc:creator>
  <cp:revision>12</cp:revision>
  <dcterms:created xsi:type="dcterms:W3CDTF">2024-03-20T11:50:00Z</dcterms:created>
  <dcterms:modified xsi:type="dcterms:W3CDTF">2025-04-11T07:24:53Z</dcterms:modified>
</cp:coreProperties>
</file>