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425"/>
        <w:jc w:val="center"/>
        <w:keepNext w:val="0"/>
        <w:widowControl w:val="off"/>
        <w:rPr>
          <w:sz w:val="24"/>
          <w:szCs w:val="24"/>
          <w:u w:val="none"/>
        </w:rPr>
      </w:pPr>
      <w:r>
        <w:rPr>
          <w:sz w:val="24"/>
          <w:szCs w:val="24"/>
          <w:u w:val="none"/>
        </w:rPr>
        <w:t xml:space="preserve">Тарифный план</w:t>
      </w:r>
      <w:r>
        <w:rPr>
          <w:sz w:val="24"/>
          <w:szCs w:val="24"/>
          <w:u w:val="none"/>
        </w:rPr>
        <w:t xml:space="preserve"> «</w:t>
      </w:r>
      <w:r>
        <w:rPr>
          <w:sz w:val="24"/>
          <w:szCs w:val="24"/>
          <w:u w:val="none"/>
        </w:rPr>
        <w:t xml:space="preserve">Меню возможностей</w:t>
      </w:r>
      <w:r>
        <w:rPr>
          <w:sz w:val="24"/>
          <w:szCs w:val="24"/>
          <w:u w:val="none"/>
        </w:rPr>
        <w:t xml:space="preserve">»</w:t>
      </w:r>
      <w:r>
        <w:rPr>
          <w:sz w:val="24"/>
          <w:szCs w:val="24"/>
          <w:u w:val="none"/>
        </w:rPr>
      </w:r>
      <w:r>
        <w:rPr>
          <w:sz w:val="24"/>
          <w:szCs w:val="24"/>
          <w:u w:val="none"/>
        </w:rPr>
      </w:r>
    </w:p>
    <w:p>
      <w:pPr>
        <w:pStyle w:val="1424"/>
        <w:widowControl w:val="off"/>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077"/>
        <w:gridCol w:w="5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8"/>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424"/>
              <w:spacing w:line="300" w:lineRule="auto"/>
              <w:widowControl w:val="off"/>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424"/>
              <w:spacing w:line="300" w:lineRule="auto"/>
              <w:widowControl w:val="off"/>
              <w:rPr>
                <w:b/>
                <w:color w:val="000000"/>
                <w:lang w:eastAsia="en-US"/>
              </w:rPr>
              <w:framePr w:hSpace="180" w:wrap="around" w:vAnchor="text" w:hAnchor="margin" w:xAlign="center" w:y="56"/>
            </w:pPr>
            <w:r>
              <w:rPr>
                <w:b/>
                <w:color w:val="000000"/>
                <w:lang w:eastAsia="en-US"/>
              </w:rPr>
              <w:t xml:space="preserve">ССП-владелец НД:</w:t>
            </w:r>
            <w:r>
              <w:rPr>
                <w:b/>
                <w:color w:val="000000"/>
                <w:lang w:eastAsia="en-US"/>
              </w:rPr>
            </w:r>
            <w:r>
              <w:rPr>
                <w:b/>
                <w:color w:val="000000"/>
                <w:lang w:eastAsia="en-US"/>
              </w:rPr>
            </w:r>
          </w:p>
          <w:p>
            <w:pPr>
              <w:pStyle w:val="1424"/>
              <w:spacing w:line="300" w:lineRule="auto"/>
              <w:widowControl w:val="off"/>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424"/>
              <w:jc w:val="both"/>
              <w:widowControl w:val="off"/>
              <w:rPr>
                <w:color w:val="000000"/>
                <w:lang w:eastAsia="en-US"/>
              </w:rPr>
              <w:framePr w:hSpace="180" w:wrap="around" w:vAnchor="text" w:hAnchor="margin" w:xAlign="center" w:y="56"/>
            </w:pPr>
            <w:r>
              <w:rPr>
                <w:color w:val="000000"/>
                <w:lang w:eastAsia="en-US"/>
              </w:rPr>
              <w:t xml:space="preserve">Департамент транзакционного бизнеса (</w:t>
            </w:r>
            <w:r>
              <w:rPr>
                <w:color w:val="000000"/>
              </w:rPr>
              <w:t xml:space="preserve">ДТБ</w:t>
            </w:r>
            <w:r>
              <w:rPr>
                <w:color w:val="000000"/>
                <w:lang w:eastAsia="en-US"/>
              </w:rPr>
              <w:t xml:space="preserve">)</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jc w:val="both"/>
              <w:widowControl w:val="off"/>
              <w:rPr>
                <w:color w:val="000000"/>
                <w:lang w:eastAsia="en-US"/>
                <w14:ligatures w14:val="none"/>
              </w:rPr>
              <w:pBdr>
                <w:top w:val="none" w:color="000000" w:sz="4" w:space="0"/>
                <w:left w:val="none" w:color="000000" w:sz="4" w:space="0"/>
                <w:bottom w:val="none" w:color="000000" w:sz="4" w:space="0"/>
                <w:right w:val="none" w:color="000000" w:sz="4" w:space="0"/>
              </w:pBdr>
              <w:framePr w:hSpace="180" w:wrap="around" w:vAnchor="text" w:hAnchor="margin" w:xAlign="center" w:y="56"/>
            </w:pPr>
            <w:r>
              <w:rPr>
                <w:color w:val="000000"/>
                <w:lang w:eastAsia="en-US"/>
              </w:rPr>
            </w:r>
            <w:r>
              <w:rPr>
                <w:color w:val="000000"/>
                <w:lang w:eastAsia="en-US"/>
                <w14:ligatures w14:val="none"/>
              </w:rPr>
            </w:r>
            <w:r>
              <w:rPr>
                <w:color w:val="000000"/>
                <w:lang w:eastAsia="en-US"/>
                <w14:ligatures w14:val="none"/>
              </w:rPr>
            </w:r>
          </w:p>
          <w:p>
            <w:pPr>
              <w:spacing w:line="300" w:lineRule="auto"/>
              <w:widowControl w:val="off"/>
              <w:rPr>
                <w:color w:val="000000"/>
                <w:lang w:eastAsia="en-US"/>
                <w14:ligatures w14:val="none"/>
              </w:rPr>
              <w:pBdr>
                <w:top w:val="none" w:color="000000" w:sz="4" w:space="0"/>
                <w:left w:val="none" w:color="000000" w:sz="4" w:space="0"/>
                <w:bottom w:val="none" w:color="000000" w:sz="4" w:space="0"/>
                <w:right w:val="none" w:color="000000" w:sz="4" w:space="0"/>
              </w:pBdr>
              <w:framePr w:hSpace="180" w:wrap="around" w:vAnchor="text" w:hAnchor="margin" w:xAlign="center" w:y="56"/>
            </w:pPr>
            <w:r>
              <w:rPr>
                <w:b/>
                <w:bCs/>
                <w:color w:val="000000"/>
                <w:lang w:eastAsia="en-US"/>
              </w:rPr>
              <w:t xml:space="preserve">Код и наименование процесса(ов):</w:t>
            </w:r>
            <w:r>
              <w:rPr>
                <w:color w:val="000000"/>
                <w:lang w:eastAsia="en-US"/>
                <w14:ligatures w14:val="none"/>
              </w:rPr>
            </w:r>
            <w:r>
              <w:rPr>
                <w:color w:val="000000"/>
                <w:lang w:eastAsia="en-US"/>
                <w14:ligatures w14:val="none"/>
              </w:rPr>
            </w:r>
          </w:p>
          <w:p>
            <w:pPr>
              <w:jc w:val="both"/>
              <w:widowControl w:val="off"/>
              <w:rPr>
                <w:color w:val="000000"/>
                <w:lang w:eastAsia="en-US"/>
                <w14:ligatures w14:val="none"/>
              </w:rPr>
              <w:pBdr>
                <w:top w:val="none" w:color="000000" w:sz="4" w:space="0"/>
                <w:left w:val="none" w:color="000000" w:sz="4" w:space="0"/>
                <w:bottom w:val="none" w:color="000000" w:sz="4" w:space="0"/>
                <w:right w:val="none" w:color="000000" w:sz="4" w:space="0"/>
              </w:pBdr>
              <w:framePr w:hSpace="180" w:wrap="around" w:vAnchor="text" w:hAnchor="margin" w:xAlign="center" w:y="56"/>
            </w:pPr>
            <w:r>
              <w:rPr>
                <w:color w:val="000000"/>
                <w:lang w:eastAsia="en-US"/>
              </w:rPr>
            </w:r>
            <w:r>
              <w:rPr>
                <w:color w:val="000000"/>
                <w:lang w:eastAsia="en-US"/>
                <w14:ligatures w14:val="none"/>
              </w:rPr>
            </w:r>
            <w:r>
              <w:rPr>
                <w:color w:val="000000"/>
                <w:lang w:eastAsia="en-US"/>
                <w14:ligatures w14:val="none"/>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jc w:val="both"/>
              <w:widowControl w:val="off"/>
              <w:rPr>
                <w:color w:val="000000"/>
                <w:lang w:eastAsia="en-US"/>
                <w14:ligatures w14:val="none"/>
              </w:rPr>
              <w:pBdr>
                <w:top w:val="none" w:color="000000" w:sz="4" w:space="0"/>
                <w:left w:val="none" w:color="000000" w:sz="4" w:space="0"/>
                <w:bottom w:val="none" w:color="000000" w:sz="4" w:space="0"/>
                <w:right w:val="none" w:color="000000" w:sz="4" w:space="0"/>
              </w:pBdr>
            </w:pPr>
            <w:r>
              <w:rPr>
                <w:color w:val="000000"/>
                <w:lang w:eastAsia="en-US"/>
              </w:rPr>
              <w:t xml:space="preserve">II.19.0</w:t>
            </w:r>
            <w:r>
              <w:rPr>
                <w:color w:val="000000"/>
                <w:lang w:eastAsia="en-US"/>
              </w:rPr>
              <w:t xml:space="preserve">0.1.Ю/1234</w:t>
            </w:r>
            <w:r>
              <w:rPr>
                <w:color w:val="000000"/>
                <w:lang w:eastAsia="en-US"/>
              </w:rPr>
              <w:t xml:space="preserve"> </w:t>
            </w:r>
            <w:r>
              <w:rPr>
                <w:color w:val="000000"/>
                <w:lang w:eastAsia="en-US"/>
              </w:rPr>
              <w:t xml:space="preserve">Предоставление и обслуживание тарифных планов</w:t>
            </w:r>
            <w:r>
              <w:rPr>
                <w:color w:val="000000"/>
                <w:lang w:eastAsia="en-US"/>
                <w14:ligatures w14:val="none"/>
              </w:rPr>
            </w:r>
            <w:r>
              <w:rPr>
                <w:color w:val="000000"/>
                <w:lang w:eastAsia="en-US"/>
                <w14:ligatures w14: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424"/>
              <w:spacing w:line="300" w:lineRule="auto"/>
              <w:widowControl w:val="off"/>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424"/>
              <w:spacing w:line="300" w:lineRule="auto"/>
              <w:widowControl w:val="off"/>
              <w:rPr>
                <w:b/>
                <w:color w:val="000000"/>
                <w:lang w:eastAsia="en-US"/>
              </w:rPr>
              <w:framePr w:hSpace="180" w:wrap="around" w:vAnchor="text" w:hAnchor="margin" w:xAlign="center" w:y="56"/>
            </w:pPr>
            <w:r>
              <w:rPr>
                <w:b/>
                <w:color w:val="000000"/>
                <w:lang w:eastAsia="en-US"/>
              </w:rPr>
              <w:t xml:space="preserve">Код нормативного документа:</w:t>
            </w:r>
            <w:r>
              <w:rPr>
                <w:b/>
                <w:color w:val="000000"/>
                <w:lang w:eastAsia="en-US"/>
              </w:rPr>
            </w:r>
            <w:r>
              <w:rPr>
                <w:b/>
                <w:color w:val="000000"/>
                <w:lang w:eastAsia="en-US"/>
              </w:rPr>
            </w:r>
          </w:p>
          <w:p>
            <w:pPr>
              <w:pStyle w:val="1424"/>
              <w:spacing w:line="300" w:lineRule="auto"/>
              <w:widowControl w:val="off"/>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424"/>
              <w:jc w:val="both"/>
              <w:spacing w:line="300" w:lineRule="auto"/>
              <w:widowControl w:val="off"/>
              <w:rPr>
                <w:color w:val="000000"/>
                <w:lang w:eastAsia="en-US"/>
              </w:rPr>
              <w:framePr w:hSpace="180" w:wrap="around" w:vAnchor="text" w:hAnchor="margin" w:xAlign="center" w:y="56"/>
            </w:pPr>
            <w:r>
              <w:rPr>
                <w:color w:val="000000"/>
                <w:lang w:eastAsia="en-US"/>
              </w:rPr>
              <w:t xml:space="preserve">1-13/04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424"/>
              <w:spacing w:line="300" w:lineRule="auto"/>
              <w:widowControl w:val="off"/>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424"/>
              <w:spacing w:line="300" w:lineRule="auto"/>
              <w:widowControl w:val="off"/>
              <w:rPr>
                <w:b/>
                <w:color w:val="000000"/>
                <w:lang w:eastAsia="en-US"/>
              </w:rPr>
              <w:framePr w:hSpace="180" w:wrap="around" w:vAnchor="text" w:hAnchor="margin" w:xAlign="center" w:y="56"/>
            </w:pPr>
            <w:r>
              <w:rPr>
                <w:b/>
                <w:color w:val="000000"/>
                <w:lang w:eastAsia="en-US"/>
              </w:rPr>
              <w:t xml:space="preserve">Номер версии:</w:t>
            </w:r>
            <w:r>
              <w:rPr>
                <w:b/>
                <w:color w:val="000000"/>
                <w:lang w:eastAsia="en-US"/>
              </w:rPr>
            </w:r>
            <w:r>
              <w:rPr>
                <w:b/>
                <w:color w:val="000000"/>
                <w:lang w:eastAsia="en-US"/>
              </w:rPr>
            </w:r>
          </w:p>
          <w:p>
            <w:pPr>
              <w:pStyle w:val="1424"/>
              <w:spacing w:line="300" w:lineRule="auto"/>
              <w:widowControl w:val="off"/>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424"/>
              <w:jc w:val="both"/>
              <w:spacing w:line="300" w:lineRule="auto"/>
              <w:widowControl w:val="off"/>
              <w:rPr>
                <w:color w:val="000000"/>
                <w:lang w:eastAsia="en-US"/>
              </w:rPr>
              <w:framePr w:hSpace="180" w:wrap="around" w:vAnchor="text" w:hAnchor="margin" w:xAlign="center" w:y="56"/>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Borders>
              <w:top w:val="single" w:color="000000" w:sz="4" w:space="0"/>
              <w:left w:val="single" w:color="000000" w:sz="4" w:space="0"/>
              <w:bottom w:val="single" w:color="000000" w:sz="4" w:space="0"/>
              <w:right w:val="single" w:color="000000" w:sz="4" w:space="0"/>
            </w:tcBorders>
            <w:tcW w:w="2069" w:type="pct"/>
            <w:vAlign w:val="center"/>
            <w:textDirection w:val="lrTb"/>
            <w:noWrap w:val="false"/>
          </w:tcPr>
          <w:p>
            <w:pPr>
              <w:pStyle w:val="1424"/>
              <w:spacing w:line="300" w:lineRule="auto"/>
              <w:widowControl w:val="off"/>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424"/>
              <w:spacing w:line="300" w:lineRule="auto"/>
              <w:widowControl w:val="off"/>
              <w:rPr>
                <w:b/>
                <w:color w:val="000000"/>
                <w:lang w:eastAsia="en-US"/>
              </w:rPr>
              <w:framePr w:hSpace="180" w:wrap="around" w:vAnchor="text" w:hAnchor="margin" w:xAlign="center" w:y="56"/>
            </w:pPr>
            <w:r>
              <w:rPr>
                <w:b/>
                <w:color w:val="000000"/>
                <w:lang w:eastAsia="en-US"/>
              </w:rPr>
              <w:t xml:space="preserve">Область применения:</w:t>
            </w:r>
            <w:r>
              <w:rPr>
                <w:b/>
                <w:color w:val="000000"/>
                <w:lang w:eastAsia="en-US"/>
              </w:rPr>
            </w:r>
            <w:r>
              <w:rPr>
                <w:b/>
                <w:color w:val="000000"/>
                <w:lang w:eastAsia="en-US"/>
              </w:rPr>
            </w:r>
          </w:p>
          <w:p>
            <w:pPr>
              <w:pStyle w:val="1424"/>
              <w:spacing w:line="300" w:lineRule="auto"/>
              <w:widowControl w:val="off"/>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Borders>
              <w:top w:val="single" w:color="000000" w:sz="4" w:space="0"/>
              <w:left w:val="single" w:color="000000" w:sz="4" w:space="0"/>
              <w:bottom w:val="single" w:color="000000" w:sz="4" w:space="0"/>
              <w:right w:val="single" w:color="000000" w:sz="4" w:space="0"/>
            </w:tcBorders>
            <w:tcW w:w="2931" w:type="pct"/>
            <w:vAlign w:val="center"/>
            <w:textDirection w:val="lrTb"/>
            <w:noWrap w:val="false"/>
          </w:tcPr>
          <w:p>
            <w:pPr>
              <w:pStyle w:val="1424"/>
              <w:jc w:val="both"/>
              <w:spacing w:line="300" w:lineRule="auto"/>
              <w:widowControl w:val="off"/>
              <w:rPr>
                <w:color w:val="000000"/>
                <w:lang w:eastAsia="en-US"/>
              </w:rPr>
              <w:framePr w:hSpace="180" w:wrap="around" w:vAnchor="text" w:hAnchor="margin" w:xAlign="center" w:y="56"/>
            </w:pPr>
            <w:r>
              <w:rPr>
                <w:rFonts w:eastAsia="Calibri"/>
                <w:lang w:eastAsia="en-US"/>
              </w:rPr>
              <w:t xml:space="preserve">ГО/ВСП Банка/РФ/ВСП РФ</w:t>
            </w:r>
            <w:r>
              <w:rPr>
                <w:color w:val="000000"/>
                <w:lang w:eastAsia="en-US"/>
              </w:rPr>
            </w:r>
            <w:r>
              <w:rPr>
                <w:color w:val="000000"/>
                <w:lang w:eastAsia="en-US"/>
              </w:rPr>
            </w:r>
          </w:p>
        </w:tc>
      </w:tr>
    </w:tbl>
    <w:p>
      <w:pPr>
        <w:pStyle w:val="1424"/>
        <w:widowControl w:val="off"/>
      </w:pPr>
      <w:r/>
      <w:r/>
    </w:p>
    <w:p>
      <w:pPr>
        <w:pStyle w:val="1424"/>
        <w:numPr>
          <w:ilvl w:val="0"/>
          <w:numId w:val="20"/>
        </w:numPr>
        <w:ind w:left="0" w:firstLine="0"/>
        <w:jc w:val="center"/>
        <w:spacing w:before="120"/>
        <w:widowControl w:val="off"/>
        <w:tabs>
          <w:tab w:val="left" w:pos="426" w:leader="none"/>
        </w:tabs>
        <w:rPr>
          <w:b/>
        </w:rPr>
      </w:pPr>
      <w:r>
        <w:rPr>
          <w:b/>
        </w:rPr>
        <w:t xml:space="preserve">Термины и определения</w:t>
      </w:r>
      <w:r>
        <w:rPr>
          <w:b/>
        </w:rPr>
      </w:r>
      <w:r>
        <w:rPr>
          <w:b/>
        </w:rPr>
      </w:r>
    </w:p>
    <w:p>
      <w:pPr>
        <w:pStyle w:val="1424"/>
        <w:ind w:firstLine="709"/>
        <w:jc w:val="both"/>
        <w:spacing w:before="240"/>
        <w:widowControl w:val="off"/>
        <w:tabs>
          <w:tab w:val="left" w:pos="-2835" w:leader="none"/>
        </w:tabs>
      </w:pPr>
      <w:r>
        <w:rPr>
          <w:b/>
        </w:rPr>
        <w:t xml:space="preserve">Банк</w:t>
      </w:r>
      <w:r>
        <w:t xml:space="preserve"> – АО «Россельхозбанк»</w:t>
      </w:r>
      <w:r>
        <w:t xml:space="preserve">;</w:t>
      </w:r>
      <w:r/>
    </w:p>
    <w:p>
      <w:pPr>
        <w:pStyle w:val="1424"/>
        <w:ind w:firstLine="709"/>
        <w:jc w:val="both"/>
        <w:widowControl w:val="off"/>
      </w:pPr>
      <w:r>
        <w:rPr>
          <w:b/>
        </w:rPr>
        <w:t xml:space="preserve">б</w:t>
      </w:r>
      <w:r>
        <w:rPr>
          <w:b/>
        </w:rPr>
        <w:t xml:space="preserve">изнес</w:t>
      </w:r>
      <w:r>
        <w:rPr>
          <w:b/>
        </w:rPr>
        <w:t xml:space="preserve">-карта </w:t>
      </w:r>
      <w:r>
        <w:t xml:space="preserve">– расчетная (дебетовая) платежная карта (персонифицированная/неперсонифицированная), выпускаемая Банком к отдельному счету (счету бизнес-карты</w:t>
      </w:r>
      <w:r>
        <w:rPr>
          <w:rStyle w:val="1433"/>
        </w:rPr>
        <w:footnoteReference w:id="2"/>
      </w:r>
      <w:r>
        <w:t xml:space="preserve">)/расчетному счету в соответствии с Условиями открытия банковского счета для осуществления расчет</w:t>
      </w:r>
      <w:r>
        <w:t xml:space="preserve">ов с использованием бизнес-карт</w:t>
        <w:br w:type="textWrapping" w:clear="all"/>
      </w:r>
      <w:r>
        <w:t xml:space="preserve">АО «Россельхозбанк»/Условиями выпуска и обслуживания Бизнес-карт </w:t>
      </w:r>
      <w:r>
        <w:br w:type="textWrapping" w:clear="all"/>
      </w:r>
      <w:r>
        <w:t xml:space="preserve">АО «Россельхозбанк» к расчетному счету, с целью оплаты расходов, связанных с деятельностью Клиента, в том числе оплатой командировочных и представительских расходов, в предприятиях торгов</w:t>
      </w:r>
      <w:r>
        <w:t xml:space="preserve">ли/сервиса, получения на эти цели наличных денежных средств в пунктах выдачи наличных и банкоматах Банка и в сторонних кредитных организациях, а также внесения наличных денежных средств на счет</w:t>
      </w:r>
      <w:r>
        <w:t xml:space="preserve">/счет бизнес-карты</w:t>
      </w:r>
      <w:r>
        <w:t xml:space="preserve"> Клиента через банкоматы/ИПТ Банка и банков-партнеров</w:t>
      </w:r>
      <w:r>
        <w:t xml:space="preserve">;</w:t>
      </w:r>
      <w:r/>
    </w:p>
    <w:p>
      <w:pPr>
        <w:pStyle w:val="1424"/>
        <w:ind w:firstLine="709"/>
        <w:jc w:val="both"/>
        <w:widowControl w:val="off"/>
        <w:tabs>
          <w:tab w:val="left" w:pos="-2835" w:leader="none"/>
        </w:tabs>
      </w:pPr>
      <w:r>
        <w:rPr>
          <w:b/>
        </w:rPr>
        <w:t xml:space="preserve">ДБО</w:t>
      </w:r>
      <w:r>
        <w:t xml:space="preserve"> – дистанционное банковское обслуживание</w:t>
      </w:r>
      <w:r>
        <w:t xml:space="preserve"> с использованием ИС Свой Бизнес</w:t>
      </w:r>
      <w:r>
        <w:t xml:space="preserve">;</w:t>
      </w:r>
      <w:r/>
    </w:p>
    <w:p>
      <w:pPr>
        <w:pStyle w:val="1424"/>
        <w:ind w:firstLine="709"/>
        <w:jc w:val="both"/>
        <w:widowControl w:val="off"/>
        <w:tabs>
          <w:tab w:val="left" w:pos="-2835" w:leader="none"/>
        </w:tabs>
        <w:rPr>
          <w:bCs/>
        </w:rPr>
      </w:pPr>
      <w:r>
        <w:rPr>
          <w:b/>
        </w:rPr>
        <w:t xml:space="preserve">Д</w:t>
      </w:r>
      <w:r>
        <w:rPr>
          <w:b/>
        </w:rPr>
        <w:t xml:space="preserve">оговор </w:t>
      </w:r>
      <w:r>
        <w:rPr>
          <w:b/>
        </w:rPr>
        <w:t xml:space="preserve">банковского счета – </w:t>
      </w:r>
      <w:r>
        <w:t xml:space="preserve">заключенный между Банком и Клиентом договор</w:t>
      </w:r>
      <w:r>
        <w:rPr>
          <w:bCs/>
        </w:rPr>
        <w:t xml:space="preserve"> по осуществлению </w:t>
      </w:r>
      <w:r>
        <w:rPr>
          <w:bCs/>
        </w:rPr>
        <w:t xml:space="preserve">расчетно-кассового обслуживания</w:t>
      </w:r>
      <w:r>
        <w:rPr>
          <w:bCs/>
        </w:rPr>
        <w:t xml:space="preserve"> в порядке, установленном законодательством Российской Федерации</w:t>
      </w:r>
      <w:r>
        <w:rPr>
          <w:bCs/>
        </w:rPr>
        <w:t xml:space="preserve">, в том числе Единый сервисный договор</w:t>
      </w:r>
      <w:r>
        <w:rPr>
          <w:bCs/>
        </w:rPr>
        <w:t xml:space="preserve">;</w:t>
      </w:r>
      <w:r>
        <w:rPr>
          <w:bCs/>
        </w:rPr>
      </w:r>
      <w:r>
        <w:rPr>
          <w:bCs/>
        </w:rPr>
      </w:r>
    </w:p>
    <w:p>
      <w:pPr>
        <w:pStyle w:val="1424"/>
        <w:ind w:firstLine="709"/>
        <w:jc w:val="both"/>
        <w:widowControl w:val="off"/>
        <w:tabs>
          <w:tab w:val="left" w:pos="-2835" w:leader="none"/>
        </w:tabs>
        <w:rPr>
          <w:highlight w:val="none"/>
        </w:rPr>
      </w:pPr>
      <w:r>
        <w:rPr>
          <w:b/>
          <w:szCs w:val="20"/>
        </w:rPr>
        <w:t xml:space="preserve">Д</w:t>
      </w:r>
      <w:r>
        <w:rPr>
          <w:b/>
          <w:szCs w:val="20"/>
        </w:rPr>
        <w:t xml:space="preserve">оговор </w:t>
      </w:r>
      <w:r>
        <w:rPr>
          <w:b/>
          <w:szCs w:val="20"/>
        </w:rPr>
        <w:t xml:space="preserve">о ДБО </w:t>
      </w:r>
      <w:r>
        <w:rPr>
          <w:szCs w:val="20"/>
        </w:rPr>
        <w:t xml:space="preserve">–</w:t>
      </w:r>
      <w:r>
        <w:rPr>
          <w:b/>
          <w:szCs w:val="20"/>
        </w:rPr>
        <w:t xml:space="preserve"> </w:t>
      </w:r>
      <w:r>
        <w:rPr>
          <w:szCs w:val="20"/>
        </w:rPr>
        <w:t xml:space="preserve">заключенный между</w:t>
      </w:r>
      <w:r>
        <w:rPr>
          <w:b/>
          <w:szCs w:val="20"/>
        </w:rPr>
        <w:t xml:space="preserve"> </w:t>
      </w:r>
      <w:r>
        <w:rPr>
          <w:szCs w:val="20"/>
        </w:rPr>
        <w:t xml:space="preserve">Банком и Клиентом </w:t>
      </w:r>
      <w:r>
        <w:rPr>
          <w:szCs w:val="20"/>
        </w:rPr>
        <w:t xml:space="preserve">договор о дистанционном банковском обслуживании</w:t>
      </w:r>
      <w:r>
        <w:rPr>
          <w:szCs w:val="20"/>
        </w:rPr>
        <w:t xml:space="preserve">;</w:t>
      </w:r>
      <w:r>
        <w:rPr>
          <w:szCs w:val="20"/>
        </w:rPr>
        <w:t xml:space="preserve"> </w:t>
      </w:r>
      <w:r>
        <w:rPr>
          <w:highlight w:val="none"/>
        </w:rPr>
      </w:r>
      <w:r>
        <w:rPr>
          <w:highlight w:val="none"/>
        </w:rPr>
      </w:r>
    </w:p>
    <w:p>
      <w:pPr>
        <w:contextualSpacing w:val="0"/>
        <w:ind w:firstLine="709"/>
        <w:jc w:val="both"/>
        <w:keepLines w:val="0"/>
        <w:keepNext w:val="0"/>
        <w:spacing w:before="0"/>
        <w:widowControl w:val="off"/>
        <w:tabs>
          <w:tab w:val="left" w:pos="-2835" w:leader="none"/>
        </w:tabs>
        <w:suppressLineNumbers w:val="0"/>
      </w:pPr>
      <w:r>
        <w:rPr>
          <w:rFonts w:ascii="Times New Roman" w:hAnsi="Times New Roman"/>
          <w:b/>
          <w:bCs/>
          <w:sz w:val="24"/>
          <w:szCs w:val="24"/>
          <w:highlight w:val="none"/>
        </w:rPr>
        <w:t xml:space="preserve">Договор эквайринга</w:t>
      </w:r>
      <w:r>
        <w:rPr>
          <w:rFonts w:ascii="Times New Roman" w:hAnsi="Times New Roman"/>
          <w:sz w:val="24"/>
          <w:szCs w:val="24"/>
          <w:highlight w:val="none"/>
        </w:rPr>
        <w:t xml:space="preserve"> – заключенный между Банком и Клиентом договор, состоящий из Условий эквайрингового обслуживания клиентов Банка (торговый эквайринг) и Заявления о присоединении к условиям эквайрингового обслуживания клиентов Банка (торговый эквайринг)</w:t>
      </w:r>
      <w:r/>
    </w:p>
    <w:p>
      <w:pPr>
        <w:ind w:firstLine="709"/>
        <w:jc w:val="both"/>
        <w:widowControl w:val="off"/>
        <w:tabs>
          <w:tab w:val="left" w:pos="-2835" w:leader="none"/>
        </w:tabs>
      </w:pPr>
      <w:r>
        <w:rPr>
          <w:b/>
          <w:bCs/>
          <w:highlight w:val="none"/>
        </w:rPr>
        <w:t xml:space="preserve">Единый сервисный договор (ЕСД)</w:t>
      </w:r>
      <w:r>
        <w:rPr>
          <w:highlight w:val="none"/>
        </w:rPr>
        <w:t xml:space="preserve"> – Единый сервисный </w:t>
      </w:r>
      <w:r>
        <w:rPr>
          <w:highlight w:val="none"/>
        </w:rPr>
        <w:t xml:space="preserve">договор банковского обслуживания юридических лиц (за исключением кредитных организаций), индивидуальных предпринимателей им физических лиц, занимающихся в установленном законодательством Российской Федерации порядке частной практикой, в АО «Россельхозбанк»</w:t>
      </w:r>
      <w:r>
        <w:rPr>
          <w:highlight w:val="none"/>
        </w:rPr>
      </w:r>
      <w:r/>
    </w:p>
    <w:p>
      <w:pPr>
        <w:pStyle w:val="1424"/>
        <w:ind w:firstLine="709"/>
        <w:jc w:val="both"/>
        <w:widowControl w:val="off"/>
        <w:tabs>
          <w:tab w:val="left" w:pos="-2835" w:leader="none"/>
        </w:tabs>
        <w:rPr>
          <w:highlight w:val="none"/>
        </w:rPr>
      </w:pPr>
      <w:r>
        <w:rPr>
          <w:b/>
        </w:rPr>
        <w:t xml:space="preserve">Клиент</w:t>
      </w:r>
      <w:r>
        <w:t xml:space="preserve"> – </w:t>
      </w:r>
      <w:r>
        <w:t xml:space="preserve">юридическое лицо (за исключением финансовой организации), индивидуальный предприниматель и физическое лицо, занимающееся в установленном законодательством Российской Федерации порядке частной практикой, не находящиеся в процедуре банкротства/ликвидации</w:t>
      </w:r>
      <w:r>
        <w:t xml:space="preserve">;</w:t>
      </w:r>
      <w:r>
        <w:rPr>
          <w:highlight w:val="none"/>
        </w:rPr>
      </w:r>
      <w:r>
        <w:rPr>
          <w:highlight w:val="none"/>
        </w:rPr>
      </w:r>
    </w:p>
    <w:p>
      <w:pPr>
        <w:ind w:firstLine="709"/>
        <w:jc w:val="both"/>
        <w:widowControl w:val="off"/>
        <w:tabs>
          <w:tab w:val="left" w:pos="-2835" w:leader="none"/>
        </w:tabs>
        <w:rPr>
          <w:b/>
          <w:bCs/>
        </w:rPr>
      </w:pPr>
      <w:r>
        <w:rPr>
          <w:b/>
          <w:bCs/>
          <w:highlight w:val="none"/>
        </w:rPr>
        <w:t xml:space="preserve">Операция оплаты</w:t>
      </w:r>
      <w:r>
        <w:rPr>
          <w:bCs/>
          <w:highlight w:val="none"/>
        </w:rPr>
        <w:t xml:space="preserve"> – операция по оплате товаров/работ/услуг, приобретаемых у Клиента, с использованием платежной карты в электронном терминале Клиента в соответствии с требованиями заключенного с Банком Договора эквайринга;</w:t>
      </w:r>
      <w:r>
        <w:rPr>
          <w:b/>
          <w:bCs/>
        </w:rPr>
      </w:r>
      <w:r>
        <w:rPr>
          <w:b/>
          <w:bCs/>
        </w:rPr>
      </w:r>
    </w:p>
    <w:p>
      <w:pPr>
        <w:ind w:firstLine="709"/>
        <w:jc w:val="both"/>
        <w:widowControl w:val="off"/>
        <w:tabs>
          <w:tab w:val="left" w:pos="-2835" w:leader="none"/>
        </w:tabs>
      </w:pPr>
      <w:r>
        <w:rPr>
          <w:b/>
          <w:bCs/>
          <w:highlight w:val="none"/>
        </w:rPr>
        <w:t xml:space="preserve">Опции</w:t>
      </w:r>
      <w:r>
        <w:rPr>
          <w:bCs/>
          <w:highlight w:val="none"/>
        </w:rPr>
        <w:t xml:space="preserve"> – опции с условиями предоставления услуг торгового эквайринга, предусмотренные Тарифным планом «Меню возможностей».</w:t>
      </w:r>
      <w:r>
        <w:rPr>
          <w:bCs/>
          <w:highlight w:val="none"/>
        </w:rPr>
      </w:r>
      <w:r/>
    </w:p>
    <w:p>
      <w:pPr>
        <w:pStyle w:val="1424"/>
        <w:ind w:firstLine="709"/>
        <w:jc w:val="both"/>
        <w:widowControl w:val="off"/>
        <w:tabs>
          <w:tab w:val="left" w:pos="-2835" w:leader="none"/>
        </w:tabs>
        <w:rPr>
          <w:highlight w:val="none"/>
        </w:rPr>
      </w:pPr>
      <w:r>
        <w:rPr>
          <w:b/>
          <w:bCs/>
        </w:rPr>
        <w:t xml:space="preserve">п</w:t>
      </w:r>
      <w:r>
        <w:rPr>
          <w:b/>
          <w:bCs/>
        </w:rPr>
        <w:t xml:space="preserve">одразделение </w:t>
      </w:r>
      <w:r>
        <w:rPr>
          <w:b/>
          <w:bCs/>
        </w:rPr>
        <w:t xml:space="preserve">Банка</w:t>
      </w:r>
      <w:r>
        <w:rPr>
          <w:bCs/>
        </w:rPr>
        <w:t xml:space="preserve"> </w:t>
      </w:r>
      <w:r>
        <w:t xml:space="preserve">–</w:t>
      </w:r>
      <w:r>
        <w:rPr>
          <w:bCs/>
        </w:rPr>
        <w:t xml:space="preserve"> </w:t>
      </w:r>
      <w:r>
        <w:rPr>
          <w:bCs/>
        </w:rPr>
        <w:t xml:space="preserve">дополнительный офис Банка, </w:t>
      </w:r>
      <w:r>
        <w:rPr>
          <w:bCs/>
        </w:rPr>
        <w:t xml:space="preserve">региональный филиал, включая его дополнительные офисы</w:t>
      </w:r>
      <w:r>
        <w:rPr>
          <w:bCs/>
        </w:rPr>
        <w:t xml:space="preserve">;</w:t>
      </w:r>
      <w:r>
        <w:rPr>
          <w:highlight w:val="none"/>
        </w:rPr>
      </w:r>
      <w:r>
        <w:rPr>
          <w:highlight w:val="none"/>
        </w:rPr>
      </w:r>
    </w:p>
    <w:p>
      <w:pPr>
        <w:pStyle w:val="1424"/>
        <w:ind w:firstLine="709"/>
        <w:jc w:val="both"/>
        <w:widowControl w:val="off"/>
        <w:tabs>
          <w:tab w:val="left" w:pos="-2835" w:leader="none"/>
        </w:tabs>
        <w:rPr>
          <w:bCs/>
          <w:highlight w:val="white"/>
        </w:rPr>
      </w:pPr>
      <w:r>
        <w:rPr>
          <w:b/>
          <w:bCs/>
          <w:highlight w:val="white"/>
        </w:rPr>
        <w:t xml:space="preserve">п</w:t>
      </w:r>
      <w:r>
        <w:rPr>
          <w:b/>
          <w:bCs/>
          <w:highlight w:val="white"/>
        </w:rPr>
        <w:t xml:space="preserve">редварительная </w:t>
      </w:r>
      <w:r>
        <w:rPr>
          <w:b/>
          <w:bCs/>
          <w:highlight w:val="white"/>
        </w:rPr>
        <w:t xml:space="preserve">заявка</w:t>
      </w:r>
      <w:r>
        <w:rPr>
          <w:bCs/>
          <w:highlight w:val="white"/>
        </w:rPr>
        <w:t xml:space="preserve"> –</w:t>
      </w:r>
      <w:r>
        <w:rPr>
          <w:bCs/>
          <w:highlight w:val="white"/>
        </w:rPr>
        <w:t xml:space="preserve"> </w:t>
      </w:r>
      <w:r>
        <w:rPr>
          <w:bCs/>
          <w:highlight w:val="white"/>
        </w:rPr>
        <w:t xml:space="preserve">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w:t>
      </w:r>
      <w:r>
        <w:rPr>
          <w:bCs/>
          <w:highlight w:val="white"/>
        </w:rPr>
        <w:t xml:space="preserve">;</w:t>
      </w:r>
      <w:r>
        <w:rPr>
          <w:bCs/>
          <w:highlight w:val="white"/>
        </w:rPr>
      </w:r>
      <w:r>
        <w:rPr>
          <w:bCs/>
          <w:highlight w:val="white"/>
        </w:rPr>
      </w:r>
    </w:p>
    <w:p>
      <w:pPr>
        <w:ind w:firstLine="709"/>
        <w:jc w:val="both"/>
        <w:widowControl w:val="off"/>
        <w:tabs>
          <w:tab w:val="left" w:pos="-2835" w:leader="none"/>
        </w:tabs>
        <w:rPr>
          <w:b/>
          <w:bCs/>
          <w:highlight w:val="white"/>
          <w14:ligatures w14:val="none"/>
        </w:rPr>
      </w:pPr>
      <w:r>
        <w:rPr>
          <w:highlight w:val="white"/>
          <w14:ligatures w14:val="none"/>
        </w:rPr>
      </w:r>
      <w:r>
        <w:rPr>
          <w:b/>
        </w:rPr>
        <w:t xml:space="preserve">с</w:t>
      </w:r>
      <w:r>
        <w:rPr>
          <w:b/>
        </w:rPr>
        <w:t xml:space="preserve">чет </w:t>
      </w:r>
      <w:r>
        <w:rPr>
          <w:b/>
        </w:rPr>
        <w:t xml:space="preserve">– </w:t>
      </w:r>
      <w:r>
        <w:t xml:space="preserve">расчетный счет в валюте Российской Федерации, открываемый Бан</w:t>
      </w:r>
      <w:r>
        <w:t xml:space="preserve">ком Клиенту или действующий на момент </w:t>
      </w:r>
      <w:r>
        <w:t xml:space="preserve">подключения ТП</w:t>
      </w:r>
      <w:r>
        <w:t xml:space="preserve">, по которому Банк осуществляет операции по списанию и зачислению средств, а также другие операции в соответствии с действующим законодательством Российской Федерации, Договором банковского счета, </w:t>
      </w:r>
      <w:r>
        <w:t xml:space="preserve">тарифными планами</w:t>
      </w:r>
      <w:r>
        <w:t xml:space="preserve"> и Тарифами Банка</w:t>
      </w:r>
      <w:r>
        <w:t xml:space="preserve">;</w:t>
      </w:r>
      <w:r>
        <w:rPr>
          <w:b/>
          <w:bCs/>
          <w:highlight w:val="white"/>
          <w14:ligatures w14:val="none"/>
        </w:rPr>
      </w:r>
      <w:r>
        <w:rPr>
          <w:b/>
          <w:bCs/>
          <w:highlight w:val="white"/>
          <w14:ligatures w14:val="none"/>
        </w:rPr>
      </w:r>
    </w:p>
    <w:p>
      <w:pPr>
        <w:pStyle w:val="1424"/>
        <w:ind w:firstLine="709"/>
        <w:jc w:val="both"/>
        <w:widowControl w:val="off"/>
        <w:tabs>
          <w:tab w:val="left" w:pos="-2835" w:leader="none"/>
        </w:tabs>
        <w:rPr>
          <w:highlight w:val="none"/>
        </w:rPr>
      </w:pPr>
      <w:r>
        <w:rPr>
          <w:b/>
        </w:rPr>
        <w:t xml:space="preserve">Тарифы Банка</w:t>
      </w:r>
      <w:r>
        <w:t xml:space="preserve"> – тарифы комиссионного вознаграждения</w:t>
      </w:r>
      <w:r>
        <w:t xml:space="preserve"> на услуги </w:t>
        <w:b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t xml:space="preserve">;</w:t>
      </w:r>
      <w:r>
        <w:rPr>
          <w:highlight w:val="none"/>
        </w:rPr>
      </w:r>
      <w:r>
        <w:rPr>
          <w:highlight w:val="none"/>
        </w:rPr>
      </w:r>
    </w:p>
    <w:p>
      <w:pPr>
        <w:pStyle w:val="1424"/>
        <w:contextualSpacing w:val="0"/>
        <w:ind w:firstLine="709"/>
        <w:jc w:val="both"/>
        <w:keepLines w:val="0"/>
        <w:keepNext w:val="0"/>
        <w:spacing w:before="0"/>
        <w:widowControl w:val="off"/>
        <w:tabs>
          <w:tab w:val="left" w:pos="-2835" w:leader="none"/>
        </w:tabs>
        <w:rPr>
          <w:rFonts w:ascii="Times New Roman" w:hAnsi="Times New Roman"/>
          <w:sz w:val="24"/>
          <w:szCs w:val="24"/>
          <w:highlight w:val="none"/>
        </w:rPr>
        <w:suppressLineNumbers w:val="0"/>
      </w:pPr>
      <w:r>
        <w:rPr>
          <w:rFonts w:ascii="Times New Roman" w:hAnsi="Times New Roman"/>
          <w:b/>
          <w:sz w:val="24"/>
          <w:szCs w:val="24"/>
        </w:rPr>
        <w:t xml:space="preserve">Тарифный план «Корпоративный»/«Корпоративный «ПЛЮС»</w:t>
      </w:r>
      <w:r>
        <w:t xml:space="preserve"> </w:t>
      </w:r>
      <w:r>
        <w:rPr>
          <w:rFonts w:ascii="Times New Roman" w:hAnsi="Times New Roman"/>
          <w:bCs/>
        </w:rPr>
        <w:t xml:space="preserve">–</w:t>
      </w:r>
      <w:r>
        <w:rPr>
          <w:rFonts w:ascii="Times New Roman" w:hAnsi="Times New Roman"/>
          <w:sz w:val="24"/>
          <w:szCs w:val="24"/>
        </w:rPr>
        <w:t xml:space="preserve"> </w:t>
      </w:r>
      <w:r>
        <w:rPr>
          <w:rFonts w:ascii="Times New Roman" w:hAnsi="Times New Roman"/>
          <w:sz w:val="24"/>
          <w:szCs w:val="24"/>
        </w:rPr>
        <w:t xml:space="preserve">Т</w:t>
      </w:r>
      <w:r>
        <w:rPr>
          <w:rFonts w:ascii="Times New Roman" w:hAnsi="Times New Roman"/>
          <w:sz w:val="24"/>
          <w:szCs w:val="24"/>
        </w:rPr>
        <w:t xml:space="preserve">арифы комиссионного вознаграждения на услуги Банка юридическим ли</w:t>
      </w:r>
      <w:r>
        <w:rPr>
          <w:rFonts w:ascii="Times New Roman" w:hAnsi="Times New Roman"/>
          <w:sz w:val="24"/>
          <w:szCs w:val="24"/>
        </w:rPr>
        <w:t xml:space="preserve">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 осуществляемые с использованием бизнес-карт.</w:t>
      </w:r>
      <w:r>
        <w:rPr>
          <w:rFonts w:ascii="Times New Roman" w:hAnsi="Times New Roman"/>
          <w:sz w:val="24"/>
          <w:szCs w:val="24"/>
          <w:highlight w:val="none"/>
        </w:rPr>
      </w:r>
      <w:r>
        <w:rPr>
          <w:rFonts w:ascii="Times New Roman" w:hAnsi="Times New Roman"/>
          <w:sz w:val="24"/>
          <w:szCs w:val="24"/>
          <w:highlight w:val="none"/>
        </w:rPr>
      </w:r>
    </w:p>
    <w:p>
      <w:pPr>
        <w:pStyle w:val="1424"/>
        <w:ind w:firstLine="709"/>
        <w:widowControl w:val="off"/>
        <w:tabs>
          <w:tab w:val="left" w:pos="-2835" w:leader="none"/>
        </w:tabs>
      </w:pPr>
      <w:r>
        <w:rPr>
          <w:b/>
          <w:bCs/>
        </w:rPr>
        <w:t xml:space="preserve">ТП</w:t>
      </w:r>
      <w:r>
        <w:t xml:space="preserve"> - </w:t>
      </w:r>
      <w:r>
        <w:t xml:space="preserve">Тарифный план «Меню возможностей»</w:t>
      </w:r>
      <w:r>
        <w:t xml:space="preserve">.</w:t>
      </w:r>
      <w:r/>
    </w:p>
    <w:p>
      <w:pPr>
        <w:pStyle w:val="1424"/>
        <w:ind w:firstLine="709"/>
        <w:widowControl w:val="off"/>
        <w:tabs>
          <w:tab w:val="left" w:pos="-2835" w:leader="none"/>
        </w:tabs>
      </w:pPr>
      <w:r>
        <w:rPr>
          <w:sz w:val="2"/>
          <w:szCs w:val="2"/>
        </w:rPr>
      </w:r>
      <w:r/>
    </w:p>
    <w:p>
      <w:pPr>
        <w:ind w:firstLine="709"/>
        <w:widowControl w:val="off"/>
        <w:tabs>
          <w:tab w:val="left" w:pos="-2835" w:leader="none"/>
        </w:tabs>
        <w:rPr>
          <w:sz w:val="2"/>
          <w:szCs w:val="2"/>
        </w:rPr>
      </w:pPr>
      <w:r>
        <w:rPr>
          <w:sz w:val="2"/>
          <w:szCs w:val="2"/>
        </w:rPr>
      </w:r>
      <w:r>
        <w:rPr>
          <w:sz w:val="2"/>
          <w:szCs w:val="2"/>
        </w:rPr>
      </w:r>
      <w:r>
        <w:rPr>
          <w:sz w:val="2"/>
          <w:szCs w:val="2"/>
        </w:rPr>
      </w:r>
    </w:p>
    <w:p>
      <w:pPr>
        <w:pStyle w:val="1424"/>
        <w:numPr>
          <w:ilvl w:val="0"/>
          <w:numId w:val="20"/>
        </w:numPr>
        <w:ind w:left="0" w:firstLine="0"/>
        <w:jc w:val="center"/>
        <w:spacing w:before="120" w:after="120"/>
        <w:widowControl w:val="off"/>
        <w:tabs>
          <w:tab w:val="left" w:pos="426" w:leader="none"/>
        </w:tabs>
        <w:rPr>
          <w:b/>
        </w:rPr>
      </w:pPr>
      <w:r>
        <w:rPr>
          <w:b/>
        </w:rPr>
        <w:t xml:space="preserve">Тарифы</w:t>
      </w:r>
      <w:r>
        <w:rPr>
          <w:b/>
        </w:rPr>
        <w:t xml:space="preserve"> </w:t>
      </w:r>
      <w:r>
        <w:rPr>
          <w:b/>
        </w:rPr>
        <w:t xml:space="preserve">в рамках </w:t>
      </w:r>
      <w:r>
        <w:rPr>
          <w:b/>
        </w:rPr>
        <w:t xml:space="preserve">тарифно</w:t>
      </w:r>
      <w:r>
        <w:rPr>
          <w:b/>
        </w:rPr>
        <w:t xml:space="preserve">го</w:t>
      </w:r>
      <w:r>
        <w:rPr>
          <w:b/>
        </w:rPr>
        <w:t xml:space="preserve"> план</w:t>
      </w:r>
      <w:r>
        <w:rPr>
          <w:b/>
        </w:rPr>
        <w:t xml:space="preserve">а</w:t>
      </w:r>
      <w:r>
        <w:rPr>
          <w:b/>
        </w:rPr>
        <w:t xml:space="preserve"> «</w:t>
      </w:r>
      <w:r>
        <w:rPr>
          <w:b/>
        </w:rPr>
        <w:t xml:space="preserve">Меню возможностей</w:t>
      </w:r>
      <w:r>
        <w:rPr>
          <w:b/>
        </w:rPr>
        <w:t xml:space="preserve">»</w:t>
      </w:r>
      <w:r>
        <w:rPr>
          <w:b/>
        </w:rPr>
      </w:r>
      <w:r>
        <w:rPr>
          <w:b/>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8"/>
        <w:gridCol w:w="1"/>
        <w:gridCol w:w="2977"/>
        <w:gridCol w:w="1275"/>
        <w:gridCol w:w="1134"/>
        <w:gridCol w:w="1346"/>
        <w:gridCol w:w="2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24"/>
              <w:jc w:val="center"/>
              <w:widowControl w:val="off"/>
              <w:rPr>
                <w:b/>
                <w:sz w:val="18"/>
                <w:szCs w:val="18"/>
              </w:rPr>
            </w:pPr>
            <w:r>
              <w:rPr>
                <w:b/>
                <w:sz w:val="18"/>
                <w:szCs w:val="18"/>
              </w:rPr>
              <w:t xml:space="preserve">№</w:t>
            </w:r>
            <w:r>
              <w:rPr>
                <w:b/>
                <w:sz w:val="18"/>
                <w:szCs w:val="18"/>
              </w:rPr>
            </w:r>
            <w:r>
              <w:rPr>
                <w:b/>
                <w:sz w:val="18"/>
                <w:szCs w:val="18"/>
              </w:rPr>
            </w:r>
          </w:p>
          <w:p>
            <w:pPr>
              <w:pStyle w:val="1424"/>
              <w:jc w:val="center"/>
              <w:widowControl w:val="off"/>
              <w:rPr>
                <w:b/>
                <w:sz w:val="18"/>
                <w:szCs w:val="18"/>
              </w:rPr>
            </w:pPr>
            <w:r>
              <w:rPr>
                <w:b/>
                <w:sz w:val="18"/>
                <w:szCs w:val="18"/>
              </w:rPr>
              <w:t xml:space="preserve">п/п</w:t>
            </w:r>
            <w:r>
              <w:rPr>
                <w:b/>
                <w:sz w:val="18"/>
                <w:szCs w:val="18"/>
              </w:rPr>
            </w:r>
            <w:r>
              <w:rPr>
                <w:b/>
                <w:sz w:val="18"/>
                <w:szCs w:val="18"/>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424"/>
              <w:jc w:val="center"/>
              <w:widowControl w:val="off"/>
              <w:rPr>
                <w:b/>
                <w:sz w:val="18"/>
                <w:szCs w:val="18"/>
              </w:rPr>
            </w:pPr>
            <w:r>
              <w:rPr>
                <w:b/>
                <w:sz w:val="18"/>
                <w:szCs w:val="18"/>
              </w:rPr>
              <w:t xml:space="preserve">Наименование услуги</w:t>
            </w:r>
            <w:r>
              <w:rPr>
                <w:b/>
                <w:sz w:val="18"/>
                <w:szCs w:val="18"/>
              </w:rPr>
            </w:r>
            <w:r>
              <w:rPr>
                <w:b/>
                <w:sz w:val="18"/>
                <w:szCs w:val="18"/>
              </w:rPr>
            </w:r>
          </w:p>
        </w:tc>
        <w:tc>
          <w:tcPr>
            <w:gridSpan w:val="2"/>
            <w:tcBorders>
              <w:top w:val="single" w:color="000000" w:sz="4" w:space="0"/>
              <w:left w:val="single" w:color="000000" w:sz="4" w:space="0"/>
              <w:bottom w:val="single" w:color="000000" w:sz="4" w:space="0"/>
              <w:right w:val="single" w:color="000000" w:sz="4" w:space="0"/>
            </w:tcBorders>
            <w:tcW w:w="2410" w:type="dxa"/>
            <w:vAlign w:val="center"/>
            <w:textDirection w:val="lrTb"/>
            <w:noWrap w:val="false"/>
          </w:tcPr>
          <w:p>
            <w:pPr>
              <w:pStyle w:val="1424"/>
              <w:jc w:val="center"/>
              <w:widowControl w:val="off"/>
              <w:rPr>
                <w:b/>
                <w:sz w:val="18"/>
                <w:szCs w:val="18"/>
              </w:rPr>
            </w:pPr>
            <w:r>
              <w:rPr>
                <w:b/>
                <w:sz w:val="18"/>
                <w:szCs w:val="18"/>
              </w:rPr>
              <w:t xml:space="preserve">Тариф</w:t>
            </w:r>
            <w:r>
              <w:rPr>
                <w:b/>
                <w:sz w:val="18"/>
                <w:szCs w:val="18"/>
              </w:rPr>
            </w:r>
            <w:r>
              <w:rPr>
                <w:b/>
                <w:sz w:val="18"/>
                <w:szCs w:val="18"/>
              </w:rPr>
            </w:r>
          </w:p>
        </w:tc>
        <w:tc>
          <w:tcPr>
            <w:gridSpan w:val="2"/>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424"/>
              <w:jc w:val="center"/>
              <w:widowControl w:val="off"/>
              <w:rPr>
                <w:b/>
                <w:sz w:val="18"/>
                <w:szCs w:val="18"/>
              </w:rPr>
            </w:pPr>
            <w:r>
              <w:rPr>
                <w:b/>
                <w:sz w:val="18"/>
                <w:szCs w:val="18"/>
              </w:rPr>
              <w:t xml:space="preserve">Примечание</w:t>
            </w:r>
            <w:r>
              <w:rPr>
                <w:b/>
                <w:sz w:val="18"/>
                <w:szCs w:val="18"/>
              </w:rPr>
            </w:r>
            <w:r>
              <w:rPr>
                <w:b/>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24"/>
              <w:jc w:val="center"/>
              <w:spacing w:before="40" w:after="40"/>
              <w:widowControl w:val="off"/>
              <w:rPr>
                <w:b/>
                <w:sz w:val="20"/>
                <w:szCs w:val="20"/>
              </w:rPr>
            </w:pPr>
            <w:r>
              <w:rPr>
                <w:b/>
                <w:sz w:val="20"/>
                <w:szCs w:val="20"/>
              </w:rPr>
              <w:t xml:space="preserve">2.1.</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424"/>
              <w:spacing w:before="40" w:after="40"/>
              <w:widowControl w:val="off"/>
              <w:rPr>
                <w:b/>
                <w:bCs/>
                <w:sz w:val="20"/>
                <w:szCs w:val="20"/>
              </w:rPr>
            </w:pPr>
            <w:r>
              <w:rPr>
                <w:b/>
                <w:bCs/>
                <w:sz w:val="20"/>
                <w:szCs w:val="20"/>
              </w:rPr>
              <w:t xml:space="preserve">Стоимость тарифного плана</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2410" w:type="dxa"/>
            <w:vAlign w:val="top"/>
            <w:textDirection w:val="lrTb"/>
            <w:noWrap w:val="false"/>
          </w:tcPr>
          <w:p>
            <w:pPr>
              <w:pStyle w:val="1424"/>
              <w:jc w:val="center"/>
              <w:spacing w:before="40" w:after="40"/>
              <w:widowControl w:val="off"/>
              <w:rPr>
                <w:b/>
                <w:bCs/>
                <w:sz w:val="20"/>
                <w:szCs w:val="20"/>
              </w:rPr>
            </w:pPr>
            <w:r>
              <w:rPr>
                <w:b/>
                <w:sz w:val="20"/>
                <w:szCs w:val="20"/>
              </w:rPr>
              <w:t xml:space="preserve">0 руб. в месяц</w:t>
            </w:r>
            <w:r>
              <w:rPr>
                <w:b/>
                <w:bCs/>
                <w:sz w:val="20"/>
                <w:szCs w:val="20"/>
              </w:rPr>
            </w:r>
            <w:r>
              <w:rPr>
                <w:b/>
                <w:bCs/>
                <w:sz w:val="20"/>
                <w:szCs w:val="20"/>
              </w:rPr>
            </w:r>
          </w:p>
        </w:tc>
        <w:tc>
          <w:tcPr>
            <w:gridSpan w:val="2"/>
            <w:tcBorders>
              <w:top w:val="single" w:color="000000" w:sz="4" w:space="0"/>
              <w:left w:val="single" w:color="000000" w:sz="4" w:space="0"/>
              <w:right w:val="single" w:color="000000" w:sz="4" w:space="0"/>
            </w:tcBorders>
            <w:tcW w:w="3827" w:type="dxa"/>
            <w:vAlign w:val="top"/>
            <w:textDirection w:val="lrTb"/>
            <w:noWrap w:val="false"/>
          </w:tcPr>
          <w:p>
            <w:pPr>
              <w:pStyle w:val="1424"/>
              <w:spacing w:before="40" w:after="40"/>
              <w:widowControl w:val="off"/>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24"/>
              <w:jc w:val="center"/>
              <w:spacing w:before="40" w:after="40"/>
              <w:widowControl w:val="off"/>
              <w:rPr>
                <w:b/>
                <w:sz w:val="20"/>
                <w:szCs w:val="20"/>
              </w:rPr>
            </w:pPr>
            <w:r>
              <w:rPr>
                <w:b/>
                <w:sz w:val="20"/>
                <w:szCs w:val="20"/>
              </w:rPr>
              <w:t xml:space="preserve">2.</w:t>
            </w:r>
            <w:r>
              <w:rPr>
                <w:b/>
                <w:sz w:val="20"/>
                <w:szCs w:val="20"/>
              </w:rPr>
              <w:t xml:space="preserve">2</w:t>
            </w:r>
            <w:r>
              <w:rPr>
                <w:b/>
                <w:sz w:val="20"/>
                <w:szCs w:val="20"/>
              </w:rPr>
              <w:t xml:space="preserve">.</w:t>
            </w:r>
            <w:r>
              <w:rPr>
                <w:b/>
                <w:sz w:val="20"/>
                <w:szCs w:val="20"/>
              </w:rPr>
            </w:r>
            <w:r>
              <w:rPr>
                <w:b/>
                <w:sz w:val="20"/>
                <w:szCs w:val="20"/>
              </w:rPr>
            </w:r>
          </w:p>
        </w:tc>
        <w:tc>
          <w:tcPr>
            <w:gridSpan w:val="5"/>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424"/>
              <w:spacing w:before="40" w:after="40"/>
              <w:widowControl w:val="off"/>
              <w:rPr>
                <w:b/>
                <w:sz w:val="20"/>
                <w:szCs w:val="20"/>
              </w:rPr>
            </w:pPr>
            <w:r>
              <w:rPr>
                <w:b/>
                <w:bCs/>
                <w:sz w:val="20"/>
                <w:szCs w:val="20"/>
              </w:rPr>
              <w:t xml:space="preserve">Открытие и в</w:t>
            </w:r>
            <w:r>
              <w:rPr>
                <w:b/>
                <w:bCs/>
                <w:sz w:val="20"/>
                <w:szCs w:val="20"/>
              </w:rPr>
              <w:t xml:space="preserve">едение счета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24"/>
              <w:jc w:val="center"/>
              <w:widowControl w:val="off"/>
              <w:rPr>
                <w:sz w:val="20"/>
                <w:szCs w:val="20"/>
              </w:rPr>
            </w:pPr>
            <w:r>
              <w:rPr>
                <w:sz w:val="20"/>
                <w:szCs w:val="20"/>
              </w:rPr>
              <w:t xml:space="preserve">2.</w:t>
            </w:r>
            <w:r>
              <w:rPr>
                <w:sz w:val="20"/>
                <w:szCs w:val="20"/>
              </w:rPr>
              <w:t xml:space="preserve">2</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424"/>
              <w:widowControl w:val="off"/>
              <w:rPr>
                <w:rFonts w:cs="Calibri"/>
                <w:bCs/>
                <w:sz w:val="20"/>
                <w:szCs w:val="20"/>
              </w:rPr>
            </w:pPr>
            <w:r>
              <w:rPr>
                <w:rFonts w:cs="Calibri"/>
                <w:bCs/>
                <w:sz w:val="20"/>
                <w:szCs w:val="20"/>
              </w:rPr>
              <w:t xml:space="preserve">Открытие в рамках ТП одного банковского счета в валюте Российской Федерации</w:t>
            </w:r>
            <w:r>
              <w:rPr>
                <w:rFonts w:cs="Calibri"/>
                <w:bCs/>
                <w:sz w:val="20"/>
                <w:szCs w:val="20"/>
              </w:rPr>
            </w:r>
            <w:r>
              <w:rPr>
                <w:rFonts w:cs="Calibri"/>
                <w:bCs/>
                <w:sz w:val="20"/>
                <w:szCs w:val="20"/>
              </w:rPr>
            </w:r>
          </w:p>
        </w:tc>
        <w:tc>
          <w:tcPr>
            <w:gridSpan w:val="2"/>
            <w:tcBorders>
              <w:top w:val="single" w:color="000000" w:sz="4" w:space="0"/>
              <w:left w:val="single" w:color="000000" w:sz="4" w:space="0"/>
              <w:bottom w:val="single" w:color="000000" w:sz="4" w:space="0"/>
              <w:right w:val="single" w:color="000000" w:sz="4" w:space="0"/>
            </w:tcBorders>
            <w:tcW w:w="2410" w:type="dxa"/>
            <w:vAlign w:val="center"/>
            <w:textDirection w:val="lrTb"/>
            <w:noWrap w:val="false"/>
          </w:tcPr>
          <w:p>
            <w:pPr>
              <w:pStyle w:val="1424"/>
              <w:jc w:val="center"/>
              <w:widowControl w:val="off"/>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right w:val="single" w:color="000000" w:sz="4" w:space="0"/>
            </w:tcBorders>
            <w:tcW w:w="3827" w:type="dxa"/>
            <w:vAlign w:val="center"/>
            <w:textDirection w:val="lrTb"/>
            <w:noWrap w:val="false"/>
          </w:tcPr>
          <w:p>
            <w:pPr>
              <w:pStyle w:val="1424"/>
              <w:jc w:val="both"/>
              <w:widowControl w:val="off"/>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24"/>
              <w:jc w:val="center"/>
              <w:widowControl w:val="off"/>
              <w:rPr>
                <w:sz w:val="20"/>
                <w:szCs w:val="20"/>
              </w:rPr>
            </w:pPr>
            <w:r>
              <w:rPr>
                <w:sz w:val="20"/>
                <w:szCs w:val="20"/>
              </w:rPr>
              <w:t xml:space="preserve">2.</w:t>
            </w:r>
            <w:r>
              <w:rPr>
                <w:sz w:val="20"/>
                <w:szCs w:val="20"/>
              </w:rPr>
              <w:t xml:space="preserve">2</w:t>
            </w:r>
            <w:r>
              <w:rPr>
                <w:sz w:val="20"/>
                <w:szCs w:val="20"/>
              </w:rPr>
              <w:t xml:space="preserve">.</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424"/>
              <w:widowControl w:val="off"/>
              <w:rPr>
                <w:bCs/>
                <w:sz w:val="20"/>
                <w:szCs w:val="20"/>
              </w:rPr>
            </w:pPr>
            <w:r>
              <w:rPr>
                <w:rFonts w:cs="Calibri"/>
                <w:bCs/>
                <w:sz w:val="20"/>
                <w:szCs w:val="20"/>
              </w:rPr>
              <w:t xml:space="preserve">Ведение одного банковского счета</w:t>
            </w:r>
            <w:r>
              <w:rPr>
                <w:rFonts w:cs="Calibri"/>
                <w:bCs/>
                <w:sz w:val="20"/>
                <w:szCs w:val="20"/>
              </w:rPr>
              <w:t xml:space="preserve"> Клиента</w:t>
            </w:r>
            <w:r>
              <w:rPr>
                <w:rFonts w:cs="Calibri"/>
                <w:bCs/>
                <w:sz w:val="20"/>
                <w:szCs w:val="20"/>
              </w:rPr>
              <w:t xml:space="preserve">, обслуживаемого в рамках ТП, в валюте Российской</w:t>
            </w:r>
            <w:r>
              <w:rPr>
                <w:rFonts w:cs="Calibri"/>
                <w:bCs/>
                <w:sz w:val="20"/>
                <w:szCs w:val="20"/>
              </w:rPr>
              <w:t xml:space="preserve"> Федерации</w:t>
            </w:r>
            <w:r>
              <w:rPr>
                <w:rFonts w:cs="Calibri"/>
                <w:bCs/>
                <w:sz w:val="20"/>
                <w:szCs w:val="20"/>
              </w:rPr>
              <w:t xml:space="preserve"> при использовании системы ДБО</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10" w:type="dxa"/>
            <w:vAlign w:val="center"/>
            <w:textDirection w:val="lrTb"/>
            <w:noWrap w:val="false"/>
          </w:tcPr>
          <w:p>
            <w:pPr>
              <w:pStyle w:val="1424"/>
              <w:jc w:val="center"/>
              <w:widowControl w:val="off"/>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right w:val="single" w:color="000000" w:sz="4" w:space="0"/>
            </w:tcBorders>
            <w:tcW w:w="3827" w:type="dxa"/>
            <w:vAlign w:val="top"/>
            <w:textDirection w:val="lrTb"/>
            <w:noWrap w:val="false"/>
          </w:tcPr>
          <w:p>
            <w:pPr>
              <w:pStyle w:val="1424"/>
              <w:jc w:val="both"/>
              <w:widowControl w:val="off"/>
              <w:rPr>
                <w:sz w:val="20"/>
                <w:szCs w:val="20"/>
              </w:rPr>
            </w:pPr>
            <w:r>
              <w:rPr>
                <w:sz w:val="20"/>
                <w:szCs w:val="20"/>
              </w:rPr>
            </w:r>
            <w:r>
              <w:rPr>
                <w:sz w:val="20"/>
                <w:szCs w:val="20"/>
              </w:rPr>
            </w:r>
            <w:r>
              <w:rPr>
                <w:sz w:val="20"/>
                <w:szCs w:val="20"/>
              </w:rPr>
            </w:r>
          </w:p>
        </w:tc>
      </w:tr>
      <w:tr>
        <w:tblPrEx/>
        <w:trPr/>
        <w:tc>
          <w:tcPr>
            <w:gridSpan w:val="2"/>
            <w:tcBorders>
              <w:top w:val="single" w:color="000000" w:sz="4" w:space="0"/>
              <w:left w:val="single" w:color="000000" w:sz="4" w:space="0"/>
              <w:bottom w:val="single" w:color="000000" w:sz="4" w:space="0"/>
              <w:right w:val="single" w:color="000000" w:sz="4" w:space="0"/>
            </w:tcBorders>
            <w:tcW w:w="709" w:type="dxa"/>
            <w:vAlign w:val="center"/>
            <w:vMerge w:val="restart"/>
            <w:textDirection w:val="lrTb"/>
            <w:noWrap w:val="false"/>
          </w:tcPr>
          <w:p>
            <w:pPr>
              <w:pStyle w:val="1424"/>
              <w:jc w:val="center"/>
              <w:widowControl w:val="off"/>
              <w:rPr>
                <w:sz w:val="20"/>
                <w:szCs w:val="20"/>
              </w:rPr>
            </w:pPr>
            <w:r>
              <w:rPr>
                <w:sz w:val="20"/>
                <w:szCs w:val="20"/>
              </w:rPr>
              <w:t xml:space="preserve">2.2.3.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vMerge w:val="restart"/>
            <w:textDirection w:val="lrTb"/>
            <w:noWrap w:val="false"/>
          </w:tcPr>
          <w:p>
            <w:pPr>
              <w:widowControl w:val="off"/>
              <w:rPr>
                <w:rFonts w:cs="Calibri"/>
                <w:bCs/>
                <w14:ligatures w14:val="none"/>
              </w:rPr>
            </w:pPr>
            <w:r>
              <w:rPr>
                <w:rFonts w:cs="Calibri"/>
                <w:sz w:val="20"/>
                <w:szCs w:val="20"/>
                <w:lang w:eastAsia="ru-RU"/>
              </w:rPr>
              <w:t xml:space="preserve">Перевод денежных средств со Счета</w:t>
            </w:r>
            <w:r>
              <w:rPr>
                <w:rFonts w:cs="Calibri"/>
                <w:sz w:val="20"/>
                <w:szCs w:val="20"/>
                <w:lang w:eastAsia="ru-RU"/>
              </w:rPr>
              <w:t xml:space="preserve">,</w:t>
            </w:r>
            <w:r>
              <w:rPr>
                <w:rFonts w:cs="Calibri"/>
                <w:sz w:val="20"/>
                <w:szCs w:val="20"/>
                <w:lang w:eastAsia="ru-RU"/>
              </w:rPr>
              <w:t xml:space="preserve"> обслуживаемого </w:t>
            </w:r>
            <w:r>
              <w:rPr>
                <w:rFonts w:cs="Calibri"/>
                <w:sz w:val="20"/>
                <w:szCs w:val="20"/>
                <w:lang w:eastAsia="ru-RU"/>
              </w:rPr>
              <w:t xml:space="preserve">в</w:t>
            </w:r>
            <w:r>
              <w:rPr>
                <w:rFonts w:cs="Calibri"/>
                <w:sz w:val="20"/>
                <w:szCs w:val="20"/>
                <w:lang w:eastAsia="ru-RU"/>
              </w:rPr>
              <w:t xml:space="preserve"> рамках</w:t>
            </w:r>
            <w:r>
              <w:rPr>
                <w:rFonts w:cs="Calibri"/>
                <w:sz w:val="20"/>
                <w:szCs w:val="20"/>
                <w:lang w:eastAsia="ru-RU"/>
              </w:rPr>
              <w:t xml:space="preserve"> ТП</w:t>
            </w:r>
            <w:r>
              <w:rPr>
                <w:rFonts w:cs="Calibri"/>
                <w:sz w:val="20"/>
                <w:szCs w:val="20"/>
                <w:lang w:eastAsia="ru-RU"/>
              </w:rPr>
              <w:t xml:space="preserve">,</w:t>
            </w:r>
            <w:r>
              <w:rPr>
                <w:rFonts w:cs="Calibri"/>
                <w:sz w:val="20"/>
                <w:szCs w:val="20"/>
                <w:lang w:eastAsia="ru-RU"/>
              </w:rPr>
              <w:t xml:space="preserve"> </w:t>
            </w:r>
            <w:r>
              <w:rPr>
                <w:rFonts w:cs="Calibri"/>
                <w:sz w:val="20"/>
                <w:szCs w:val="20"/>
                <w:lang w:eastAsia="ru-RU"/>
              </w:rPr>
              <w:t xml:space="preserve">на счета юридических лиц, открытые в </w:t>
            </w:r>
            <w:r>
              <w:rPr>
                <w:rFonts w:cs="Calibri"/>
                <w:sz w:val="20"/>
                <w:szCs w:val="20"/>
                <w:lang w:eastAsia="ru-RU"/>
              </w:rPr>
              <w:t xml:space="preserve">Банке</w:t>
            </w:r>
            <w:r>
              <w:rPr>
                <w:rFonts w:cs="Calibri"/>
                <w:sz w:val="20"/>
                <w:szCs w:val="20"/>
                <w:lang w:eastAsia="ru-RU"/>
              </w:rPr>
              <w:t xml:space="preserve">, отправленный Клиентом по системе ДБО</w:t>
            </w:r>
            <w:r>
              <w:rPr>
                <w:rFonts w:cs="Calibri"/>
                <w:bCs/>
                <w14:ligatures w14:val="none"/>
              </w:rPr>
            </w:r>
            <w:r>
              <w:rPr>
                <w:rFonts w:cs="Calibri"/>
                <w:bCs/>
                <w14:ligatures w14:val="none"/>
              </w:rPr>
            </w:r>
          </w:p>
        </w:tc>
        <w:tc>
          <w:tcPr>
            <w:gridSpan w:val="2"/>
            <w:tcBorders>
              <w:top w:val="single" w:color="000000" w:sz="4" w:space="0"/>
              <w:left w:val="single" w:color="000000" w:sz="4" w:space="0"/>
              <w:bottom w:val="single" w:color="000000" w:sz="4" w:space="0"/>
              <w:right w:val="single" w:color="000000" w:sz="4" w:space="0"/>
            </w:tcBorders>
            <w:tcW w:w="2410" w:type="dxa"/>
            <w:vAlign w:val="center"/>
            <w:vMerge w:val="restart"/>
            <w:textDirection w:val="lrTb"/>
            <w:noWrap w:val="false"/>
          </w:tcPr>
          <w:p>
            <w:pPr>
              <w:jc w:val="center"/>
              <w:widowControl w:val="off"/>
              <w:rPr>
                <w:rFonts w:cs="Calibri"/>
                <w:bCs/>
                <w14:ligatures w14:val="none"/>
              </w:rPr>
            </w:pPr>
            <w:r>
              <w:rPr>
                <w:rFonts w:cs="Calibri"/>
                <w:sz w:val="20"/>
                <w:szCs w:val="20"/>
                <w:lang w:eastAsia="ru-RU"/>
              </w:rPr>
              <w:t xml:space="preserve">Не взимается</w:t>
            </w:r>
            <w:r>
              <w:rPr>
                <w:rFonts w:cs="Calibri"/>
                <w:bCs/>
                <w14:ligatures w14:val="none"/>
              </w:rPr>
            </w:r>
            <w:r>
              <w:rPr>
                <w:rFonts w:cs="Calibri"/>
                <w:bCs/>
                <w14:ligatures w14:val="none"/>
              </w:rPr>
            </w:r>
          </w:p>
        </w:tc>
        <w:tc>
          <w:tcPr>
            <w:gridSpan w:val="2"/>
            <w:tcBorders>
              <w:top w:val="single" w:color="000000" w:sz="4" w:space="0"/>
              <w:left w:val="single" w:color="000000" w:sz="4" w:space="0"/>
              <w:right w:val="single" w:color="000000" w:sz="4" w:space="0"/>
            </w:tcBorders>
            <w:tcW w:w="3827" w:type="dxa"/>
            <w:vAlign w:val="top"/>
            <w:vMerge w:val="restart"/>
            <w:textDirection w:val="lrTb"/>
            <w:noWrap w:val="false"/>
          </w:tcPr>
          <w:p>
            <w:pPr>
              <w:widowControl w:val="off"/>
              <w:rPr>
                <w:rFonts w:cs="Calibri"/>
                <w14:ligatures w14:val="none"/>
              </w:rPr>
            </w:pPr>
            <w:r>
              <w:rPr>
                <w:rFonts w:cs="Calibri"/>
                <w:sz w:val="20"/>
                <w:szCs w:val="20"/>
                <w:lang w:eastAsia="ru-RU"/>
              </w:rPr>
            </w:r>
            <w:r>
              <w:rPr>
                <w:rFonts w:cs="Calibri"/>
                <w14:ligatures w14:val="none"/>
              </w:rPr>
            </w:r>
            <w:r>
              <w:rPr>
                <w:rFonts w:cs="Calibri"/>
                <w14:ligatures w14:val="none"/>
              </w:rPr>
            </w:r>
          </w:p>
        </w:tc>
      </w:tr>
      <w:tr>
        <w:tblPrEx/>
        <w:trPr/>
        <w:tc>
          <w:tcPr>
            <w:gridSpan w:val="2"/>
            <w:tcBorders>
              <w:top w:val="single" w:color="000000" w:sz="4" w:space="0"/>
              <w:left w:val="single" w:color="000000" w:sz="4" w:space="0"/>
              <w:bottom w:val="single" w:color="000000" w:sz="4" w:space="0"/>
              <w:right w:val="single" w:color="000000" w:sz="4" w:space="0"/>
            </w:tcBorders>
            <w:tcW w:w="709" w:type="dxa"/>
            <w:vAlign w:val="center"/>
            <w:vMerge w:val="restart"/>
            <w:textDirection w:val="lrTb"/>
            <w:noWrap w:val="false"/>
          </w:tcPr>
          <w:p>
            <w:pPr>
              <w:pStyle w:val="1424"/>
              <w:jc w:val="center"/>
              <w:widowControl w:val="off"/>
              <w:rPr>
                <w:sz w:val="20"/>
                <w:szCs w:val="20"/>
              </w:rPr>
            </w:pPr>
            <w:r>
              <w:rPr>
                <w:sz w:val="20"/>
                <w:szCs w:val="20"/>
              </w:rPr>
              <w:t xml:space="preserve">2.2.4.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vMerge w:val="restart"/>
            <w:textDirection w:val="lrTb"/>
            <w:noWrap w:val="false"/>
          </w:tcPr>
          <w:p>
            <w:pPr>
              <w:widowControl w:val="off"/>
              <w:rPr>
                <w:rFonts w:cs="Calibri"/>
                <w:bCs/>
                <w14:ligatures w14:val="none"/>
              </w:rPr>
            </w:pPr>
            <w:r>
              <w:rPr>
                <w:rFonts w:cs="Calibri"/>
                <w:sz w:val="20"/>
                <w:szCs w:val="20"/>
                <w:lang w:eastAsia="ru-RU"/>
              </w:rPr>
              <w:t xml:space="preserve">Перевод денежных средств с</w:t>
            </w:r>
            <w:r>
              <w:rPr>
                <w:rFonts w:cs="Calibri"/>
                <w:sz w:val="20"/>
                <w:szCs w:val="20"/>
                <w:lang w:eastAsia="ru-RU"/>
              </w:rPr>
              <w:t xml:space="preserve">о Счета</w:t>
            </w:r>
            <w:r>
              <w:rPr>
                <w:rFonts w:cs="Calibri"/>
                <w:sz w:val="20"/>
                <w:szCs w:val="20"/>
                <w:lang w:eastAsia="ru-RU"/>
              </w:rPr>
              <w:t xml:space="preserve">,</w:t>
            </w:r>
            <w:r>
              <w:rPr>
                <w:rFonts w:cs="Calibri"/>
                <w:sz w:val="20"/>
                <w:szCs w:val="20"/>
                <w:lang w:eastAsia="ru-RU"/>
              </w:rPr>
              <w:t xml:space="preserve"> обслуживаемого в рамках ТП,</w:t>
            </w:r>
            <w:r>
              <w:rPr>
                <w:rFonts w:cs="Calibri"/>
                <w:sz w:val="20"/>
                <w:szCs w:val="20"/>
                <w:lang w:eastAsia="ru-RU"/>
              </w:rPr>
              <w:t xml:space="preserve"> на счета юридических лиц, открытые в других кредитных организациях на территории Российской Федерации, отправленный Клиентом по системе ДБО</w:t>
            </w:r>
            <w:r>
              <w:rPr>
                <w:rFonts w:cs="Calibri"/>
                <w:bCs/>
                <w14:ligatures w14:val="none"/>
              </w:rPr>
            </w:r>
            <w:r>
              <w:rPr>
                <w:rFonts w:cs="Calibri"/>
                <w:bCs/>
                <w14:ligatures w14:val="none"/>
              </w:rPr>
            </w:r>
          </w:p>
        </w:tc>
        <w:tc>
          <w:tcPr>
            <w:gridSpan w:val="2"/>
            <w:tcBorders>
              <w:top w:val="single" w:color="000000" w:sz="4" w:space="0"/>
              <w:left w:val="single" w:color="000000" w:sz="4" w:space="0"/>
              <w:bottom w:val="single" w:color="000000" w:sz="4" w:space="0"/>
              <w:right w:val="single" w:color="000000" w:sz="4" w:space="0"/>
            </w:tcBorders>
            <w:tcW w:w="2410" w:type="dxa"/>
            <w:vAlign w:val="center"/>
            <w:vMerge w:val="restart"/>
            <w:textDirection w:val="lrTb"/>
            <w:noWrap w:val="false"/>
          </w:tcPr>
          <w:p>
            <w:pPr>
              <w:jc w:val="center"/>
              <w:widowControl w:val="off"/>
              <w:rPr>
                <w:rFonts w:cs="Calibri"/>
                <w:sz w:val="20"/>
                <w:szCs w:val="20"/>
                <w:highlight w:val="none"/>
                <w:lang w:eastAsia="ru-RU"/>
                <w14:ligatures w14:val="none"/>
              </w:rPr>
            </w:pPr>
            <w:r>
              <w:rPr>
                <w:rFonts w:cs="Calibri"/>
                <w:sz w:val="20"/>
                <w:szCs w:val="20"/>
                <w:highlight w:val="none"/>
                <w:lang w:eastAsia="ru-RU"/>
              </w:rPr>
              <w:t xml:space="preserve">Не взимается</w:t>
            </w:r>
            <w:r>
              <w:rPr>
                <w:rFonts w:cs="Calibri"/>
                <w:sz w:val="20"/>
                <w:szCs w:val="20"/>
                <w:highlight w:val="none"/>
                <w:lang w:eastAsia="ru-RU"/>
                <w14:ligatures w14:val="none"/>
              </w:rPr>
            </w:r>
            <w:r>
              <w:rPr>
                <w:rFonts w:cs="Calibri"/>
                <w:sz w:val="20"/>
                <w:szCs w:val="20"/>
                <w:highlight w:val="none"/>
                <w:lang w:eastAsia="ru-RU"/>
                <w14:ligatures w14:val="none"/>
              </w:rPr>
            </w:r>
          </w:p>
          <w:p>
            <w:pPr>
              <w:jc w:val="center"/>
              <w:widowControl w:val="off"/>
              <w:rPr>
                <w:rFonts w:cs="Calibri"/>
                <w:sz w:val="20"/>
                <w:szCs w:val="20"/>
                <w:lang w:eastAsia="ru-RU"/>
                <w14:ligatures w14:val="none"/>
              </w:rPr>
            </w:pPr>
            <w:r>
              <w:rPr>
                <w:rFonts w:cs="Calibri"/>
                <w:sz w:val="20"/>
                <w:szCs w:val="20"/>
                <w:highlight w:val="none"/>
                <w:lang w:eastAsia="ru-RU"/>
              </w:rPr>
              <w:t xml:space="preserve">до 50 шт</w:t>
            </w:r>
            <w:r>
              <w:rPr>
                <w:rFonts w:cs="Calibri"/>
                <w:sz w:val="20"/>
                <w:szCs w:val="20"/>
                <w:highlight w:val="none"/>
                <w:lang w:eastAsia="ru-RU"/>
              </w:rPr>
              <w:t xml:space="preserve">. платежей</w:t>
            </w:r>
            <w:r>
              <w:rPr>
                <w:rFonts w:cs="Calibri"/>
                <w:sz w:val="20"/>
                <w:szCs w:val="20"/>
                <w:highlight w:val="none"/>
                <w:lang w:eastAsia="ru-RU"/>
              </w:rPr>
              <w:t xml:space="preserve"> в мес</w:t>
            </w:r>
            <w:r>
              <w:rPr>
                <w:rFonts w:cs="Calibri"/>
                <w:sz w:val="20"/>
                <w:szCs w:val="20"/>
                <w:highlight w:val="none"/>
                <w:lang w:eastAsia="ru-RU"/>
              </w:rPr>
              <w:t xml:space="preserve">яц</w:t>
            </w:r>
            <w:r>
              <w:rPr>
                <w:rFonts w:cs="Calibri"/>
                <w:sz w:val="20"/>
                <w:szCs w:val="20"/>
                <w:highlight w:val="none"/>
                <w:lang w:eastAsia="ru-RU"/>
              </w:rPr>
              <w:t xml:space="preserve">.</w:t>
            </w:r>
            <w:r>
              <w:rPr>
                <w:rFonts w:cs="Calibri"/>
                <w:sz w:val="20"/>
                <w:szCs w:val="20"/>
                <w:lang w:eastAsia="ru-RU"/>
                <w14:ligatures w14:val="none"/>
              </w:rPr>
            </w:r>
            <w:r>
              <w:rPr>
                <w:rFonts w:cs="Calibri"/>
                <w:sz w:val="20"/>
                <w:szCs w:val="20"/>
                <w:lang w:eastAsia="ru-RU"/>
                <w14:ligatures w14:val="none"/>
              </w:rPr>
            </w:r>
          </w:p>
          <w:p>
            <w:pPr>
              <w:jc w:val="center"/>
              <w:widowControl w:val="off"/>
              <w:rPr>
                <w:rFonts w:cs="Calibri"/>
                <w:sz w:val="20"/>
                <w:szCs w:val="20"/>
                <w:highlight w:val="none"/>
                <w:lang w:eastAsia="ru-RU"/>
                <w14:ligatures w14:val="none"/>
              </w:rPr>
            </w:pPr>
            <w:r>
              <w:rPr>
                <w:rFonts w:cs="Calibri"/>
                <w:sz w:val="20"/>
                <w:szCs w:val="20"/>
                <w:lang w:eastAsia="ru-RU"/>
              </w:rPr>
              <w:t xml:space="preserve">С 51 платежа – по Тарифам Банка</w:t>
            </w:r>
            <w:r>
              <w:rPr>
                <w:rFonts w:cs="Calibri"/>
                <w:sz w:val="20"/>
                <w:szCs w:val="20"/>
                <w:highlight w:val="none"/>
                <w:lang w:eastAsia="ru-RU"/>
                <w14:ligatures w14:val="none"/>
              </w:rPr>
            </w:r>
            <w:r>
              <w:rPr>
                <w:rFonts w:cs="Calibri"/>
                <w:sz w:val="20"/>
                <w:szCs w:val="20"/>
                <w:highlight w:val="none"/>
                <w:lang w:eastAsia="ru-RU"/>
                <w14:ligatures w14:val="none"/>
              </w:rPr>
            </w:r>
          </w:p>
        </w:tc>
        <w:tc>
          <w:tcPr>
            <w:gridSpan w:val="2"/>
            <w:tcBorders>
              <w:top w:val="single" w:color="000000" w:sz="4" w:space="0"/>
              <w:left w:val="single" w:color="000000" w:sz="4" w:space="0"/>
              <w:right w:val="single" w:color="000000" w:sz="4" w:space="0"/>
            </w:tcBorders>
            <w:tcW w:w="3827" w:type="dxa"/>
            <w:vAlign w:val="top"/>
            <w:vMerge w:val="restart"/>
            <w:textDirection w:val="lrTb"/>
            <w:noWrap w:val="false"/>
          </w:tcPr>
          <w:p>
            <w:pPr>
              <w:jc w:val="both"/>
              <w:spacing w:after="40"/>
              <w:widowControl w:val="off"/>
              <w:rPr>
                <w:sz w:val="20"/>
                <w:szCs w:val="20"/>
                <w:highlight w:val="none"/>
              </w:rPr>
            </w:pPr>
            <w:r>
              <w:rPr>
                <w:sz w:val="20"/>
                <w:szCs w:val="20"/>
                <w:highlight w:val="none"/>
              </w:rPr>
              <w:t xml:space="preserve">Переводы денежных средств осуществляются Банком без взимания комиссионного вознаграждения в пределах установленного лимита количества операций.</w:t>
            </w:r>
            <w:r>
              <w:rPr>
                <w:sz w:val="20"/>
                <w:szCs w:val="20"/>
                <w:highlight w:val="none"/>
              </w:rPr>
            </w:r>
            <w:r>
              <w:rPr>
                <w:sz w:val="20"/>
                <w:szCs w:val="20"/>
                <w:highlight w:val="none"/>
              </w:rPr>
            </w:r>
          </w:p>
          <w:p>
            <w:pPr>
              <w:jc w:val="both"/>
              <w:widowControl w:val="off"/>
              <w:rPr>
                <w:sz w:val="20"/>
                <w:szCs w:val="20"/>
                <w:highlight w:val="none"/>
                <w14:ligatures w14:val="none"/>
              </w:rPr>
            </w:pPr>
            <w:r>
              <w:rPr>
                <w:rFonts w:cs="Calibri"/>
                <w:sz w:val="20"/>
                <w:szCs w:val="20"/>
                <w:lang w:eastAsia="ru-RU"/>
              </w:rPr>
            </w:r>
            <w:r>
              <w:rPr>
                <w:sz w:val="20"/>
                <w:szCs w:val="20"/>
                <w:highlight w:val="none"/>
              </w:rPr>
              <w:t xml:space="preserve">В случае превышен</w:t>
            </w:r>
            <w:r>
              <w:rPr>
                <w:sz w:val="20"/>
                <w:szCs w:val="20"/>
                <w:highlight w:val="none"/>
              </w:rPr>
              <w:t xml:space="preserve">ия лимита количества операций, совершенных Клиентом в текущем календарном месяце, комиссионное вознаграждение взимается, начиная с перевода, который приведет к превышению лимита суммы операций. </w:t>
            </w:r>
            <w:r>
              <w:rPr>
                <w:sz w:val="20"/>
                <w:szCs w:val="20"/>
                <w:highlight w:val="none"/>
                <w14:ligatures w14:val="none"/>
              </w:rPr>
            </w:r>
            <w:r>
              <w:rPr>
                <w:sz w:val="20"/>
                <w:szCs w:val="20"/>
                <w:highlight w:val="none"/>
                <w14:ligatures w14:val="none"/>
              </w:rPr>
            </w:r>
          </w:p>
          <w:p>
            <w:pPr>
              <w:jc w:val="both"/>
              <w:spacing w:after="40"/>
              <w:widowControl w:val="off"/>
              <w:rPr>
                <w:b/>
                <w:bCs/>
                <w:sz w:val="20"/>
                <w:szCs w:val="20"/>
                <w:highlight w:val="none"/>
              </w:rPr>
            </w:pPr>
            <w:r>
              <w:rPr>
                <w:sz w:val="20"/>
                <w:szCs w:val="20"/>
                <w:highlight w:val="none"/>
              </w:rPr>
            </w:r>
            <w:r>
              <w:rPr>
                <w:sz w:val="20"/>
                <w:szCs w:val="20"/>
                <w:highlight w:val="none"/>
              </w:rPr>
              <w:t xml:space="preserve">Порядок взимания комиссии соответствует п. 1.1.5 Тарифов Банка.</w:t>
            </w:r>
            <w:r>
              <w:rPr>
                <w:b/>
                <w:bCs/>
                <w:sz w:val="20"/>
                <w:szCs w:val="20"/>
                <w:highlight w:val="none"/>
              </w:rPr>
            </w:r>
            <w:r>
              <w:rPr>
                <w:b/>
                <w:bCs/>
                <w:sz w:val="20"/>
                <w:szCs w:val="20"/>
                <w:highlight w:val="none"/>
              </w:rPr>
            </w:r>
          </w:p>
        </w:tc>
      </w:tr>
      <w:tr>
        <w:tblPrEx/>
        <w:trPr/>
        <w:tc>
          <w:tcPr>
            <w:gridSpan w:val="2"/>
            <w:tcBorders>
              <w:top w:val="single" w:color="000000" w:sz="4" w:space="0"/>
              <w:left w:val="single" w:color="000000" w:sz="4" w:space="0"/>
              <w:bottom w:val="single" w:color="000000" w:sz="4" w:space="0"/>
              <w:right w:val="single" w:color="000000" w:sz="4" w:space="0"/>
            </w:tcBorders>
            <w:tcW w:w="709" w:type="dxa"/>
            <w:vAlign w:val="center"/>
            <w:vMerge w:val="restart"/>
            <w:textDirection w:val="lrTb"/>
            <w:noWrap w:val="false"/>
          </w:tcPr>
          <w:p>
            <w:pPr>
              <w:pStyle w:val="1424"/>
              <w:jc w:val="center"/>
              <w:widowControl w:val="off"/>
              <w:rPr>
                <w:sz w:val="20"/>
                <w:szCs w:val="20"/>
              </w:rPr>
            </w:pPr>
            <w:r>
              <w:rPr>
                <w:sz w:val="20"/>
                <w:szCs w:val="20"/>
              </w:rPr>
              <w:t xml:space="preserve">2.2.5.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vMerge w:val="restart"/>
            <w:textDirection w:val="lrTb"/>
            <w:noWrap w:val="false"/>
          </w:tcPr>
          <w:p>
            <w:pPr>
              <w:widowControl w:val="off"/>
              <w:rPr>
                <w:rFonts w:cs="Calibri"/>
                <w:b/>
                <w14:ligatures w14:val="none"/>
              </w:rPr>
            </w:pPr>
            <w:r>
              <w:rPr>
                <w:rFonts w:cs="Calibri"/>
                <w:sz w:val="20"/>
                <w:szCs w:val="20"/>
                <w:lang w:eastAsia="ru-RU"/>
              </w:rPr>
              <w:t xml:space="preserve">Перевод денежных средств со Счета</w:t>
            </w:r>
            <w:r>
              <w:rPr>
                <w:rFonts w:cs="Calibri"/>
                <w:sz w:val="20"/>
                <w:szCs w:val="20"/>
                <w:lang w:eastAsia="ru-RU"/>
              </w:rPr>
              <w:t xml:space="preserve">, обслуживаемого в рамках ТП,</w:t>
            </w:r>
            <w:r>
              <w:rPr>
                <w:rFonts w:cs="Calibri"/>
                <w:sz w:val="20"/>
                <w:szCs w:val="20"/>
                <w:lang w:eastAsia="ru-RU"/>
              </w:rPr>
              <w:t xml:space="preserve"> </w:t>
            </w:r>
            <w:r>
              <w:rPr>
                <w:rFonts w:cs="Calibri"/>
                <w:sz w:val="20"/>
                <w:szCs w:val="20"/>
                <w:lang w:eastAsia="ru-RU"/>
              </w:rPr>
              <w:t xml:space="preserve">на счета физических лиц, открытые в Банке и/или в других кредитных организациях</w:t>
            </w:r>
            <w:r>
              <w:rPr>
                <w:rFonts w:cs="Calibri"/>
                <w:b/>
                <w14:ligatures w14:val="none"/>
              </w:rPr>
            </w:r>
            <w:r>
              <w:rPr>
                <w:rFonts w:cs="Calibri"/>
                <w:b/>
                <w14:ligatures w14:val="none"/>
              </w:rPr>
            </w:r>
          </w:p>
        </w:tc>
        <w:tc>
          <w:tcPr>
            <w:gridSpan w:val="2"/>
            <w:tcBorders>
              <w:top w:val="single" w:color="000000" w:sz="4" w:space="0"/>
              <w:left w:val="single" w:color="000000" w:sz="4" w:space="0"/>
              <w:bottom w:val="single" w:color="000000" w:sz="4" w:space="0"/>
              <w:right w:val="single" w:color="000000" w:sz="4" w:space="0"/>
            </w:tcBorders>
            <w:tcW w:w="2410" w:type="dxa"/>
            <w:vAlign w:val="center"/>
            <w:vMerge w:val="restart"/>
            <w:textDirection w:val="lrTb"/>
            <w:noWrap w:val="false"/>
          </w:tcPr>
          <w:p>
            <w:pPr>
              <w:jc w:val="center"/>
              <w:widowControl w:val="off"/>
              <w:rPr>
                <w:rFonts w:cs="Calibri"/>
                <w14:ligatures w14:val="none"/>
              </w:rPr>
            </w:pPr>
            <w:r>
              <w:rPr>
                <w:rFonts w:cs="Calibri"/>
                <w:sz w:val="20"/>
                <w:szCs w:val="20"/>
                <w:lang w:eastAsia="ru-RU"/>
              </w:rPr>
              <w:t xml:space="preserve">Не взимается</w:t>
            </w:r>
            <w:r>
              <w:rPr>
                <w:rFonts w:cs="Calibri"/>
                <w14:ligatures w14:val="none"/>
              </w:rPr>
            </w:r>
            <w:r>
              <w:rPr>
                <w:rFonts w:cs="Calibri"/>
                <w14:ligatures w14:val="none"/>
              </w:rPr>
            </w:r>
          </w:p>
          <w:p>
            <w:pPr>
              <w:jc w:val="center"/>
              <w:widowControl w:val="off"/>
              <w:rPr>
                <w:rFonts w:cs="Calibri"/>
                <w14:ligatures w14:val="none"/>
              </w:rPr>
            </w:pPr>
            <w:r>
              <w:rPr>
                <w:rFonts w:cs="Calibri"/>
                <w:sz w:val="20"/>
                <w:szCs w:val="20"/>
                <w:lang w:eastAsia="ru-RU"/>
              </w:rPr>
              <w:t xml:space="preserve">до 1 000 000,00 руб. (включительно) в месяц*</w:t>
            </w:r>
            <w:r>
              <w:rPr>
                <w:rFonts w:cs="Calibri"/>
                <w14:ligatures w14:val="none"/>
              </w:rPr>
            </w:r>
            <w:r>
              <w:rPr>
                <w:rFonts w:cs="Calibri"/>
                <w14:ligatures w14:val="none"/>
              </w:rPr>
            </w:r>
          </w:p>
          <w:p>
            <w:pPr>
              <w:jc w:val="center"/>
              <w:widowControl w:val="off"/>
              <w:rPr>
                <w:rFonts w:cs="Calibri"/>
                <w:b/>
                <w:bCs/>
                <w14:ligatures w14:val="none"/>
              </w:rPr>
            </w:pPr>
            <w:r>
              <w:rPr>
                <w:rFonts w:cs="Calibri"/>
                <w:sz w:val="20"/>
                <w:szCs w:val="20"/>
                <w:lang w:eastAsia="ru-RU"/>
              </w:rPr>
              <w:t xml:space="preserve">(*свыше указанной суммы</w:t>
            </w:r>
            <w:r>
              <w:rPr>
                <w:rFonts w:cs="Calibri"/>
                <w:sz w:val="20"/>
                <w:szCs w:val="20"/>
                <w:lang w:eastAsia="ru-RU"/>
              </w:rPr>
              <w:t xml:space="preserve"> </w:t>
            </w:r>
            <w:r>
              <w:rPr>
                <w:rFonts w:ascii="Times New Roman" w:hAnsi="Times New Roman" w:eastAsia="Times New Roman" w:cs="Times New Roman"/>
                <w:sz w:val="20"/>
                <w:szCs w:val="20"/>
                <w:lang w:eastAsia="ru-RU"/>
              </w:rPr>
              <w:t xml:space="preserve">в соответствии </w:t>
            </w:r>
            <w:r>
              <w:rPr>
                <w:rFonts w:ascii="Times New Roman" w:hAnsi="Times New Roman" w:eastAsia="Times New Roman" w:cs="Times New Roman"/>
                <w:color w:val="121212"/>
                <w:sz w:val="20"/>
                <w:szCs w:val="20"/>
              </w:rPr>
              <w:t xml:space="preserve">с Тарифами Банка)</w:t>
            </w:r>
            <w:r>
              <w:rPr>
                <w:rFonts w:cs="Calibri"/>
                <w:b/>
                <w:bCs/>
                <w14:ligatures w14:val="none"/>
              </w:rPr>
            </w:r>
            <w:r>
              <w:rPr>
                <w:rFonts w:cs="Calibri"/>
                <w:b/>
                <w:bCs/>
                <w14:ligatures w14:val="none"/>
              </w:rPr>
            </w:r>
          </w:p>
        </w:tc>
        <w:tc>
          <w:tcPr>
            <w:gridSpan w:val="2"/>
            <w:tcBorders>
              <w:top w:val="single" w:color="000000" w:sz="4" w:space="0"/>
              <w:left w:val="single" w:color="000000" w:sz="4" w:space="0"/>
              <w:right w:val="single" w:color="000000" w:sz="4" w:space="0"/>
            </w:tcBorders>
            <w:tcW w:w="3827" w:type="dxa"/>
            <w:vAlign w:val="top"/>
            <w:vMerge w:val="restart"/>
            <w:textDirection w:val="lrTb"/>
            <w:noWrap w:val="false"/>
          </w:tcPr>
          <w:p>
            <w:pPr>
              <w:jc w:val="both"/>
              <w:spacing w:after="40"/>
              <w:widowControl w:val="off"/>
              <w:rPr>
                <w:sz w:val="20"/>
                <w:szCs w:val="20"/>
                <w:highlight w:val="none"/>
              </w:rPr>
            </w:pPr>
            <w:r>
              <w:rPr>
                <w:sz w:val="20"/>
                <w:szCs w:val="20"/>
                <w:highlight w:val="none"/>
              </w:rPr>
              <w:t xml:space="preserve">Переводы денежных средств осуществляются Банком без взимания комиссионного вознаграждения в пределах установленного лимита суммы операций.</w:t>
            </w:r>
            <w:r>
              <w:rPr>
                <w:sz w:val="20"/>
                <w:szCs w:val="20"/>
                <w:highlight w:val="none"/>
              </w:rPr>
            </w:r>
            <w:r>
              <w:rPr>
                <w:sz w:val="20"/>
                <w:szCs w:val="20"/>
                <w:highlight w:val="none"/>
              </w:rPr>
            </w:r>
          </w:p>
          <w:p>
            <w:pPr>
              <w:jc w:val="both"/>
              <w:spacing w:after="40"/>
              <w:widowControl w:val="off"/>
              <w:rPr>
                <w:sz w:val="20"/>
                <w:szCs w:val="20"/>
                <w:highlight w:val="none"/>
              </w:rPr>
            </w:pPr>
            <w:r>
              <w:rPr>
                <w:sz w:val="20"/>
                <w:szCs w:val="20"/>
                <w:highlight w:val="none"/>
              </w:rPr>
              <w:t xml:space="preserve">В случае превышен</w:t>
            </w:r>
            <w:r>
              <w:rPr>
                <w:sz w:val="20"/>
                <w:szCs w:val="20"/>
                <w:highlight w:val="none"/>
              </w:rPr>
              <w:t xml:space="preserve">ия лимита суммы операций, совершенных Клиентом в текущем календарном месяце, комиссионное вознаграждение взимается, начиная с перевода, который приведет к превышению лимита суммы операций. Размер тарифа по каждой операции соответствует ставке, указанной к </w:t>
            </w:r>
            <w:r>
              <w:rPr>
                <w:sz w:val="20"/>
                <w:szCs w:val="20"/>
                <w:highlight w:val="none"/>
              </w:rPr>
              <w:t xml:space="preserve">суммовой градации, в интервал которой относится</w:t>
            </w:r>
            <w:r>
              <w:rPr>
                <w:sz w:val="20"/>
                <w:szCs w:val="20"/>
                <w:highlight w:val="none"/>
              </w:rPr>
              <w:t xml:space="preserve"> рассчитанная общая сумма денежных средств, равная совокупности размера уже совершенных Клиентом переводов в текущем календарном месяце и размера перевода денежных средств, по которому рассчитывается комиссия.</w:t>
            </w:r>
            <w:r>
              <w:rPr>
                <w:sz w:val="20"/>
                <w:szCs w:val="20"/>
                <w:highlight w:val="none"/>
              </w:rPr>
            </w:r>
            <w:r>
              <w:rPr>
                <w:sz w:val="20"/>
                <w:szCs w:val="20"/>
                <w:highlight w:val="none"/>
              </w:rPr>
            </w:r>
          </w:p>
          <w:p>
            <w:pPr>
              <w:jc w:val="both"/>
              <w:spacing w:after="40"/>
              <w:widowControl w:val="off"/>
              <w:rPr>
                <w:b/>
                <w:bCs/>
                <w:sz w:val="20"/>
                <w:szCs w:val="20"/>
                <w:highlight w:val="none"/>
              </w:rPr>
            </w:pPr>
            <w:r>
              <w:rPr>
                <w:sz w:val="20"/>
                <w:szCs w:val="20"/>
                <w:highlight w:val="none"/>
              </w:rPr>
            </w:r>
            <w:r>
              <w:rPr>
                <w:sz w:val="20"/>
                <w:szCs w:val="20"/>
                <w:highlight w:val="none"/>
              </w:rPr>
              <w:t xml:space="preserve">Порядок взимания комиссии соответствует п. 1.1.8 Тарифов Банка.</w:t>
            </w:r>
            <w:r>
              <w:rPr>
                <w:b/>
                <w:bCs/>
                <w:sz w:val="20"/>
                <w:szCs w:val="20"/>
                <w:highlight w:val="none"/>
              </w:rPr>
            </w:r>
            <w:r>
              <w:rPr>
                <w:b/>
                <w:bCs/>
                <w:sz w:val="20"/>
                <w:szCs w:val="20"/>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none" w:color="000000" w:sz="4" w:space="0"/>
              <w:right w:val="single" w:color="000000" w:sz="4" w:space="0"/>
            </w:tcBorders>
            <w:tcW w:w="709" w:type="dxa"/>
            <w:vAlign w:val="center"/>
            <w:textDirection w:val="lrTb"/>
            <w:noWrap w:val="false"/>
          </w:tcPr>
          <w:p>
            <w:pPr>
              <w:pStyle w:val="1424"/>
              <w:jc w:val="center"/>
              <w:widowControl w:val="off"/>
              <w:rPr>
                <w:sz w:val="20"/>
                <w:szCs w:val="20"/>
              </w:rPr>
            </w:pPr>
            <w:r>
              <w:rPr>
                <w:sz w:val="20"/>
                <w:szCs w:val="20"/>
              </w:rPr>
              <w:t xml:space="preserve">2.2.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textDirection w:val="lrTb"/>
            <w:noWrap w:val="false"/>
          </w:tcPr>
          <w:p>
            <w:pPr>
              <w:pStyle w:val="1424"/>
              <w:spacing w:before="40" w:after="40"/>
              <w:widowControl w:val="off"/>
              <w:rPr>
                <w:b/>
                <w:sz w:val="20"/>
                <w:szCs w:val="20"/>
              </w:rPr>
            </w:pPr>
            <w:r>
              <w:rPr>
                <w:rFonts w:cs="Calibri"/>
                <w:bCs/>
                <w:sz w:val="20"/>
                <w:szCs w:val="20"/>
              </w:rPr>
              <w:t xml:space="preserve">Выдача справки по письменному заявлению </w:t>
            </w:r>
            <w:r>
              <w:rPr>
                <w:rFonts w:cs="Calibri"/>
                <w:bCs/>
                <w:sz w:val="20"/>
                <w:szCs w:val="20"/>
              </w:rPr>
              <w:t xml:space="preserve">К</w:t>
            </w:r>
            <w:r>
              <w:rPr>
                <w:rFonts w:cs="Calibri"/>
                <w:bCs/>
                <w:sz w:val="20"/>
                <w:szCs w:val="20"/>
              </w:rPr>
              <w:t xml:space="preserve">лиента, в том числе в день обращения</w:t>
            </w:r>
            <w:r>
              <w:rPr>
                <w:b/>
                <w:sz w:val="20"/>
                <w:szCs w:val="20"/>
              </w:rPr>
            </w:r>
            <w:r>
              <w:rPr>
                <w:b/>
                <w:sz w:val="20"/>
                <w:szCs w:val="20"/>
              </w:rPr>
            </w:r>
          </w:p>
        </w:tc>
        <w:tc>
          <w:tcPr>
            <w:gridSpan w:val="2"/>
            <w:tcBorders>
              <w:top w:val="single" w:color="000000" w:sz="4" w:space="0"/>
              <w:left w:val="single" w:color="000000" w:sz="4" w:space="0"/>
              <w:bottom w:val="none" w:color="000000" w:sz="4" w:space="0"/>
              <w:right w:val="single" w:color="000000" w:sz="4" w:space="0"/>
            </w:tcBorders>
            <w:tcW w:w="2410" w:type="dxa"/>
            <w:vAlign w:val="center"/>
            <w:textDirection w:val="lrTb"/>
            <w:noWrap w:val="false"/>
          </w:tcPr>
          <w:p>
            <w:pPr>
              <w:pStyle w:val="1424"/>
              <w:jc w:val="center"/>
              <w:spacing w:before="40" w:after="40"/>
              <w:widowControl w:val="off"/>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827" w:type="dxa"/>
            <w:vAlign w:val="center"/>
            <w:textDirection w:val="lrTb"/>
            <w:noWrap w:val="false"/>
          </w:tcPr>
          <w:p>
            <w:pPr>
              <w:pStyle w:val="1424"/>
              <w:jc w:val="both"/>
              <w:spacing w:before="40" w:after="40"/>
              <w:widowControl w:val="off"/>
              <w:rPr>
                <w:sz w:val="20"/>
                <w:szCs w:val="20"/>
              </w:rPr>
            </w:pPr>
            <w:r>
              <w:rPr>
                <w:sz w:val="20"/>
                <w:szCs w:val="20"/>
              </w:rPr>
              <w:t xml:space="preserve">В случае выдачи справки </w:t>
            </w:r>
            <w:r>
              <w:rPr>
                <w:sz w:val="20"/>
                <w:szCs w:val="20"/>
              </w:rPr>
              <w:t xml:space="preserve">по банковскому счету, обслуживаемому </w:t>
            </w:r>
            <w:r>
              <w:rPr>
                <w:sz w:val="20"/>
                <w:szCs w:val="20"/>
              </w:rPr>
              <w:t xml:space="preserve">вне рамок ТП</w:t>
            </w:r>
            <w:r>
              <w:rPr>
                <w:sz w:val="20"/>
                <w:szCs w:val="20"/>
              </w:rPr>
              <w:t xml:space="preserve">,</w:t>
            </w:r>
            <w:r>
              <w:rPr>
                <w:sz w:val="20"/>
                <w:szCs w:val="20"/>
              </w:rPr>
              <w:t xml:space="preserve"> комиссионное вознаграждение взимается в соответствии с п. 1.3.3 Тарифов</w:t>
            </w:r>
            <w:r>
              <w:rPr>
                <w:sz w:val="20"/>
                <w:szCs w:val="20"/>
              </w:rPr>
              <w:t xml:space="preserve">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none" w:color="000000" w:sz="4" w:space="0"/>
              <w:right w:val="single" w:color="000000" w:sz="4" w:space="0"/>
            </w:tcBorders>
            <w:tcW w:w="709" w:type="dxa"/>
            <w:vAlign w:val="center"/>
            <w:textDirection w:val="lrTb"/>
            <w:noWrap w:val="false"/>
          </w:tcPr>
          <w:p>
            <w:pPr>
              <w:pStyle w:val="1424"/>
              <w:jc w:val="center"/>
              <w:widowControl w:val="off"/>
              <w:rPr>
                <w:sz w:val="20"/>
                <w:szCs w:val="20"/>
              </w:rPr>
            </w:pPr>
            <w:r>
              <w:rPr>
                <w:sz w:val="20"/>
                <w:szCs w:val="20"/>
              </w:rPr>
              <w:t xml:space="preserve">2.2.7</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textDirection w:val="lrTb"/>
            <w:noWrap w:val="false"/>
          </w:tcPr>
          <w:p>
            <w:pPr>
              <w:pStyle w:val="1424"/>
              <w:spacing w:before="40" w:after="40"/>
              <w:widowControl w:val="off"/>
              <w:rPr>
                <w:rFonts w:cs="Calibri"/>
                <w:bCs/>
                <w:sz w:val="20"/>
                <w:szCs w:val="20"/>
              </w:rPr>
            </w:pPr>
            <w:r>
              <w:rPr>
                <w:bCs/>
                <w:sz w:val="20"/>
                <w:szCs w:val="20"/>
              </w:rPr>
              <w:t xml:space="preserve">Выдача дубликата выписки по банковскому счету, обслужива</w:t>
            </w:r>
            <w:r>
              <w:rPr>
                <w:bCs/>
                <w:sz w:val="20"/>
                <w:szCs w:val="20"/>
              </w:rPr>
              <w:t xml:space="preserve">емому</w:t>
            </w:r>
            <w:r>
              <w:rPr>
                <w:bCs/>
                <w:sz w:val="20"/>
                <w:szCs w:val="20"/>
              </w:rPr>
              <w:t xml:space="preserve"> в рамках ТП, по заявлению Клиента</w:t>
            </w:r>
            <w:r>
              <w:rPr>
                <w:rFonts w:cs="Calibri"/>
                <w:bCs/>
                <w:sz w:val="20"/>
                <w:szCs w:val="20"/>
              </w:rPr>
            </w:r>
            <w:r>
              <w:rPr>
                <w:rFonts w:cs="Calibri"/>
                <w:bCs/>
                <w:sz w:val="20"/>
                <w:szCs w:val="20"/>
              </w:rPr>
            </w:r>
          </w:p>
        </w:tc>
        <w:tc>
          <w:tcPr>
            <w:gridSpan w:val="2"/>
            <w:tcBorders>
              <w:top w:val="single" w:color="000000" w:sz="4" w:space="0"/>
              <w:left w:val="single" w:color="000000" w:sz="4" w:space="0"/>
              <w:bottom w:val="none" w:color="000000" w:sz="4" w:space="0"/>
              <w:right w:val="single" w:color="000000" w:sz="4" w:space="0"/>
            </w:tcBorders>
            <w:tcW w:w="2410" w:type="dxa"/>
            <w:vAlign w:val="center"/>
            <w:textDirection w:val="lrTb"/>
            <w:noWrap w:val="false"/>
          </w:tcPr>
          <w:p>
            <w:pPr>
              <w:pStyle w:val="1424"/>
              <w:jc w:val="center"/>
              <w:spacing w:before="40" w:after="40"/>
              <w:widowControl w:val="off"/>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827" w:type="dxa"/>
            <w:vAlign w:val="center"/>
            <w:textDirection w:val="lrTb"/>
            <w:noWrap w:val="false"/>
          </w:tcPr>
          <w:p>
            <w:pPr>
              <w:pStyle w:val="1424"/>
              <w:jc w:val="both"/>
              <w:spacing w:before="40" w:after="40"/>
              <w:widowControl w:val="off"/>
              <w:rPr>
                <w:sz w:val="20"/>
                <w:szCs w:val="20"/>
              </w:rPr>
            </w:pPr>
            <w:r>
              <w:rPr>
                <w:sz w:val="20"/>
                <w:szCs w:val="20"/>
              </w:rPr>
              <w:t xml:space="preserve">В случае выдачи дубликата выписки по </w:t>
            </w:r>
            <w:r>
              <w:rPr>
                <w:sz w:val="20"/>
                <w:szCs w:val="20"/>
              </w:rPr>
              <w:t xml:space="preserve">банковскому </w:t>
            </w:r>
            <w:r>
              <w:rPr>
                <w:sz w:val="20"/>
                <w:szCs w:val="20"/>
              </w:rPr>
              <w:t xml:space="preserve">счету, обс</w:t>
            </w:r>
            <w:r>
              <w:rPr>
                <w:sz w:val="20"/>
                <w:szCs w:val="20"/>
              </w:rPr>
              <w:t xml:space="preserve">л</w:t>
            </w:r>
            <w:r>
              <w:rPr>
                <w:sz w:val="20"/>
                <w:szCs w:val="20"/>
              </w:rPr>
              <w:t xml:space="preserve">ужива</w:t>
            </w:r>
            <w:r>
              <w:rPr>
                <w:sz w:val="20"/>
                <w:szCs w:val="20"/>
              </w:rPr>
              <w:t xml:space="preserve">емому</w:t>
            </w:r>
            <w:r>
              <w:rPr>
                <w:sz w:val="20"/>
                <w:szCs w:val="20"/>
              </w:rPr>
              <w:t xml:space="preserve"> вне рамок ТП, комиссионное вознаграждение взимается в соответствии с п. 1.3.5 Тарифов</w:t>
            </w:r>
            <w:r>
              <w:rPr>
                <w:sz w:val="20"/>
                <w:szCs w:val="20"/>
              </w:rPr>
              <w:t xml:space="preserve">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24"/>
              <w:jc w:val="center"/>
              <w:widowControl w:val="off"/>
              <w:rPr>
                <w:sz w:val="20"/>
                <w:szCs w:val="20"/>
              </w:rPr>
            </w:pPr>
            <w:r>
              <w:rPr>
                <w:b/>
                <w:sz w:val="20"/>
                <w:szCs w:val="20"/>
              </w:rPr>
              <w:t xml:space="preserve">2.</w:t>
            </w:r>
            <w:r>
              <w:rPr>
                <w:b/>
                <w:sz w:val="20"/>
                <w:szCs w:val="20"/>
              </w:rPr>
              <w:t xml:space="preserve">3</w:t>
            </w:r>
            <w:r>
              <w:rPr>
                <w:b/>
                <w:sz w:val="20"/>
                <w:szCs w:val="20"/>
              </w:rPr>
              <w:t xml:space="preserve">.</w:t>
            </w:r>
            <w:r>
              <w:rPr>
                <w:sz w:val="20"/>
                <w:szCs w:val="20"/>
              </w:rPr>
            </w:r>
            <w:r>
              <w:rPr>
                <w:sz w:val="20"/>
                <w:szCs w:val="20"/>
              </w:rPr>
            </w:r>
          </w:p>
        </w:tc>
        <w:tc>
          <w:tcPr>
            <w:gridSpan w:val="5"/>
            <w:tcBorders>
              <w:top w:val="single" w:color="000000" w:sz="4" w:space="0"/>
              <w:left w:val="single" w:color="000000" w:sz="4" w:space="0"/>
              <w:bottom w:val="none" w:color="000000" w:sz="4" w:space="0"/>
              <w:right w:val="single" w:color="000000" w:sz="4" w:space="0"/>
            </w:tcBorders>
            <w:tcW w:w="9214" w:type="dxa"/>
            <w:vAlign w:val="top"/>
            <w:textDirection w:val="lrTb"/>
            <w:noWrap w:val="false"/>
          </w:tcPr>
          <w:p>
            <w:pPr>
              <w:pStyle w:val="1424"/>
              <w:jc w:val="both"/>
              <w:spacing w:before="40"/>
              <w:widowControl w:val="off"/>
              <w:tabs>
                <w:tab w:val="left" w:pos="708" w:leader="none"/>
                <w:tab w:val="center" w:pos="4677" w:leader="none"/>
                <w:tab w:val="right" w:pos="9355" w:leader="none"/>
              </w:tabs>
              <w:rPr>
                <w:b/>
                <w:bCs/>
                <w:sz w:val="20"/>
                <w:szCs w:val="20"/>
              </w:rPr>
            </w:pPr>
            <w:r>
              <w:rPr>
                <w:b/>
                <w:bCs/>
                <w:sz w:val="20"/>
                <w:szCs w:val="20"/>
              </w:rPr>
              <w:t xml:space="preserve">Зачисление средств на счет Клиента </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right w:val="single" w:color="000000" w:sz="4" w:space="0"/>
            </w:tcBorders>
            <w:tcW w:w="709" w:type="dxa"/>
            <w:vAlign w:val="center"/>
            <w:textDirection w:val="lrTb"/>
            <w:noWrap w:val="false"/>
          </w:tcPr>
          <w:p>
            <w:pPr>
              <w:pStyle w:val="1424"/>
              <w:jc w:val="center"/>
              <w:widowControl w:val="off"/>
              <w:rPr>
                <w:sz w:val="20"/>
                <w:szCs w:val="20"/>
              </w:rPr>
            </w:pPr>
            <w:r>
              <w:rPr>
                <w:sz w:val="20"/>
                <w:szCs w:val="20"/>
              </w:rPr>
              <w:t xml:space="preserve">2.3.1</w:t>
            </w:r>
            <w:r>
              <w:rPr>
                <w:sz w:val="20"/>
                <w:szCs w:val="20"/>
              </w:rPr>
              <w:t xml:space="preserve">.</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textDirection w:val="lrTb"/>
            <w:noWrap w:val="false"/>
          </w:tcPr>
          <w:p>
            <w:pPr>
              <w:pStyle w:val="1424"/>
              <w:spacing w:before="40" w:after="40"/>
              <w:widowControl w:val="off"/>
              <w:tabs>
                <w:tab w:val="left" w:pos="708" w:leader="none"/>
                <w:tab w:val="center" w:pos="4677" w:leader="none"/>
                <w:tab w:val="right" w:pos="9355" w:leader="none"/>
              </w:tabs>
              <w:rPr>
                <w:sz w:val="20"/>
                <w:szCs w:val="20"/>
                <w:lang w:eastAsia="en-US"/>
              </w:rPr>
            </w:pPr>
            <w:r>
              <w:rPr>
                <w:rFonts w:cs="Calibri"/>
                <w:bCs/>
                <w:sz w:val="20"/>
                <w:szCs w:val="20"/>
              </w:rPr>
              <w:t xml:space="preserve">Зачисление средств на счет Клиента в валюте Российской Федерации, поступивших безналичным путем в валюте счета</w:t>
            </w:r>
            <w:r>
              <w:rPr>
                <w:rFonts w:cs="Calibri"/>
                <w:bCs/>
                <w:sz w:val="20"/>
                <w:szCs w:val="20"/>
              </w:rPr>
              <w:t xml:space="preserve"> </w:t>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2410" w:type="dxa"/>
            <w:vAlign w:val="center"/>
            <w:textDirection w:val="lrTb"/>
            <w:noWrap w:val="false"/>
          </w:tcPr>
          <w:p>
            <w:pPr>
              <w:pStyle w:val="1424"/>
              <w:ind w:left="-109" w:right="-107"/>
              <w:jc w:val="center"/>
              <w:widowControl w:val="off"/>
              <w:rPr>
                <w:sz w:val="20"/>
                <w:szCs w:val="20"/>
              </w:rPr>
            </w:pPr>
            <w:r>
              <w:rPr>
                <w:sz w:val="20"/>
                <w:szCs w:val="20"/>
              </w:rPr>
            </w:r>
            <w:r>
              <w:rPr>
                <w:sz w:val="20"/>
                <w:szCs w:val="20"/>
              </w:rPr>
              <w:t xml:space="preserve">Не взимается</w:t>
            </w:r>
            <w:r>
              <w:rPr>
                <w:sz w:val="20"/>
                <w:szCs w:val="20"/>
              </w:rPr>
            </w:r>
            <w:r>
              <w:rPr>
                <w:sz w:val="20"/>
                <w:szCs w:val="20"/>
              </w:rPr>
            </w:r>
          </w:p>
          <w:p>
            <w:pPr>
              <w:jc w:val="center"/>
              <w:spacing w:before="40" w:after="40"/>
              <w:widowControl w:val="off"/>
              <w:rPr>
                <w:bCs/>
                <w:sz w:val="20"/>
                <w:szCs w:val="20"/>
              </w:rPr>
            </w:pPr>
            <w:r>
              <w:rPr>
                <w:bCs/>
                <w:sz w:val="20"/>
                <w:szCs w:val="20"/>
              </w:rPr>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24"/>
              <w:jc w:val="center"/>
              <w:widowControl w:val="off"/>
              <w:rPr>
                <w:b/>
                <w:sz w:val="20"/>
                <w:szCs w:val="20"/>
              </w:rPr>
            </w:pPr>
            <w:r>
              <w:rPr>
                <w:b/>
                <w:sz w:val="20"/>
                <w:szCs w:val="20"/>
              </w:rPr>
              <w:t xml:space="preserve">2.</w:t>
            </w:r>
            <w:r>
              <w:rPr>
                <w:b/>
                <w:sz w:val="20"/>
                <w:szCs w:val="20"/>
              </w:rPr>
              <w:t xml:space="preserve">4</w:t>
            </w:r>
            <w:r>
              <w:rPr>
                <w:b/>
                <w:sz w:val="20"/>
                <w:szCs w:val="20"/>
              </w:rPr>
              <w:t xml:space="preserve">.</w:t>
            </w:r>
            <w:r>
              <w:rPr>
                <w:b/>
                <w:sz w:val="20"/>
                <w:szCs w:val="20"/>
              </w:rPr>
            </w:r>
            <w:r>
              <w:rPr>
                <w:b/>
                <w:sz w:val="20"/>
                <w:szCs w:val="20"/>
              </w:rPr>
            </w:r>
          </w:p>
        </w:tc>
        <w:tc>
          <w:tcPr>
            <w:gridSpan w:val="5"/>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424"/>
              <w:spacing w:before="40" w:after="40"/>
              <w:widowControl w:val="off"/>
              <w:rPr>
                <w:b/>
                <w:sz w:val="20"/>
                <w:szCs w:val="20"/>
              </w:rPr>
            </w:pPr>
            <w:r>
              <w:rPr>
                <w:b/>
                <w:sz w:val="20"/>
                <w:szCs w:val="20"/>
              </w:rPr>
              <w:t xml:space="preserve">Дистанционное банковское обслуживание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24"/>
              <w:jc w:val="center"/>
              <w:widowControl w:val="off"/>
              <w:rPr>
                <w:sz w:val="20"/>
                <w:szCs w:val="20"/>
              </w:rPr>
            </w:pPr>
            <w:r>
              <w:rPr>
                <w:sz w:val="20"/>
                <w:szCs w:val="20"/>
              </w:rPr>
              <w:t xml:space="preserve">2.4.2.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424"/>
              <w:widowControl w:val="off"/>
              <w:rPr>
                <w:bCs/>
                <w:sz w:val="20"/>
                <w:szCs w:val="20"/>
              </w:rPr>
            </w:pPr>
            <w:r>
              <w:rPr>
                <w:rFonts w:cs="Calibri"/>
                <w:bCs/>
                <w:sz w:val="20"/>
                <w:szCs w:val="20"/>
              </w:rPr>
              <w:t xml:space="preserve">Обслуживание системы ДБО «Мобильный банк»</w:t>
            </w:r>
            <w:r>
              <w:rPr>
                <w:rStyle w:val="1433"/>
                <w:rFonts w:cs="Calibri"/>
                <w:bCs/>
                <w:sz w:val="20"/>
                <w:szCs w:val="20"/>
              </w:rPr>
              <w:footnoteReference w:id="3"/>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10" w:type="dxa"/>
            <w:vAlign w:val="center"/>
            <w:textDirection w:val="lrTb"/>
            <w:noWrap w:val="false"/>
          </w:tcPr>
          <w:p>
            <w:pPr>
              <w:pStyle w:val="1424"/>
              <w:jc w:val="center"/>
              <w:widowControl w:val="off"/>
              <w:rPr>
                <w:sz w:val="20"/>
                <w:szCs w:val="20"/>
              </w:rPr>
            </w:pPr>
            <w:r>
              <w:rPr>
                <w:sz w:val="20"/>
                <w:szCs w:val="20"/>
              </w:rPr>
              <w:t xml:space="preserve">Не взимается</w:t>
            </w:r>
            <w:r>
              <w:rPr>
                <w:sz w:val="20"/>
                <w:szCs w:val="20"/>
              </w:rPr>
            </w:r>
            <w:r>
              <w:rPr>
                <w:sz w:val="20"/>
                <w:szCs w:val="20"/>
              </w:rPr>
            </w:r>
          </w:p>
        </w:tc>
        <w:tc>
          <w:tcPr>
            <w:gridSpan w:val="2"/>
            <w:tcBorders>
              <w:left w:val="single" w:color="000000" w:sz="4" w:space="0"/>
              <w:right w:val="single" w:color="000000" w:sz="4" w:space="0"/>
            </w:tcBorders>
            <w:tcW w:w="3827" w:type="dxa"/>
            <w:vAlign w:val="center"/>
            <w:vMerge w:val="restart"/>
            <w:textDirection w:val="lrTb"/>
            <w:noWrap w:val="false"/>
          </w:tcPr>
          <w:p>
            <w:pPr>
              <w:pStyle w:val="1424"/>
              <w:jc w:val="both"/>
              <w:widowControl w:val="off"/>
              <w:rPr>
                <w:sz w:val="20"/>
                <w:szCs w:val="20"/>
              </w:rPr>
            </w:pPr>
            <w:r>
              <w:rPr>
                <w:sz w:val="20"/>
                <w:szCs w:val="20"/>
              </w:rPr>
            </w:r>
            <w:r>
              <w:rPr>
                <w:bCs/>
                <w:sz w:val="20"/>
                <w:szCs w:val="20"/>
              </w:rPr>
              <w:t xml:space="preserve">Комиссия не взимается с Клиента вне зависимости от количества подключенных к системе ДБО </w:t>
            </w:r>
            <w:r>
              <w:rPr>
                <w:bCs/>
                <w:sz w:val="20"/>
                <w:szCs w:val="20"/>
              </w:rPr>
              <w:t xml:space="preserve">банковских счетов данного Клиента, если хотя бы один из счетов </w:t>
            </w:r>
            <w:r>
              <w:rPr>
                <w:bCs/>
                <w:sz w:val="20"/>
                <w:szCs w:val="20"/>
              </w:rPr>
              <w:t xml:space="preserve">Клиента </w:t>
            </w:r>
            <w:r>
              <w:rPr>
                <w:bCs/>
                <w:sz w:val="20"/>
                <w:szCs w:val="20"/>
              </w:rPr>
              <w:t xml:space="preserve">обслуживается в рамках ТП</w:t>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24"/>
              <w:jc w:val="center"/>
              <w:widowControl w:val="off"/>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424"/>
              <w:widowControl w:val="off"/>
              <w:rPr>
                <w:rFonts w:cs="Calibri"/>
                <w:bCs/>
                <w:sz w:val="20"/>
                <w:szCs w:val="20"/>
              </w:rPr>
            </w:pPr>
            <w:r>
              <w:rPr>
                <w:rFonts w:cs="Calibri"/>
                <w:bCs/>
                <w:sz w:val="20"/>
                <w:szCs w:val="20"/>
              </w:rPr>
              <w:t xml:space="preserve">Обслуживание системы ДБО «</w:t>
            </w:r>
            <w:r>
              <w:rPr>
                <w:rFonts w:cs="Calibri"/>
                <w:bCs/>
                <w:sz w:val="20"/>
                <w:szCs w:val="20"/>
              </w:rPr>
              <w:t xml:space="preserve">Свой бизнес</w:t>
            </w:r>
            <w:r>
              <w:rPr>
                <w:rFonts w:cs="Calibri"/>
                <w:bCs/>
                <w:sz w:val="20"/>
                <w:szCs w:val="20"/>
              </w:rPr>
              <w:t xml:space="preserve">»</w:t>
            </w:r>
            <w:r>
              <w:rPr>
                <w:rFonts w:cs="Calibri"/>
                <w:bCs/>
                <w:sz w:val="20"/>
                <w:szCs w:val="20"/>
              </w:rPr>
            </w:r>
            <w:r>
              <w:rPr>
                <w:rFonts w:cs="Calibri"/>
                <w:bCs/>
                <w:sz w:val="20"/>
                <w:szCs w:val="20"/>
              </w:rPr>
            </w:r>
          </w:p>
        </w:tc>
        <w:tc>
          <w:tcPr>
            <w:gridSpan w:val="2"/>
            <w:tcBorders>
              <w:top w:val="single" w:color="000000" w:sz="4" w:space="0"/>
              <w:left w:val="single" w:color="000000" w:sz="4" w:space="0"/>
              <w:bottom w:val="single" w:color="000000" w:sz="4" w:space="0"/>
              <w:right w:val="single" w:color="000000" w:sz="4" w:space="0"/>
            </w:tcBorders>
            <w:tcW w:w="2410" w:type="dxa"/>
            <w:vAlign w:val="center"/>
            <w:textDirection w:val="lrTb"/>
            <w:noWrap w:val="false"/>
          </w:tcPr>
          <w:p>
            <w:pPr>
              <w:pStyle w:val="1424"/>
              <w:jc w:val="center"/>
              <w:widowControl w:val="off"/>
              <w:rPr>
                <w:sz w:val="20"/>
                <w:szCs w:val="20"/>
              </w:rPr>
            </w:pPr>
            <w:r>
              <w:rPr>
                <w:sz w:val="20"/>
                <w:szCs w:val="20"/>
              </w:rPr>
              <w:t xml:space="preserve">Не взимается</w:t>
            </w:r>
            <w:r>
              <w:rPr>
                <w:sz w:val="20"/>
                <w:szCs w:val="20"/>
              </w:rPr>
            </w:r>
            <w:r>
              <w:rPr>
                <w:sz w:val="20"/>
                <w:szCs w:val="20"/>
              </w:rPr>
            </w:r>
          </w:p>
        </w:tc>
        <w:tc>
          <w:tcPr>
            <w:gridSpan w:val="2"/>
            <w:tcBorders>
              <w:left w:val="single" w:color="000000" w:sz="4" w:space="0"/>
              <w:bottom w:val="single" w:color="000000" w:sz="4" w:space="0"/>
              <w:right w:val="single" w:color="000000" w:sz="4" w:space="0"/>
            </w:tcBorders>
            <w:tcW w:w="3827" w:type="dxa"/>
            <w:vAlign w:val="center"/>
            <w:vMerge w:val="continue"/>
            <w:textDirection w:val="lrTb"/>
            <w:noWrap w:val="false"/>
          </w:tcPr>
          <w:p>
            <w:pPr>
              <w:pStyle w:val="1424"/>
              <w:jc w:val="both"/>
              <w:widowControl w:val="off"/>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08" w:type="dxa"/>
            <w:vAlign w:val="center"/>
            <w:vMerge w:val="restart"/>
            <w:textDirection w:val="lrTb"/>
            <w:noWrap w:val="false"/>
          </w:tcPr>
          <w:p>
            <w:pPr>
              <w:pStyle w:val="1424"/>
              <w:jc w:val="both"/>
              <w:widowControl w:val="off"/>
              <w:rPr>
                <w:b/>
                <w:bCs/>
                <w:sz w:val="20"/>
                <w:szCs w:val="20"/>
              </w:rPr>
            </w:pPr>
            <w:r>
              <w:rPr>
                <w:b/>
                <w:bCs/>
                <w:sz w:val="20"/>
                <w:szCs w:val="20"/>
              </w:rPr>
              <w:t xml:space="preserve">2.5.</w:t>
            </w:r>
            <w:r>
              <w:rPr>
                <w:b/>
                <w:bCs/>
                <w:sz w:val="20"/>
                <w:szCs w:val="20"/>
              </w:rPr>
            </w:r>
            <w:r>
              <w:rPr>
                <w:b/>
                <w:bCs/>
                <w:sz w:val="20"/>
                <w:szCs w:val="20"/>
              </w:rPr>
            </w:r>
          </w:p>
        </w:tc>
        <w:tc>
          <w:tcPr>
            <w:gridSpan w:val="6"/>
            <w:tcBorders>
              <w:top w:val="single" w:color="000000" w:sz="4" w:space="0"/>
              <w:left w:val="single" w:color="000000" w:sz="4" w:space="0"/>
              <w:bottom w:val="single" w:color="000000" w:sz="4" w:space="0"/>
              <w:right w:val="single" w:color="000000" w:sz="4" w:space="0"/>
            </w:tcBorders>
            <w:tcW w:w="9215" w:type="dxa"/>
            <w:vAlign w:val="center"/>
            <w:vMerge w:val="restart"/>
            <w:textDirection w:val="lrTb"/>
            <w:noWrap w:val="false"/>
          </w:tcPr>
          <w:p>
            <w:pPr>
              <w:pStyle w:val="1424"/>
              <w:jc w:val="both"/>
              <w:widowControl w:val="off"/>
              <w:rPr>
                <w:b/>
                <w:bCs/>
                <w:sz w:val="20"/>
                <w:szCs w:val="20"/>
              </w:rPr>
            </w:pPr>
            <w:r>
              <w:rPr>
                <w:b/>
                <w:bCs/>
                <w:sz w:val="20"/>
                <w:szCs w:val="20"/>
              </w:rPr>
              <w:t xml:space="preserve">Кассовые операции</w:t>
            </w:r>
            <w:r>
              <w:rPr>
                <w:b/>
                <w:bCs/>
                <w:sz w:val="20"/>
                <w:szCs w:val="20"/>
              </w:rPr>
            </w:r>
            <w:r>
              <w:rPr>
                <w:b/>
                <w:bCs/>
                <w:sz w:val="20"/>
                <w:szCs w:val="20"/>
              </w:rPr>
            </w:r>
          </w:p>
        </w:tc>
      </w:tr>
      <w:tr>
        <w:tblPrEx/>
        <w:trPr>
          <w:trHeight w:val="7794"/>
        </w:trPr>
        <w:tc>
          <w:tcPr>
            <w:gridSpan w:val="2"/>
            <w:tcBorders>
              <w:top w:val="single" w:color="000000" w:sz="4" w:space="0"/>
              <w:left w:val="single" w:color="000000" w:sz="4" w:space="0"/>
              <w:bottom w:val="single" w:color="000000" w:sz="4" w:space="0"/>
              <w:right w:val="single" w:color="000000" w:sz="4" w:space="0"/>
            </w:tcBorders>
            <w:tcW w:w="709" w:type="dxa"/>
            <w:vAlign w:val="center"/>
            <w:vMerge w:val="restart"/>
            <w:textDirection w:val="lrTb"/>
            <w:noWrap w:val="false"/>
          </w:tcPr>
          <w:p>
            <w:pPr>
              <w:pStyle w:val="1424"/>
              <w:jc w:val="center"/>
              <w:widowControl w:val="off"/>
              <w:rPr>
                <w:sz w:val="20"/>
                <w:szCs w:val="20"/>
              </w:rPr>
            </w:pPr>
            <w:r>
              <w:rPr>
                <w:sz w:val="20"/>
                <w:szCs w:val="20"/>
              </w:rPr>
              <w:t xml:space="preserve">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vMerge w:val="restart"/>
            <w:textDirection w:val="lrTb"/>
            <w:noWrap w:val="false"/>
          </w:tcPr>
          <w:p>
            <w:pPr>
              <w:widowControl w:val="off"/>
              <w:rPr>
                <w:rFonts w:cs="Calibri"/>
                <w:bCs/>
                <w14:ligatures w14:val="none"/>
              </w:rPr>
            </w:pPr>
            <w:r>
              <w:rPr>
                <w:rFonts w:cs="Calibri"/>
                <w:sz w:val="20"/>
                <w:szCs w:val="20"/>
                <w:lang w:eastAsia="ru-RU"/>
              </w:rPr>
              <w:t xml:space="preserve">Выдача денежной наличности в валюте Российской Федерации со Счета</w:t>
            </w:r>
            <w:r>
              <w:rPr>
                <w:rFonts w:cs="Calibri"/>
                <w:sz w:val="20"/>
                <w:szCs w:val="20"/>
                <w:lang w:eastAsia="ru-RU"/>
              </w:rPr>
              <w:t xml:space="preserve">, обслуживаемого в рамках ТП</w:t>
            </w:r>
            <w:r>
              <w:rPr>
                <w:rFonts w:cs="Calibri"/>
                <w:sz w:val="20"/>
                <w:szCs w:val="20"/>
                <w:lang w:eastAsia="ru-RU"/>
              </w:rPr>
              <w:t xml:space="preserve">, на другие цели</w:t>
            </w:r>
            <w:r>
              <w:rPr>
                <w:rFonts w:cs="Calibri"/>
                <w:sz w:val="20"/>
                <w:szCs w:val="20"/>
                <w:vertAlign w:val="superscript"/>
                <w:lang w:eastAsia="ru-RU"/>
              </w:rPr>
              <w:footnoteReference w:id="4"/>
            </w:r>
            <w:r>
              <w:rPr>
                <w:rFonts w:cs="Calibri"/>
                <w:sz w:val="20"/>
                <w:szCs w:val="20"/>
                <w:lang w:eastAsia="ru-RU"/>
              </w:rPr>
              <w:t xml:space="preserve">, не связанные с выплатой заработной платы и выплатами социального характера, по предварительной заявке</w:t>
            </w:r>
            <w:r>
              <w:rPr>
                <w:rFonts w:cs="Calibri"/>
                <w:bCs/>
                <w14:ligatures w14:val="none"/>
              </w:rPr>
            </w:r>
            <w:r>
              <w:rPr>
                <w:rFonts w:cs="Calibri"/>
                <w:bCs/>
                <w14:ligatures w14:val="none"/>
              </w:rPr>
            </w:r>
          </w:p>
        </w:tc>
        <w:tc>
          <w:tcPr>
            <w:gridSpan w:val="2"/>
            <w:tcBorders>
              <w:top w:val="single" w:color="000000" w:sz="4" w:space="0"/>
              <w:left w:val="single" w:color="000000" w:sz="4" w:space="0"/>
              <w:bottom w:val="single" w:color="000000" w:sz="4" w:space="0"/>
              <w:right w:val="single" w:color="000000" w:sz="4" w:space="0"/>
            </w:tcBorders>
            <w:tcW w:w="2410" w:type="dxa"/>
            <w:vAlign w:val="center"/>
            <w:vMerge w:val="restart"/>
            <w:textDirection w:val="lrTb"/>
            <w:noWrap w:val="false"/>
          </w:tcPr>
          <w:p>
            <w:pPr>
              <w:jc w:val="center"/>
              <w:widowControl w:val="off"/>
              <w:rPr>
                <w:rFonts w:cs="Calibri"/>
                <w14:ligatures w14:val="none"/>
              </w:rPr>
            </w:pPr>
            <w:r>
              <w:rPr>
                <w:rFonts w:cs="Calibri"/>
                <w:sz w:val="20"/>
                <w:szCs w:val="20"/>
                <w:lang w:eastAsia="ru-RU"/>
              </w:rPr>
              <w:t xml:space="preserve">Не взимается</w:t>
            </w:r>
            <w:r>
              <w:rPr>
                <w:rFonts w:cs="Calibri"/>
                <w14:ligatures w14:val="none"/>
              </w:rPr>
            </w:r>
            <w:r>
              <w:rPr>
                <w:rFonts w:cs="Calibri"/>
                <w14:ligatures w14:val="none"/>
              </w:rPr>
            </w:r>
          </w:p>
          <w:p>
            <w:pPr>
              <w:jc w:val="center"/>
              <w:widowControl w:val="off"/>
              <w:rPr>
                <w:rFonts w:cs="Calibri"/>
                <w14:ligatures w14:val="none"/>
              </w:rPr>
            </w:pPr>
            <w:r>
              <w:rPr>
                <w:rFonts w:cs="Calibri"/>
                <w:sz w:val="20"/>
                <w:szCs w:val="20"/>
                <w:lang w:eastAsia="ru-RU"/>
              </w:rPr>
              <w:t xml:space="preserve">до 1 000 000,00 руб. (включительно) в течение календарного месяца*</w:t>
            </w:r>
            <w:r>
              <w:rPr>
                <w:rFonts w:cs="Calibri"/>
                <w14:ligatures w14:val="none"/>
              </w:rPr>
            </w:r>
            <w:r>
              <w:rPr>
                <w:rFonts w:cs="Calibri"/>
                <w14:ligatures w14:val="none"/>
              </w:rPr>
            </w:r>
          </w:p>
          <w:p>
            <w:pPr>
              <w:jc w:val="center"/>
              <w:widowControl w:val="off"/>
              <w:rPr>
                <w:rFonts w:cs="Calibri"/>
                <w:b/>
                <w:bCs/>
                <w14:ligatures w14:val="none"/>
              </w:rPr>
            </w:pPr>
            <w:r>
              <w:rPr>
                <w:rFonts w:cs="Calibri"/>
                <w:sz w:val="20"/>
                <w:szCs w:val="20"/>
                <w:lang w:eastAsia="ru-RU"/>
              </w:rPr>
              <w:t xml:space="preserve">(*свыше указанной суммы</w:t>
            </w:r>
            <w:r>
              <w:rPr>
                <w:rFonts w:cs="Calibri"/>
                <w:sz w:val="20"/>
                <w:szCs w:val="20"/>
                <w:lang w:eastAsia="ru-RU"/>
              </w:rPr>
              <w:t xml:space="preserve"> </w:t>
            </w:r>
            <w:r>
              <w:rPr>
                <w:rFonts w:ascii="Times New Roman" w:hAnsi="Times New Roman" w:eastAsia="Times New Roman" w:cs="Times New Roman"/>
                <w:sz w:val="20"/>
                <w:szCs w:val="20"/>
                <w:lang w:eastAsia="ru-RU"/>
              </w:rPr>
              <w:t xml:space="preserve">в соответствии </w:t>
            </w:r>
            <w:r>
              <w:rPr>
                <w:rFonts w:ascii="Times New Roman" w:hAnsi="Times New Roman" w:eastAsia="Times New Roman" w:cs="Times New Roman"/>
                <w:color w:val="121212"/>
                <w:sz w:val="20"/>
                <w:szCs w:val="20"/>
              </w:rPr>
              <w:t xml:space="preserve">с Тарифами Банка</w:t>
            </w:r>
            <w:r>
              <w:rPr>
                <w:rFonts w:ascii="Times New Roman" w:hAnsi="Times New Roman" w:eastAsia="Times New Roman" w:cs="Times New Roman"/>
                <w:color w:val="121212"/>
                <w:sz w:val="20"/>
                <w:szCs w:val="20"/>
              </w:rPr>
              <w:t xml:space="preserve">)</w:t>
            </w:r>
            <w:r>
              <w:rPr>
                <w:rFonts w:cs="Calibri"/>
                <w:b/>
                <w:bCs/>
                <w14:ligatures w14:val="none"/>
              </w:rPr>
            </w:r>
            <w:r>
              <w:rPr>
                <w:rFonts w:cs="Calibri"/>
                <w:b/>
                <w:bCs/>
                <w14:ligatures w14:val="none"/>
              </w:rPr>
            </w:r>
          </w:p>
        </w:tc>
        <w:tc>
          <w:tcPr>
            <w:gridSpan w:val="2"/>
            <w:tcBorders>
              <w:left w:val="single" w:color="000000" w:sz="4" w:space="0"/>
              <w:bottom w:val="single" w:color="000000" w:sz="4" w:space="0"/>
              <w:right w:val="single" w:color="000000" w:sz="4" w:space="0"/>
            </w:tcBorders>
            <w:tcW w:w="3827" w:type="dxa"/>
            <w:vAlign w:val="center"/>
            <w:vMerge w:val="restart"/>
            <w:textDirection w:val="lrTb"/>
            <w:noWrap w:val="false"/>
          </w:tcPr>
          <w:p>
            <w:pPr>
              <w:jc w:val="both"/>
              <w:widowControl w:val="off"/>
              <w:rPr>
                <w:rFonts w:cs="Calibri"/>
                <w14:ligatures w14:val="none"/>
              </w:rPr>
            </w:pPr>
            <w:r>
              <w:rPr>
                <w:rFonts w:cs="Calibri"/>
                <w:sz w:val="20"/>
                <w:szCs w:val="20"/>
                <w:lang w:eastAsia="ru-RU"/>
              </w:rPr>
              <w:t xml:space="preserve">Выдача денежной наличности со Счета осуществляется Банком без взимания комиссионного вознаграждения в пределах установленного лимита суммы операций. В случае превышения лимита суммы операций, совершенных Клиентом в текущем календарном месяце, комиссионное</w:t>
            </w:r>
            <w:r>
              <w:rPr>
                <w:rFonts w:cs="Calibri"/>
                <w:sz w:val="20"/>
                <w:szCs w:val="20"/>
                <w:lang w:eastAsia="ru-RU"/>
              </w:rPr>
              <w:t xml:space="preserve"> вознаграждение взимается, начиная с операции, которая приведет к превышению лимита суммы операций. Размер тарифа по каждой операции соответствует ставке, указанной в суммовой градации, в интервал которой относится рассчитанная общая сумма денежных средств</w:t>
            </w:r>
            <w:r>
              <w:rPr>
                <w:rFonts w:cs="Calibri"/>
                <w:sz w:val="20"/>
                <w:szCs w:val="20"/>
                <w:lang w:eastAsia="ru-RU"/>
              </w:rPr>
              <w:t xml:space="preserve">, выданных по предварительной заявке, (включая сумму лимита операций), равная совокупности размера уже выданных Клиенту в текущем календарном месяце средств со всех счетов Клиента, открытых в подразделении Банка, и размера вновь заявленной к выдаче суммы. </w:t>
            </w:r>
            <w:r>
              <w:rPr>
                <w:rFonts w:cs="Calibri"/>
                <w14:ligatures w14:val="none"/>
              </w:rPr>
            </w:r>
            <w:r>
              <w:rPr>
                <w:rFonts w:cs="Calibri"/>
                <w14:ligatures w14:val="none"/>
              </w:rPr>
            </w:r>
          </w:p>
          <w:p>
            <w:pPr>
              <w:jc w:val="both"/>
              <w:widowControl w:val="off"/>
              <w:rPr>
                <w:rFonts w:cs="Calibri"/>
                <w14:ligatures w14:val="none"/>
              </w:rPr>
            </w:pPr>
            <w:r>
              <w:rPr>
                <w:rFonts w:cs="Calibri"/>
                <w:sz w:val="20"/>
                <w:szCs w:val="20"/>
                <w:lang w:eastAsia="ru-RU"/>
              </w:rPr>
              <w:t xml:space="preserve">При этом денежные средства, выданные в течение текущего календарного месяца на заработную плату и выплаты социального характера, в расчет общей суммы средств, выданных Клиенту в течение указанного </w:t>
            </w:r>
            <w:r>
              <w:rPr>
                <w:rFonts w:cs="Calibri"/>
                <w:sz w:val="20"/>
                <w:szCs w:val="20"/>
                <w:lang w:eastAsia="ru-RU"/>
              </w:rPr>
              <w:t xml:space="preserve">календарного </w:t>
            </w:r>
            <w:r>
              <w:rPr>
                <w:rFonts w:cs="Calibri"/>
                <w:sz w:val="20"/>
                <w:szCs w:val="20"/>
                <w:lang w:eastAsia="ru-RU"/>
              </w:rPr>
              <w:t xml:space="preserve">месяца, не включаются.</w:t>
            </w:r>
            <w:r>
              <w:rPr>
                <w:rFonts w:cs="Calibri"/>
                <w14:ligatures w14:val="none"/>
              </w:rPr>
            </w:r>
            <w:r>
              <w:rPr>
                <w:rFonts w:cs="Calibri"/>
                <w14:ligatures w14:val="none"/>
              </w:rPr>
            </w:r>
          </w:p>
          <w:p>
            <w:pPr>
              <w:jc w:val="both"/>
              <w:widowControl w:val="off"/>
              <w:rPr>
                <w:rFonts w:cs="Calibri"/>
                <w:bCs/>
                <w14:ligatures w14:val="none"/>
              </w:rPr>
            </w:pPr>
            <w:r>
              <w:rPr>
                <w:rFonts w:cs="Calibri"/>
                <w:sz w:val="20"/>
                <w:szCs w:val="20"/>
                <w:lang w:eastAsia="ru-RU"/>
              </w:rPr>
              <w:t xml:space="preserve">При выдаче денежной наличности с банковского счета без предварительной заявки комиссионное вознаграждение взимается в соответствии с </w:t>
            </w:r>
            <w:r>
              <w:rPr>
                <w:rFonts w:cs="Calibri"/>
                <w:sz w:val="20"/>
                <w:szCs w:val="20"/>
                <w:lang w:eastAsia="ru-RU"/>
              </w:rPr>
              <w:t xml:space="preserve">примечаниями к </w:t>
            </w:r>
            <w:r>
              <w:rPr>
                <w:rFonts w:cs="Calibri"/>
                <w:sz w:val="20"/>
                <w:szCs w:val="20"/>
                <w:lang w:eastAsia="ru-RU"/>
              </w:rPr>
              <w:t xml:space="preserve">п. 2.2.2 Тарифов Банка.</w:t>
            </w:r>
            <w:r>
              <w:rPr>
                <w:rFonts w:cs="Calibri"/>
                <w:bCs/>
                <w14:ligatures w14:val="none"/>
              </w:rPr>
            </w:r>
            <w:r>
              <w:rPr>
                <w:rFonts w:cs="Calibri"/>
                <w:bCs/>
                <w14:ligatures w14: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24"/>
              <w:jc w:val="center"/>
              <w:spacing w:before="40" w:after="40"/>
              <w:widowControl w:val="off"/>
              <w:rPr>
                <w:b/>
                <w:sz w:val="20"/>
                <w:szCs w:val="20"/>
              </w:rPr>
            </w:pPr>
            <w:r>
              <w:rPr>
                <w:b/>
                <w:sz w:val="20"/>
                <w:szCs w:val="20"/>
              </w:rPr>
              <w:t xml:space="preserve">2.6</w:t>
            </w:r>
            <w:r>
              <w:rPr>
                <w:b/>
                <w:sz w:val="20"/>
                <w:szCs w:val="20"/>
              </w:rPr>
              <w:t xml:space="preserve">.</w:t>
            </w:r>
            <w:r>
              <w:rPr>
                <w:b/>
                <w:sz w:val="20"/>
                <w:szCs w:val="20"/>
              </w:rPr>
            </w:r>
            <w:r>
              <w:rPr>
                <w:b/>
                <w:sz w:val="20"/>
                <w:szCs w:val="20"/>
              </w:rPr>
            </w:r>
          </w:p>
        </w:tc>
        <w:tc>
          <w:tcPr>
            <w:gridSpan w:val="5"/>
            <w:tcBorders>
              <w:top w:val="single" w:color="000000" w:sz="4" w:space="0"/>
              <w:left w:val="single" w:color="000000" w:sz="4" w:space="0"/>
              <w:bottom w:val="single" w:color="000000" w:sz="4" w:space="0"/>
              <w:right w:val="single" w:color="000000" w:sz="4" w:space="0"/>
            </w:tcBorders>
            <w:tcW w:w="9214" w:type="dxa"/>
            <w:vAlign w:val="center"/>
            <w:textDirection w:val="lrTb"/>
            <w:noWrap w:val="false"/>
          </w:tcPr>
          <w:p>
            <w:pPr>
              <w:pStyle w:val="1424"/>
              <w:spacing w:before="40" w:after="40"/>
              <w:widowControl w:val="off"/>
              <w:rPr>
                <w:sz w:val="20"/>
                <w:szCs w:val="20"/>
              </w:rPr>
            </w:pPr>
            <w:r>
              <w:rPr>
                <w:b/>
                <w:bCs/>
                <w:sz w:val="20"/>
                <w:szCs w:val="20"/>
              </w:rPr>
              <w:t xml:space="preserve">Обслуживание бизнес-карты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7"/>
        </w:trPr>
        <w:tc>
          <w:tcPr>
            <w:gridSpan w:val="2"/>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1424"/>
              <w:jc w:val="center"/>
              <w:widowControl w:val="off"/>
              <w:rPr>
                <w:sz w:val="20"/>
                <w:szCs w:val="20"/>
              </w:rPr>
            </w:pPr>
            <w:r>
              <w:rPr>
                <w:sz w:val="20"/>
                <w:szCs w:val="20"/>
              </w:rPr>
              <w:t xml:space="preserve">2.6</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424"/>
              <w:spacing w:before="40" w:after="40"/>
              <w:widowControl w:val="off"/>
              <w:rPr>
                <w:sz w:val="20"/>
                <w:szCs w:val="20"/>
              </w:rPr>
            </w:pPr>
            <w:r>
              <w:rPr>
                <w:bCs/>
                <w:sz w:val="20"/>
                <w:szCs w:val="20"/>
              </w:rPr>
              <w:t xml:space="preserve">Обслуживание</w:t>
            </w:r>
            <w:r>
              <w:rPr>
                <w:sz w:val="20"/>
              </w:rPr>
              <w:t xml:space="preserve"> </w:t>
            </w:r>
            <w:r>
              <w:rPr>
                <w:bCs/>
                <w:sz w:val="20"/>
                <w:szCs w:val="20"/>
              </w:rPr>
              <w:t xml:space="preserve">одной</w:t>
            </w:r>
            <w:r>
              <w:rPr>
                <w:sz w:val="20"/>
              </w:rPr>
              <w:t xml:space="preserve"> </w:t>
            </w:r>
            <w:r>
              <w:rPr>
                <w:bCs/>
                <w:sz w:val="20"/>
                <w:szCs w:val="20"/>
              </w:rPr>
              <w:t xml:space="preserve">бизнес</w:t>
            </w:r>
            <w:r>
              <w:rPr>
                <w:bCs/>
                <w:sz w:val="20"/>
                <w:szCs w:val="20"/>
              </w:rPr>
              <w:t xml:space="preserve">-</w:t>
            </w:r>
            <w:r>
              <w:rPr>
                <w:bCs/>
                <w:sz w:val="20"/>
                <w:szCs w:val="20"/>
              </w:rPr>
              <w:t xml:space="preserve">карты</w:t>
            </w:r>
            <w:r>
              <w:rPr>
                <w:bCs/>
                <w:sz w:val="20"/>
                <w:szCs w:val="20"/>
              </w:rPr>
              <w:t xml:space="preserve">,</w:t>
            </w:r>
            <w:r>
              <w:rPr>
                <w:bCs/>
                <w:sz w:val="20"/>
                <w:szCs w:val="20"/>
              </w:rPr>
              <w:t xml:space="preserve"> </w:t>
            </w:r>
            <w:r>
              <w:rPr>
                <w:bCs/>
                <w:sz w:val="20"/>
                <w:szCs w:val="20"/>
              </w:rPr>
              <w:t xml:space="preserve">выпускаемой</w:t>
            </w:r>
            <w:r>
              <w:rPr>
                <w:sz w:val="20"/>
              </w:rPr>
              <w:t xml:space="preserve"> </w:t>
            </w:r>
            <w:r>
              <w:rPr>
                <w:bCs/>
                <w:sz w:val="20"/>
                <w:szCs w:val="20"/>
              </w:rPr>
              <w:t xml:space="preserve">в</w:t>
            </w:r>
            <w:r>
              <w:rPr>
                <w:sz w:val="20"/>
              </w:rPr>
              <w:t xml:space="preserve"> </w:t>
            </w:r>
            <w:r>
              <w:rPr>
                <w:bCs/>
                <w:sz w:val="20"/>
                <w:szCs w:val="20"/>
              </w:rPr>
              <w:t xml:space="preserve">рамках</w:t>
            </w:r>
            <w:r>
              <w:rPr>
                <w:sz w:val="20"/>
              </w:rPr>
              <w:t xml:space="preserve"> </w:t>
            </w:r>
            <w:r>
              <w:rPr>
                <w:bCs/>
                <w:sz w:val="20"/>
                <w:szCs w:val="20"/>
              </w:rPr>
              <w:t xml:space="preserve">тарифного</w:t>
            </w:r>
            <w:r>
              <w:rPr>
                <w:sz w:val="20"/>
              </w:rPr>
              <w:t xml:space="preserve"> </w:t>
            </w:r>
            <w:r>
              <w:rPr>
                <w:bCs/>
                <w:sz w:val="20"/>
                <w:szCs w:val="20"/>
              </w:rPr>
              <w:t xml:space="preserve">плана</w:t>
            </w:r>
            <w:r>
              <w:rPr>
                <w:sz w:val="20"/>
              </w:rPr>
              <w:t xml:space="preserve"> «</w:t>
            </w:r>
            <w:r>
              <w:rPr>
                <w:bCs/>
                <w:sz w:val="20"/>
                <w:szCs w:val="20"/>
              </w:rPr>
              <w:t xml:space="preserve">Корпоративный</w:t>
            </w:r>
            <w:r>
              <w:rPr>
                <w:bCs/>
                <w:sz w:val="20"/>
                <w:szCs w:val="20"/>
              </w:rPr>
              <w:t xml:space="preserve">»/ «</w:t>
            </w:r>
            <w:r>
              <w:rPr>
                <w:bCs/>
                <w:sz w:val="20"/>
                <w:szCs w:val="20"/>
              </w:rPr>
              <w:t xml:space="preserve">Корпоративный</w:t>
            </w:r>
            <w:r>
              <w:rPr>
                <w:bCs/>
                <w:sz w:val="20"/>
                <w:szCs w:val="20"/>
              </w:rPr>
              <w:t xml:space="preserve"> </w:t>
            </w:r>
            <w:r>
              <w:rPr>
                <w:bCs/>
                <w:sz w:val="20"/>
                <w:szCs w:val="20"/>
              </w:rPr>
              <w:t xml:space="preserve">ПЛЮС</w:t>
            </w:r>
            <w:r>
              <w:rPr>
                <w:bCs/>
                <w:sz w:val="20"/>
                <w:szCs w:val="20"/>
              </w:rPr>
              <w:t xml:space="preserve">»</w:t>
            </w:r>
            <w:r>
              <w:rPr>
                <w:rStyle w:val="1433"/>
                <w:bCs/>
                <w:sz w:val="20"/>
                <w:szCs w:val="20"/>
                <w:lang w:val="en-US"/>
              </w:rPr>
              <w:footnoteReference w:id="5"/>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10" w:type="dxa"/>
            <w:vAlign w:val="center"/>
            <w:textDirection w:val="lrTb"/>
            <w:noWrap w:val="false"/>
          </w:tcPr>
          <w:p>
            <w:pPr>
              <w:pStyle w:val="1424"/>
              <w:jc w:val="center"/>
              <w:spacing w:before="40" w:after="40"/>
              <w:widowControl w:val="off"/>
              <w:rPr>
                <w:sz w:val="20"/>
                <w:szCs w:val="20"/>
              </w:rPr>
            </w:pPr>
            <w:r>
              <w:rPr>
                <w:sz w:val="20"/>
                <w:szCs w:val="20"/>
              </w:rPr>
              <w:t xml:space="preserve">Не взимается за первый год обслуживания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424"/>
              <w:jc w:val="both"/>
              <w:widowControl w:val="off"/>
              <w:rPr>
                <w:sz w:val="20"/>
                <w:szCs w:val="20"/>
              </w:rPr>
            </w:pPr>
            <w:r>
              <w:rPr>
                <w:bCs/>
                <w:sz w:val="20"/>
                <w:szCs w:val="20"/>
              </w:rPr>
              <w:t xml:space="preserve">Комиссионное вознаграждение не взимается за первый год обслуживания первой бизнес-карты, выпущенной в рамках ТП, с момента ее выпуска</w:t>
            </w:r>
            <w:r>
              <w:rPr>
                <w:bCs/>
                <w:sz w:val="20"/>
                <w:szCs w:val="20"/>
              </w:rPr>
              <w:t xml:space="preserve">. Со второго года и до окончания срока действия</w:t>
            </w:r>
            <w:r>
              <w:rPr>
                <w:bCs/>
                <w:sz w:val="20"/>
                <w:szCs w:val="20"/>
              </w:rPr>
              <w:t xml:space="preserve"> бизнес-карты и в случае перевыпуска бизнес-карты  комиссионное вознаграждение взимается Банком по Тарифам и условиям, указанным в п. 1.2.1 тарифного плана «Корпоративный»/ п. 1.2.1 тарифного плана «Корпоративный ПЛЮС». </w:t>
            </w:r>
            <w:r>
              <w:rPr>
                <w:sz w:val="20"/>
                <w:szCs w:val="20"/>
              </w:rPr>
              <w:t xml:space="preserve">Комиссионное вознаграждение за услуги, не предусмотренные условиями ТП, взимается Банком в соответствии с тарифным планом «Корпоративный»/ «Корпоративный «ПЛЮС»</w:t>
            </w:r>
            <w:r>
              <w:rPr>
                <w:sz w:val="20"/>
                <w:szCs w:val="20"/>
              </w:rPr>
            </w:r>
            <w:r>
              <w:rPr>
                <w:sz w:val="20"/>
                <w:szCs w:val="20"/>
              </w:rPr>
            </w:r>
          </w:p>
        </w:tc>
      </w:tr>
      <w:tr>
        <w:tblPrEx/>
        <w:trPr/>
        <w:tc>
          <w:tcPr>
            <w:gridSpan w:val="2"/>
            <w:tcBorders>
              <w:top w:val="single" w:color="000000" w:sz="4" w:space="0"/>
              <w:left w:val="single" w:color="000000" w:sz="4" w:space="0"/>
              <w:bottom w:val="single" w:color="000000" w:sz="4" w:space="0"/>
              <w:right w:val="single" w:color="000000" w:sz="4" w:space="0"/>
            </w:tcBorders>
            <w:tcW w:w="709" w:type="dxa"/>
            <w:vAlign w:val="center"/>
            <w:vMerge w:val="restart"/>
            <w:textDirection w:val="lrTb"/>
            <w:noWrap w:val="false"/>
          </w:tcPr>
          <w:p>
            <w:pPr>
              <w:pStyle w:val="1424"/>
              <w:jc w:val="center"/>
              <w:widowControl w:val="off"/>
              <w:rPr>
                <w:b/>
                <w:bCs/>
                <w:sz w:val="20"/>
                <w:szCs w:val="20"/>
              </w:rPr>
            </w:pPr>
            <w:r>
              <w:rPr>
                <w:b/>
                <w:bCs/>
                <w:sz w:val="20"/>
                <w:szCs w:val="20"/>
              </w:rPr>
              <w:t xml:space="preserve">2.7.</w:t>
            </w:r>
            <w:r>
              <w:rPr>
                <w:b/>
                <w:bCs/>
                <w:sz w:val="20"/>
                <w:szCs w:val="20"/>
              </w:rPr>
            </w:r>
            <w:r>
              <w:rPr>
                <w:b/>
                <w:bCs/>
                <w:sz w:val="20"/>
                <w:szCs w:val="20"/>
              </w:rPr>
            </w:r>
          </w:p>
        </w:tc>
        <w:tc>
          <w:tcPr>
            <w:gridSpan w:val="5"/>
            <w:tcBorders>
              <w:top w:val="single" w:color="000000" w:sz="4" w:space="0"/>
              <w:left w:val="single" w:color="000000" w:sz="4" w:space="0"/>
              <w:bottom w:val="single" w:color="000000" w:sz="4" w:space="0"/>
              <w:right w:val="single" w:color="000000" w:sz="4" w:space="0"/>
            </w:tcBorders>
            <w:tcW w:w="9214" w:type="dxa"/>
            <w:vAlign w:val="center"/>
            <w:vMerge w:val="restart"/>
            <w:textDirection w:val="lrTb"/>
            <w:noWrap w:val="false"/>
          </w:tcPr>
          <w:p>
            <w:pPr>
              <w:pStyle w:val="1424"/>
              <w:jc w:val="both"/>
              <w:widowControl w:val="off"/>
              <w:rPr>
                <w:b/>
                <w:bCs/>
                <w:sz w:val="20"/>
                <w:szCs w:val="20"/>
              </w:rPr>
            </w:pPr>
            <w:r>
              <w:rPr>
                <w:b/>
                <w:bCs/>
                <w:sz w:val="20"/>
                <w:szCs w:val="20"/>
              </w:rPr>
              <w:t xml:space="preserve">Эквайринговое обслуживание</w:t>
            </w:r>
            <w:r>
              <w:rPr>
                <w:b/>
                <w:bCs/>
                <w:sz w:val="20"/>
                <w:szCs w:val="20"/>
              </w:rPr>
            </w:r>
            <w:r>
              <w:rPr>
                <w:b/>
                <w:bCs/>
                <w:sz w:val="20"/>
                <w:szCs w:val="20"/>
              </w:rPr>
            </w:r>
          </w:p>
        </w:tc>
      </w:tr>
      <w:tr>
        <w:tblPrEx/>
        <w:trPr/>
        <w:tc>
          <w:tcPr>
            <w:gridSpan w:val="2"/>
            <w:tcBorders>
              <w:top w:val="single" w:color="000000" w:sz="4" w:space="0"/>
              <w:left w:val="single" w:color="000000" w:sz="4" w:space="0"/>
              <w:bottom w:val="single" w:color="000000" w:sz="4" w:space="0"/>
              <w:right w:val="single" w:color="000000" w:sz="4" w:space="0"/>
            </w:tcBorders>
            <w:tcW w:w="709" w:type="dxa"/>
            <w:vAlign w:val="center"/>
            <w:vMerge w:val="restart"/>
            <w:textDirection w:val="lrTb"/>
            <w:noWrap w:val="false"/>
          </w:tcPr>
          <w:p>
            <w:pPr>
              <w:pStyle w:val="1424"/>
              <w:jc w:val="center"/>
              <w:widowControl w:val="off"/>
              <w:rPr>
                <w:sz w:val="20"/>
                <w:szCs w:val="20"/>
              </w:rPr>
            </w:pPr>
            <w:r>
              <w:rPr>
                <w:sz w:val="20"/>
                <w:szCs w:val="20"/>
              </w:rPr>
              <w:t xml:space="preserve">2.7.1.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vMerge w:val="restart"/>
            <w:textDirection w:val="lrTb"/>
            <w:noWrap w:val="false"/>
          </w:tcPr>
          <w:p>
            <w:pPr>
              <w:pStyle w:val="1424"/>
              <w:spacing w:before="40" w:after="40"/>
              <w:widowControl w:val="off"/>
              <w:rPr>
                <w:bCs/>
                <w:sz w:val="20"/>
                <w:szCs w:val="20"/>
              </w:rPr>
            </w:pPr>
            <w:r>
              <w:rPr>
                <w:bCs/>
                <w:sz w:val="20"/>
                <w:szCs w:val="20"/>
              </w:rPr>
              <w:t xml:space="preserve">Торговый эквайринг</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10" w:type="dxa"/>
            <w:vAlign w:val="center"/>
            <w:vMerge w:val="restart"/>
            <w:textDirection w:val="lrTb"/>
            <w:noWrap w:val="false"/>
          </w:tcPr>
          <w:p>
            <w:pPr>
              <w:pStyle w:val="1424"/>
              <w:jc w:val="center"/>
              <w:spacing w:before="40" w:after="40"/>
              <w:widowControl w:val="off"/>
              <w:rPr>
                <w:sz w:val="20"/>
                <w:szCs w:val="20"/>
              </w:rPr>
            </w:pPr>
            <w:r>
              <w:rPr>
                <w:sz w:val="20"/>
                <w:szCs w:val="20"/>
              </w:rPr>
            </w:r>
            <w:r>
              <w:rPr>
                <w:bCs/>
                <w:sz w:val="20"/>
                <w:szCs w:val="20"/>
              </w:rPr>
              <w:t xml:space="preserve">Комиссионное вознаграждение взимается в соответствии с одной из выбранных опций</w:t>
            </w:r>
            <w:r>
              <w:rPr>
                <w:bCs/>
                <w:sz w:val="20"/>
                <w:szCs w:val="20"/>
              </w:rPr>
              <w:t xml:space="preserve">,</w:t>
            </w:r>
            <w:r>
              <w:rPr>
                <w:bCs/>
                <w:sz w:val="20"/>
                <w:szCs w:val="20"/>
              </w:rPr>
              <w:t xml:space="preserve"> в соответствии с п.2.9 настоящего ТП</w:t>
            </w:r>
            <w:r>
              <w:rPr>
                <w:sz w:val="20"/>
                <w:szCs w:val="20"/>
              </w:rPr>
            </w:r>
            <w:r>
              <w:rPr>
                <w:sz w:val="20"/>
                <w:szCs w:val="20"/>
              </w:rPr>
            </w:r>
          </w:p>
          <w:p>
            <w:pPr>
              <w:jc w:val="center"/>
              <w:spacing w:before="40" w:after="40"/>
              <w:widowControl w:val="off"/>
              <w:rPr>
                <w:sz w:val="20"/>
                <w:szCs w:val="20"/>
              </w:rPr>
            </w:pPr>
            <w:r>
              <w:rPr>
                <w:sz w:val="20"/>
                <w:szCs w:val="20"/>
              </w:rPr>
            </w:r>
            <w:r>
              <w:rPr>
                <w:bCs/>
                <w:sz w:val="20"/>
                <w:szCs w:val="20"/>
              </w:rPr>
              <w:t xml:space="preserve">(* при отсутствии оборотов</w:t>
            </w:r>
            <w:r>
              <w:rPr>
                <w:bCs/>
                <w:sz w:val="20"/>
                <w:szCs w:val="20"/>
              </w:rPr>
              <w:t xml:space="preserve"> по </w:t>
            </w:r>
            <w:r>
              <w:rPr>
                <w:bCs/>
                <w:sz w:val="20"/>
                <w:szCs w:val="20"/>
              </w:rPr>
              <w:t xml:space="preserve">каждой единице оборудования</w:t>
            </w:r>
            <w:r>
              <w:rPr>
                <w:bCs/>
                <w:sz w:val="20"/>
                <w:szCs w:val="20"/>
              </w:rPr>
              <w:t xml:space="preserve">/электронному терминалу</w:t>
            </w:r>
            <w:r>
              <w:rPr>
                <w:bCs/>
                <w:sz w:val="20"/>
                <w:szCs w:val="20"/>
              </w:rPr>
              <w:t xml:space="preserve"> в течении 2-х месяцев подряд, взимается дополнительная комиссия в размере 2 500 руб./мес.</w:t>
            </w:r>
            <w:r>
              <w:rPr>
                <w:bCs/>
                <w:sz w:val="20"/>
                <w:szCs w:val="20"/>
              </w:rPr>
              <w:t xml:space="preserve">)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827" w:type="dxa"/>
            <w:vAlign w:val="center"/>
            <w:vMerge w:val="restart"/>
            <w:textDirection w:val="lrTb"/>
            <w:noWrap w:val="false"/>
          </w:tcPr>
          <w:p>
            <w:pPr>
              <w:jc w:val="both"/>
              <w:widowControl w:val="off"/>
              <w:rPr>
                <w:sz w:val="20"/>
                <w:szCs w:val="20"/>
                <w:highlight w:val="none"/>
              </w:rPr>
            </w:pPr>
            <w:r>
              <w:rPr>
                <w:bCs/>
                <w:sz w:val="20"/>
                <w:szCs w:val="20"/>
                <w:highlight w:val="none"/>
              </w:rPr>
              <w:t xml:space="preserve">Дополнительная комиссия</w:t>
            </w:r>
            <w:r>
              <w:rPr>
                <w:bCs/>
                <w:sz w:val="20"/>
                <w:szCs w:val="20"/>
                <w:highlight w:val="none"/>
              </w:rPr>
              <w:t xml:space="preserve"> взимае</w:t>
            </w:r>
            <w:r>
              <w:rPr>
                <w:bCs/>
                <w:sz w:val="20"/>
                <w:szCs w:val="20"/>
                <w:highlight w:val="none"/>
              </w:rPr>
              <w:t xml:space="preserve">тся</w:t>
            </w:r>
            <w:r>
              <w:rPr>
                <w:bCs/>
                <w:sz w:val="20"/>
                <w:szCs w:val="20"/>
                <w:highlight w:val="none"/>
              </w:rPr>
              <w:t xml:space="preserve"> Банком при </w:t>
            </w:r>
            <w:r>
              <w:rPr>
                <w:bCs/>
                <w:sz w:val="20"/>
                <w:szCs w:val="20"/>
              </w:rPr>
              <w:t xml:space="preserve">отсутствии оборотов</w:t>
            </w:r>
            <w:r>
              <w:rPr>
                <w:bCs/>
                <w:sz w:val="20"/>
                <w:szCs w:val="20"/>
                <w:highlight w:val="none"/>
              </w:rPr>
              <w:t xml:space="preserve"> по </w:t>
            </w:r>
            <w:r>
              <w:rPr>
                <w:bCs/>
                <w:sz w:val="20"/>
                <w:szCs w:val="20"/>
                <w:highlight w:val="none"/>
              </w:rPr>
              <w:t xml:space="preserve">каждой </w:t>
            </w:r>
            <w:r>
              <w:rPr>
                <w:bCs/>
                <w:sz w:val="20"/>
                <w:szCs w:val="20"/>
                <w:highlight w:val="none"/>
              </w:rPr>
              <w:t xml:space="preserve">единице оборудования</w:t>
            </w:r>
            <w:r>
              <w:rPr>
                <w:bCs/>
                <w:sz w:val="20"/>
                <w:szCs w:val="20"/>
                <w:highlight w:val="none"/>
              </w:rPr>
              <w:t xml:space="preserve">/электронному терминалу</w:t>
            </w:r>
            <w:r>
              <w:rPr>
                <w:bCs/>
                <w:sz w:val="20"/>
                <w:szCs w:val="20"/>
                <w:highlight w:val="none"/>
              </w:rPr>
              <w:t xml:space="preserve"> в течение</w:t>
            </w:r>
            <w:r>
              <w:rPr>
                <w:bCs/>
                <w:sz w:val="20"/>
                <w:szCs w:val="20"/>
                <w:highlight w:val="none"/>
              </w:rPr>
              <w:t xml:space="preserve"> </w:t>
            </w:r>
            <w:r>
              <w:rPr>
                <w:bCs/>
                <w:sz w:val="20"/>
                <w:szCs w:val="20"/>
                <w:highlight w:val="none"/>
              </w:rPr>
              <w:t xml:space="preserve">двух последовательн</w:t>
            </w:r>
            <w:r>
              <w:rPr>
                <w:bCs/>
                <w:sz w:val="20"/>
                <w:szCs w:val="20"/>
                <w:highlight w:val="none"/>
              </w:rPr>
              <w:t xml:space="preserve">ых месяцев </w:t>
            </w:r>
            <w:r>
              <w:rPr>
                <w:bCs/>
                <w:sz w:val="20"/>
                <w:szCs w:val="20"/>
                <w:highlight w:val="none"/>
              </w:rPr>
              <w:t xml:space="preserve">(далее – дополнительная комиссия)</w:t>
            </w:r>
            <w:r>
              <w:rPr>
                <w:bCs/>
                <w:sz w:val="20"/>
                <w:szCs w:val="20"/>
                <w:highlight w:val="none"/>
              </w:rPr>
              <w:t xml:space="preserve">.</w:t>
            </w:r>
            <w:r>
              <w:rPr>
                <w:bCs/>
                <w:sz w:val="20"/>
                <w:szCs w:val="20"/>
                <w:highlight w:val="none"/>
              </w:rPr>
              <w:t xml:space="preserve"> </w:t>
            </w:r>
            <w:r>
              <w:rPr>
                <w:sz w:val="20"/>
                <w:szCs w:val="20"/>
                <w:highlight w:val="none"/>
              </w:rPr>
            </w:r>
            <w:r>
              <w:rPr>
                <w:sz w:val="20"/>
                <w:szCs w:val="20"/>
                <w:highlight w:val="none"/>
              </w:rPr>
            </w:r>
          </w:p>
          <w:p>
            <w:pPr>
              <w:jc w:val="both"/>
              <w:widowControl w:val="off"/>
              <w:rPr>
                <w:sz w:val="20"/>
                <w:szCs w:val="20"/>
                <w:highlight w:val="none"/>
              </w:rPr>
            </w:pPr>
            <w:r>
              <w:rPr>
                <w:bCs/>
                <w:sz w:val="20"/>
                <w:szCs w:val="20"/>
                <w:highlight w:val="none"/>
              </w:rPr>
              <w:t xml:space="preserve">Дополнительная комиссия </w:t>
            </w:r>
            <w:r>
              <w:rPr>
                <w:bCs/>
                <w:sz w:val="20"/>
                <w:szCs w:val="20"/>
                <w:highlight w:val="none"/>
              </w:rPr>
              <w:br/>
            </w:r>
            <w:r>
              <w:rPr>
                <w:bCs/>
                <w:sz w:val="20"/>
                <w:szCs w:val="20"/>
                <w:highlight w:val="none"/>
              </w:rPr>
              <w:t xml:space="preserve">взимается не позднее последнего календарного дня второго месяца в котором </w:t>
            </w:r>
            <w:r>
              <w:rPr>
                <w:bCs/>
                <w:sz w:val="20"/>
                <w:szCs w:val="20"/>
                <w:highlight w:val="none"/>
              </w:rPr>
              <w:t xml:space="preserve">отсутствовали </w:t>
            </w:r>
            <w:r>
              <w:rPr>
                <w:bCs/>
                <w:sz w:val="20"/>
                <w:szCs w:val="20"/>
                <w:highlight w:val="none"/>
              </w:rPr>
              <w:t xml:space="preserve">обороты </w:t>
            </w:r>
            <w:r>
              <w:rPr>
                <w:bCs/>
                <w:sz w:val="20"/>
                <w:szCs w:val="20"/>
                <w:highlight w:val="none"/>
              </w:rPr>
              <w:t xml:space="preserve">.</w:t>
            </w:r>
            <w:r>
              <w:rPr>
                <w:bCs/>
                <w:sz w:val="20"/>
                <w:szCs w:val="20"/>
                <w:highlight w:val="none"/>
              </w:rPr>
              <w:t xml:space="preserve"> При отсутствии оплаты дополнительной комиссии, ТП отключается и Клиент переводится на обслуживание на Тарифы Банка.</w:t>
            </w:r>
            <w:r>
              <w:rPr>
                <w:bCs/>
                <w:sz w:val="20"/>
                <w:szCs w:val="20"/>
                <w:highlight w:val="none"/>
              </w:rPr>
              <w:t xml:space="preserve"> </w:t>
            </w:r>
            <w:r>
              <w:rPr>
                <w:bCs/>
                <w:sz w:val="20"/>
                <w:szCs w:val="20"/>
                <w:highlight w:val="none"/>
              </w:rPr>
              <w:t xml:space="preserve">Месяц подключения оборудования</w:t>
            </w:r>
            <w:r>
              <w:rPr>
                <w:bCs/>
                <w:sz w:val="20"/>
                <w:szCs w:val="20"/>
                <w:highlight w:val="none"/>
              </w:rPr>
              <w:t xml:space="preserve">/электронного терминала</w:t>
            </w:r>
            <w:r>
              <w:rPr>
                <w:bCs/>
                <w:sz w:val="20"/>
                <w:szCs w:val="20"/>
                <w:highlight w:val="none"/>
              </w:rPr>
              <w:t xml:space="preserve"> не учитывается при анализе оборотов. </w:t>
            </w:r>
            <w:r>
              <w:rPr>
                <w:sz w:val="20"/>
                <w:szCs w:val="20"/>
                <w:highlight w:val="none"/>
              </w:rPr>
            </w:r>
            <w:r>
              <w:rPr>
                <w:sz w:val="20"/>
                <w:szCs w:val="20"/>
                <w:highlight w:val="none"/>
              </w:rPr>
            </w:r>
          </w:p>
          <w:p>
            <w:pPr>
              <w:jc w:val="both"/>
              <w:widowControl w:val="off"/>
              <w:rPr>
                <w:sz w:val="20"/>
                <w:szCs w:val="20"/>
                <w:highlight w:val="none"/>
              </w:rPr>
            </w:pPr>
            <w:r>
              <w:rPr>
                <w:bCs/>
                <w:sz w:val="20"/>
                <w:szCs w:val="20"/>
                <w:highlight w:val="none"/>
              </w:rPr>
              <w:t xml:space="preserve">Дополнительная комиссия взимается и контроль оборотов осуществляется только при выборе опций: «Бонус за стабильность» или «Пятая неделя в подарок»</w:t>
            </w:r>
            <w:r>
              <w:rPr>
                <w:bCs/>
                <w:sz w:val="20"/>
                <w:szCs w:val="20"/>
                <w:highlight w:val="none"/>
              </w:rPr>
              <w:t xml:space="preserve"> или</w:t>
            </w:r>
            <w:r>
              <w:rPr>
                <w:bCs/>
                <w:sz w:val="20"/>
                <w:szCs w:val="20"/>
                <w:highlight w:val="none"/>
              </w:rPr>
              <w:t xml:space="preserve"> «Гибкий чек»</w:t>
            </w:r>
            <w:r>
              <w:rPr>
                <w:bCs/>
                <w:sz w:val="20"/>
                <w:szCs w:val="20"/>
                <w:highlight w:val="none"/>
              </w:rPr>
              <w:t xml:space="preserve"> или</w:t>
            </w:r>
            <w:r>
              <w:rPr>
                <w:bCs/>
                <w:sz w:val="20"/>
                <w:szCs w:val="20"/>
                <w:highlight w:val="none"/>
              </w:rPr>
              <w:t xml:space="preserve"> «Эквайринг за 0».</w:t>
            </w:r>
            <w:r>
              <w:rPr>
                <w:sz w:val="20"/>
                <w:szCs w:val="20"/>
                <w:highlight w:val="none"/>
              </w:rPr>
            </w:r>
            <w:r>
              <w:rPr>
                <w:sz w:val="20"/>
                <w:szCs w:val="20"/>
                <w:highlight w:val="none"/>
              </w:rPr>
            </w:r>
          </w:p>
        </w:tc>
      </w:tr>
      <w:tr>
        <w:tblPrEx/>
        <w:trPr/>
        <w:tc>
          <w:tcPr>
            <w:gridSpan w:val="2"/>
            <w:tcBorders>
              <w:top w:val="single" w:color="000000" w:sz="4" w:space="0"/>
              <w:left w:val="single" w:color="000000" w:sz="4" w:space="0"/>
              <w:bottom w:val="single" w:color="000000" w:sz="4" w:space="0"/>
              <w:right w:val="single" w:color="000000" w:sz="4" w:space="0"/>
            </w:tcBorders>
            <w:tcW w:w="709" w:type="dxa"/>
            <w:vAlign w:val="center"/>
            <w:vMerge w:val="restart"/>
            <w:textDirection w:val="lrTb"/>
            <w:noWrap w:val="false"/>
          </w:tcPr>
          <w:p>
            <w:pPr>
              <w:pStyle w:val="1424"/>
              <w:jc w:val="center"/>
              <w:widowControl w:val="off"/>
              <w:rPr>
                <w:sz w:val="20"/>
                <w:szCs w:val="20"/>
              </w:rPr>
            </w:pPr>
            <w:r>
              <w:rPr>
                <w:sz w:val="20"/>
                <w:szCs w:val="20"/>
              </w:rPr>
              <w:t xml:space="preserve">2.8.</w:t>
            </w:r>
            <w:r>
              <w:rPr>
                <w:sz w:val="20"/>
                <w:szCs w:val="20"/>
              </w:rPr>
            </w:r>
            <w:r>
              <w:rPr>
                <w:sz w:val="20"/>
                <w:szCs w:val="20"/>
              </w:rPr>
            </w:r>
          </w:p>
        </w:tc>
        <w:tc>
          <w:tcPr>
            <w:gridSpan w:val="5"/>
            <w:tcBorders>
              <w:top w:val="single" w:color="000000" w:sz="4" w:space="0"/>
              <w:left w:val="single" w:color="000000" w:sz="4" w:space="0"/>
              <w:bottom w:val="single" w:color="000000" w:sz="4" w:space="0"/>
              <w:right w:val="single" w:color="000000" w:sz="4" w:space="0"/>
            </w:tcBorders>
            <w:tcW w:w="9214" w:type="dxa"/>
            <w:vAlign w:val="center"/>
            <w:vMerge w:val="restart"/>
            <w:textDirection w:val="lrTb"/>
            <w:noWrap w:val="false"/>
          </w:tcPr>
          <w:p>
            <w:pPr>
              <w:jc w:val="both"/>
              <w:spacing w:before="120"/>
              <w:widowControl w:val="off"/>
              <w:tabs>
                <w:tab w:val="left" w:pos="-5245" w:leader="none"/>
                <w:tab w:val="left" w:pos="1276" w:leader="none"/>
              </w:tabs>
              <w:rPr>
                <w:rFonts w:ascii="Times New Roman" w:hAnsi="Times New Roman" w:eastAsia="Times New Roman" w:cs="Times New Roman"/>
                <w:b/>
                <w:bCs/>
                <w:sz w:val="22"/>
                <w:szCs w:val="22"/>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sz w:val="22"/>
                <w:szCs w:val="22"/>
                <w:highlight w:val="none"/>
              </w:rPr>
              <w:t xml:space="preserve">Предоставление услуг/сервисов партнеров Банка</w:t>
            </w:r>
            <w:r>
              <w:rPr>
                <w:rFonts w:ascii="Times New Roman" w:hAnsi="Times New Roman" w:eastAsia="Times New Roman" w:cs="Times New Roman"/>
                <w:b/>
                <w:bCs/>
                <w:sz w:val="22"/>
                <w:szCs w:val="22"/>
                <w:highlight w:val="none"/>
              </w:rPr>
            </w:r>
            <w:r>
              <w:rPr>
                <w:rFonts w:ascii="Times New Roman" w:hAnsi="Times New Roman" w:eastAsia="Times New Roman" w:cs="Times New Roman"/>
                <w:b/>
                <w:bCs/>
                <w:sz w:val="22"/>
                <w:szCs w:val="22"/>
                <w:highlight w:val="none"/>
              </w:rPr>
            </w:r>
          </w:p>
        </w:tc>
      </w:tr>
      <w:tr>
        <w:tblPrEx/>
        <w:trPr/>
        <w:tc>
          <w:tcPr>
            <w:gridSpan w:val="2"/>
            <w:tcBorders>
              <w:top w:val="single" w:color="000000" w:sz="4" w:space="0"/>
              <w:left w:val="single" w:color="000000" w:sz="4" w:space="0"/>
              <w:bottom w:val="single" w:color="000000" w:sz="4" w:space="0"/>
              <w:right w:val="single" w:color="000000" w:sz="4" w:space="0"/>
            </w:tcBorders>
            <w:tcW w:w="709" w:type="dxa"/>
            <w:vAlign w:val="center"/>
            <w:vMerge w:val="restart"/>
            <w:textDirection w:val="lrTb"/>
            <w:noWrap w:val="false"/>
          </w:tcPr>
          <w:p>
            <w:pPr>
              <w:jc w:val="both"/>
              <w:widowControl w:val="off"/>
              <w:rPr>
                <w:sz w:val="20"/>
                <w:szCs w:val="20"/>
                <w:highlight w:val="none"/>
                <w14:ligatures w14:val="none"/>
              </w:rPr>
            </w:pPr>
            <w:r>
              <w:rPr>
                <w:sz w:val="20"/>
                <w:szCs w:val="20"/>
                <w:highlight w:val="none"/>
              </w:rPr>
              <w:t xml:space="preserve">2.8.1.</w:t>
            </w:r>
            <w:r>
              <w:rPr>
                <w:sz w:val="20"/>
                <w:szCs w:val="20"/>
                <w:highlight w:val="none"/>
                <w14:ligatures w14:val="none"/>
              </w:rPr>
            </w:r>
            <w:r>
              <w:rPr>
                <w:sz w:val="20"/>
                <w:szCs w:val="20"/>
                <w:highlight w:val="none"/>
                <w14:ligatures w14:val="none"/>
              </w:rPr>
            </w:r>
          </w:p>
        </w:tc>
        <w:tc>
          <w:tcPr>
            <w:tcBorders>
              <w:top w:val="single" w:color="000000" w:sz="4" w:space="0"/>
              <w:left w:val="single" w:color="000000" w:sz="4" w:space="0"/>
              <w:bottom w:val="single" w:color="000000" w:sz="4" w:space="0"/>
              <w:right w:val="single" w:color="000000" w:sz="4" w:space="0"/>
            </w:tcBorders>
            <w:tcW w:w="2977" w:type="dxa"/>
            <w:vAlign w:val="center"/>
            <w:vMerge w:val="restart"/>
            <w:textDirection w:val="lrTb"/>
            <w:noWrap w:val="false"/>
          </w:tcPr>
          <w:p>
            <w:pPr>
              <w:jc w:val="both"/>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rPr>
              <w:t xml:space="preserve">Онлайн-касса с торговым эквайрингом</w:t>
            </w:r>
            <w:r>
              <w:rPr>
                <w:sz w:val="20"/>
                <w:szCs w:val="20"/>
                <w:highlight w:val="none"/>
              </w:rPr>
              <w:footnoteReference w:id="6"/>
            </w:r>
            <w:r>
              <w:rPr>
                <w:sz w:val="20"/>
                <w:szCs w:val="20"/>
                <w:highlight w:val="none"/>
                <w14:ligatures w14:val="none"/>
              </w:rPr>
            </w:r>
            <w:r>
              <w:rPr>
                <w:sz w:val="20"/>
                <w:szCs w:val="20"/>
                <w:highlight w:val="none"/>
                <w14:ligatures w14:val="none"/>
              </w:rPr>
            </w:r>
          </w:p>
        </w:tc>
        <w:tc>
          <w:tcPr>
            <w:gridSpan w:val="2"/>
            <w:tcBorders>
              <w:top w:val="single" w:color="000000" w:sz="4" w:space="0"/>
              <w:left w:val="single" w:color="000000" w:sz="4" w:space="0"/>
              <w:bottom w:val="single" w:color="000000" w:sz="4" w:space="0"/>
              <w:right w:val="single" w:color="000000" w:sz="4" w:space="0"/>
            </w:tcBorders>
            <w:tcW w:w="2410" w:type="dxa"/>
            <w:vAlign w:val="center"/>
            <w:vMerge w:val="restart"/>
            <w:textDirection w:val="lrTb"/>
            <w:noWrap w:val="false"/>
          </w:tcPr>
          <w:p>
            <w:pPr>
              <w:jc w:val="center"/>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rPr>
              <w:t xml:space="preserve">Не взимается</w:t>
            </w:r>
            <w:r>
              <w:rPr>
                <w:sz w:val="20"/>
                <w:szCs w:val="20"/>
                <w:highlight w:val="none"/>
                <w14:ligatures w14:val="none"/>
              </w:rPr>
            </w:r>
            <w:r>
              <w:rPr>
                <w:sz w:val="20"/>
                <w:szCs w:val="20"/>
                <w:highlight w:val="none"/>
                <w14:ligatures w14:val="none"/>
              </w:rPr>
            </w:r>
          </w:p>
        </w:tc>
        <w:tc>
          <w:tcPr>
            <w:gridSpan w:val="2"/>
            <w:tcBorders>
              <w:top w:val="single" w:color="000000" w:sz="4" w:space="0"/>
              <w:left w:val="single" w:color="000000" w:sz="4" w:space="0"/>
              <w:bottom w:val="single" w:color="000000" w:sz="4" w:space="0"/>
              <w:right w:val="single" w:color="000000" w:sz="4" w:space="0"/>
            </w:tcBorders>
            <w:tcW w:w="3827" w:type="dxa"/>
            <w:vAlign w:val="center"/>
            <w:vMerge w:val="restart"/>
            <w:textDirection w:val="lrTb"/>
            <w:noWrap w:val="false"/>
          </w:tcPr>
          <w:p>
            <w:pPr>
              <w:jc w:val="both"/>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rPr>
              <w:t xml:space="preserve">Оборудование</w:t>
            </w:r>
            <w:r>
              <w:rPr>
                <w:sz w:val="20"/>
                <w:szCs w:val="20"/>
                <w:highlight w:val="none"/>
                <w:vertAlign w:val="superscript"/>
              </w:rPr>
              <w:footnoteReference w:id="7"/>
            </w:r>
            <w:r>
              <w:rPr>
                <w:sz w:val="20"/>
                <w:szCs w:val="20"/>
                <w:highlight w:val="none"/>
              </w:rPr>
              <w:t xml:space="preserve"> и комплекс услуг предоставляются Клиенту на основании Договора на оказание услуг, заключенного между Партнером</w:t>
            </w:r>
            <w:r>
              <w:rPr>
                <w:sz w:val="20"/>
                <w:szCs w:val="20"/>
                <w:highlight w:val="none"/>
                <w:vertAlign w:val="superscript"/>
              </w:rPr>
              <w:footnoteReference w:id="8"/>
            </w:r>
            <w:r>
              <w:rPr>
                <w:sz w:val="20"/>
                <w:szCs w:val="20"/>
                <w:highlight w:val="none"/>
              </w:rPr>
              <w:t xml:space="preserve"> и Клиентом путем акцепта оферты, размещенной по адресу: </w:t>
            </w:r>
            <w:hyperlink r:id="rId14" w:tooltip="https://kassa.mts.ru/dogovor_kassapotarifam.pdf." w:history="1">
              <w:r>
                <w:rPr>
                  <w:sz w:val="20"/>
                  <w:szCs w:val="20"/>
                  <w:highlight w:val="none"/>
                </w:rPr>
                <w:t xml:space="preserve">https://kassa.mts.ru/dogovor_kassapotarifam.pdf.</w:t>
              </w:r>
            </w:hyperlink>
            <w:r>
              <w:rPr>
                <w:sz w:val="20"/>
                <w:szCs w:val="20"/>
                <w:highlight w:val="none"/>
              </w:rPr>
              <w:t xml:space="preserve">,</w:t>
            </w:r>
            <w:r>
              <w:rPr>
                <w:sz w:val="20"/>
                <w:szCs w:val="20"/>
                <w:highlight w:val="none"/>
              </w:rPr>
              <w:t xml:space="preserve"> </w:t>
            </w:r>
            <w:r>
              <w:rPr>
                <w:sz w:val="20"/>
                <w:szCs w:val="20"/>
                <w:highlight w:val="none"/>
              </w:rPr>
              <w:t xml:space="preserve">в</w:t>
            </w:r>
            <w:r>
              <w:rPr>
                <w:sz w:val="20"/>
                <w:szCs w:val="20"/>
                <w:highlight w:val="none"/>
              </w:rPr>
              <w:t xml:space="preserve"> порядке, определенном такой офертой</w:t>
            </w:r>
            <w:r>
              <w:rPr>
                <w:sz w:val="20"/>
                <w:szCs w:val="20"/>
                <w:highlight w:val="none"/>
                <w14:ligatures w14:val="none"/>
              </w:rPr>
            </w:r>
            <w:r>
              <w:rPr>
                <w:sz w:val="20"/>
                <w:szCs w:val="20"/>
                <w:highlight w:val="none"/>
                <w14:ligatures w14:val="none"/>
              </w:rPr>
            </w:r>
          </w:p>
        </w:tc>
      </w:tr>
    </w:tbl>
    <w:p>
      <w:pPr>
        <w:pStyle w:val="1424"/>
        <w:numPr>
          <w:ilvl w:val="0"/>
          <w:numId w:val="20"/>
        </w:numPr>
        <w:ind w:left="714" w:hanging="357"/>
        <w:jc w:val="center"/>
        <w:widowControl w:val="off"/>
        <w:rPr>
          <w:b/>
          <w:sz w:val="2"/>
          <w:szCs w:val="2"/>
        </w:rPr>
      </w:pPr>
      <w:r>
        <w:rPr>
          <w:b/>
          <w:sz w:val="2"/>
          <w:szCs w:val="2"/>
        </w:rPr>
      </w:r>
      <w:r>
        <w:rPr>
          <w:b/>
          <w:sz w:val="2"/>
          <w:szCs w:val="2"/>
        </w:rPr>
      </w:r>
      <w:r>
        <w:rPr>
          <w:b/>
          <w:sz w:val="2"/>
          <w:szCs w:val="2"/>
        </w:rPr>
      </w:r>
    </w:p>
    <w:p>
      <w:pPr>
        <w:ind w:firstLine="709"/>
        <w:jc w:val="both"/>
        <w:spacing w:before="120"/>
        <w:widowControl w:val="off"/>
        <w:tabs>
          <w:tab w:val="left" w:pos="-5245" w:leader="none"/>
          <w:tab w:val="left" w:pos="1276" w:leader="none"/>
        </w:tabs>
        <w:rPr>
          <w:highlight w:val="none"/>
          <w:lang w:val="en-US"/>
          <w14:ligatures w14:val="none"/>
        </w:rPr>
        <w:pBdr>
          <w:top w:val="none" w:color="000000" w:sz="4" w:space="0"/>
          <w:left w:val="none" w:color="000000" w:sz="4" w:space="0"/>
          <w:bottom w:val="none" w:color="000000" w:sz="4" w:space="0"/>
          <w:right w:val="none" w:color="000000" w:sz="4" w:space="0"/>
        </w:pBdr>
      </w:pPr>
      <w:r>
        <w:rPr>
          <w:lang w:val="en-US"/>
        </w:rPr>
      </w:r>
      <w:r>
        <w:rPr>
          <w:lang w:val="en-US"/>
        </w:rPr>
        <w:t xml:space="preserve">2.9. </w:t>
      </w:r>
      <w:r>
        <w:rPr>
          <w:lang w:val="en-US"/>
        </w:rPr>
        <w:t xml:space="preserve">О</w:t>
      </w:r>
      <w:r>
        <w:rPr>
          <w:lang w:val="en-US"/>
        </w:rPr>
        <w:t xml:space="preserve">пци</w:t>
      </w:r>
      <w:r>
        <w:rPr>
          <w:lang w:val="en-US"/>
        </w:rPr>
        <w:t xml:space="preserve">и</w:t>
      </w:r>
      <w:r>
        <w:rPr>
          <w:lang w:val="en-US"/>
        </w:rPr>
        <w:t xml:space="preserve"> с условиями на услуги торгового эквайринг</w:t>
      </w:r>
      <w:r>
        <w:rPr>
          <w:lang w:val="en-US"/>
        </w:rPr>
        <w:t xml:space="preserve">а</w:t>
      </w:r>
      <w:r>
        <w:rPr>
          <w:lang w:val="en-US"/>
        </w:rPr>
        <w:t xml:space="preserve"> к п. 2.7.1 ТП, Клиентом выбирается одна из перечисленных опций: </w:t>
      </w:r>
      <w:r>
        <w:rPr>
          <w:highlight w:val="none"/>
          <w:lang w:val="en-US"/>
          <w14:ligatures w14:val="none"/>
        </w:rPr>
      </w:r>
      <w:r>
        <w:rPr>
          <w:highlight w:val="none"/>
          <w:lang w:val="en-US"/>
          <w14:ligatures w14:val="none"/>
        </w:rPr>
      </w:r>
    </w:p>
    <w:tbl>
      <w:tblPr>
        <w:tblStyle w:val="1280"/>
        <w:tblW w:w="0" w:type="auto"/>
        <w:tblLayout w:type="fixed"/>
        <w:tblLook w:val="04A0" w:firstRow="1" w:lastRow="0" w:firstColumn="1" w:lastColumn="0" w:noHBand="0" w:noVBand="1"/>
      </w:tblPr>
      <w:tblGrid>
        <w:gridCol w:w="2552"/>
        <w:gridCol w:w="2409"/>
        <w:gridCol w:w="4926"/>
      </w:tblGrid>
      <w:tr>
        <w:tblPrEx/>
        <w:trPr>
          <w:trHeight w:val="231"/>
        </w:trPr>
        <w:tc>
          <w:tcPr>
            <w:gridSpan w:val="3"/>
            <w:tcW w:w="9887" w:type="dxa"/>
            <w:textDirection w:val="lrTb"/>
            <w:noWrap w:val="false"/>
          </w:tcPr>
          <w:p>
            <w:pPr>
              <w:pStyle w:val="1265"/>
              <w:rPr>
                <w:b/>
                <w:bCs/>
                <w:sz w:val="20"/>
                <w:szCs w:val="20"/>
                <w:highlight w:val="none"/>
              </w:rPr>
            </w:pPr>
            <w:r>
              <w:rPr>
                <w:b/>
                <w:bCs/>
                <w:sz w:val="20"/>
                <w:szCs w:val="20"/>
                <w:highlight w:val="none"/>
              </w:rPr>
            </w:r>
            <w:r>
              <w:rPr>
                <w:b/>
                <w:bCs/>
                <w:sz w:val="20"/>
                <w:szCs w:val="20"/>
                <w:highlight w:val="none"/>
              </w:rPr>
              <w:t xml:space="preserve"> </w:t>
            </w:r>
            <w:r>
              <w:rPr>
                <w:b/>
                <w:bCs/>
                <w:sz w:val="20"/>
                <w:szCs w:val="20"/>
                <w:highlight w:val="none"/>
              </w:rPr>
              <w:t xml:space="preserve">Опция «</w:t>
            </w:r>
            <w:r>
              <w:rPr>
                <w:b/>
                <w:bCs/>
                <w:sz w:val="20"/>
                <w:szCs w:val="20"/>
                <w:highlight w:val="none"/>
              </w:rPr>
              <w:t xml:space="preserve">РСХБ – Банк для расчетов»</w:t>
            </w:r>
            <w:r>
              <w:rPr>
                <w:b/>
                <w:bCs/>
                <w:sz w:val="20"/>
                <w:szCs w:val="20"/>
                <w:highlight w:val="none"/>
              </w:rPr>
            </w:r>
            <w:r>
              <w:rPr>
                <w:b/>
                <w:bCs/>
                <w:sz w:val="20"/>
                <w:szCs w:val="20"/>
                <w:highlight w:val="none"/>
              </w:rPr>
            </w:r>
          </w:p>
        </w:tc>
      </w:tr>
      <w:tr>
        <w:tblPrEx/>
        <w:trPr>
          <w:trHeight w:val="0"/>
        </w:trPr>
        <w:tc>
          <w:tcPr>
            <w:gridSpan w:val="3"/>
            <w:tcW w:w="9887" w:type="dxa"/>
            <w:textDirection w:val="lrTb"/>
            <w:noWrap w:val="false"/>
          </w:tcPr>
          <w:p>
            <w:pPr>
              <w:jc w:val="both"/>
              <w:spacing w:after="40"/>
              <w:widowControl w:val="off"/>
              <w:rPr>
                <w:sz w:val="20"/>
                <w:szCs w:val="20"/>
                <w:highlight w:val="none"/>
                <w:lang w:val="en-US"/>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Клиенту с ОКВЭД 56 </w:t>
            </w:r>
            <w:r>
              <w:rPr>
                <w:sz w:val="20"/>
                <w:szCs w:val="20"/>
                <w:highlight w:val="none"/>
                <w:lang w:val="en-US"/>
              </w:rPr>
              <w:t xml:space="preserve">предоставляется возможность обслуживания в рамках тарифного плана «Меню возможностей» </w:t>
            </w:r>
            <w:r>
              <w:rPr>
                <w:sz w:val="20"/>
                <w:szCs w:val="20"/>
                <w:highlight w:val="none"/>
                <w:lang w:val="en-US"/>
              </w:rPr>
              <w:t xml:space="preserve">в</w:t>
            </w:r>
            <w:r>
              <w:rPr>
                <w:sz w:val="20"/>
                <w:szCs w:val="20"/>
                <w:highlight w:val="none"/>
                <w:lang w:val="en-US"/>
              </w:rPr>
              <w:t xml:space="preserve">не</w:t>
            </w:r>
            <w:r>
              <w:rPr>
                <w:sz w:val="20"/>
                <w:szCs w:val="20"/>
                <w:highlight w:val="none"/>
                <w:lang w:val="en-US"/>
              </w:rPr>
              <w:t xml:space="preserve"> </w:t>
            </w:r>
            <w:r>
              <w:rPr>
                <w:sz w:val="20"/>
                <w:szCs w:val="20"/>
                <w:highlight w:val="none"/>
                <w:lang w:val="en-US"/>
              </w:rPr>
              <w:t xml:space="preserve">зависимости от наличия</w:t>
            </w:r>
            <w:r>
              <w:rPr>
                <w:sz w:val="20"/>
                <w:szCs w:val="20"/>
                <w:highlight w:val="none"/>
                <w:lang w:val="en-US"/>
              </w:rPr>
              <w:t xml:space="preserve"> </w:t>
            </w:r>
            <w:r>
              <w:rPr>
                <w:sz w:val="20"/>
                <w:szCs w:val="20"/>
                <w:highlight w:val="none"/>
                <w:lang w:val="en-US"/>
              </w:rPr>
              <w:t xml:space="preserve"> договора эквайринга</w:t>
            </w:r>
            <w:r>
              <w:rPr>
                <w:sz w:val="20"/>
                <w:szCs w:val="20"/>
                <w:highlight w:val="none"/>
                <w:lang w:val="en-US"/>
              </w:rPr>
              <w:t xml:space="preserve">, заключенного с Банком</w:t>
            </w:r>
            <w:r>
              <w:rPr>
                <w:sz w:val="20"/>
                <w:szCs w:val="20"/>
                <w:highlight w:val="none"/>
                <w:lang w:val="en-US"/>
              </w:rPr>
              <w:t xml:space="preserve">.</w:t>
            </w:r>
            <w:r>
              <w:rPr>
                <w:sz w:val="20"/>
                <w:szCs w:val="20"/>
                <w:highlight w:val="none"/>
                <w:lang w:val="en-US"/>
                <w14:ligatures w14:val="none"/>
              </w:rPr>
            </w:r>
            <w:r>
              <w:rPr>
                <w:sz w:val="20"/>
                <w:szCs w:val="20"/>
                <w:highlight w:val="none"/>
                <w:lang w:val="en-US"/>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r>
            <w:r>
              <w:rPr>
                <w:sz w:val="20"/>
                <w:szCs w:val="20"/>
                <w:highlight w:val="none"/>
                <w:lang w:val="en-US"/>
              </w:rPr>
              <w:t xml:space="preserve">Услуги эквайринга могут быть предоставлены </w:t>
            </w:r>
            <w:r>
              <w:rPr>
                <w:sz w:val="20"/>
                <w:szCs w:val="20"/>
                <w:highlight w:val="none"/>
                <w:lang w:val="en-US"/>
              </w:rPr>
              <w:t xml:space="preserve">К</w:t>
            </w:r>
            <w:r>
              <w:rPr>
                <w:sz w:val="20"/>
                <w:szCs w:val="20"/>
                <w:highlight w:val="none"/>
                <w:lang w:val="en-US"/>
              </w:rPr>
              <w:t xml:space="preserve">лиенту иным банком или платежной системой, однако финансовые операции (зачисление и списание денежных средств) должны осуществляться исключительно через расчетный счет, открытый в </w:t>
            </w:r>
            <w:r>
              <w:rPr>
                <w:sz w:val="20"/>
                <w:szCs w:val="20"/>
                <w:highlight w:val="none"/>
                <w:lang w:val="en-US"/>
              </w:rPr>
              <w:t xml:space="preserve">Банке</w:t>
            </w:r>
            <w:r>
              <w:rPr>
                <w:sz w:val="20"/>
                <w:szCs w:val="20"/>
                <w:highlight w:val="none"/>
                <w:lang w:val="en-US"/>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Клиент </w:t>
            </w:r>
            <w:r>
              <w:rPr>
                <w:sz w:val="20"/>
                <w:szCs w:val="20"/>
                <w:highlight w:val="none"/>
                <w:lang w:val="en-US"/>
              </w:rPr>
              <w:t xml:space="preserve">обязуется указать </w:t>
            </w:r>
            <w:r>
              <w:rPr>
                <w:sz w:val="20"/>
                <w:szCs w:val="20"/>
                <w:highlight w:val="none"/>
                <w:lang w:val="en-US"/>
              </w:rPr>
              <w:t xml:space="preserve">в рамках договора эквайринга, заключенного с иным банком или платежной системой</w:t>
            </w:r>
            <w:r>
              <w:rPr>
                <w:sz w:val="20"/>
                <w:szCs w:val="20"/>
                <w:highlight w:val="none"/>
                <w:lang w:val="en-US"/>
              </w:rPr>
              <w:t xml:space="preserve">,</w:t>
            </w:r>
            <w:r>
              <w:rPr>
                <w:sz w:val="20"/>
                <w:szCs w:val="20"/>
                <w:highlight w:val="none"/>
                <w:lang w:val="en-US"/>
              </w:rPr>
              <w:t xml:space="preserve"> </w:t>
            </w:r>
            <w:r>
              <w:rPr>
                <w:sz w:val="20"/>
                <w:szCs w:val="20"/>
                <w:highlight w:val="none"/>
                <w:lang w:val="en-US"/>
              </w:rPr>
              <w:t xml:space="preserve">свой расчетный счет, открытый в Банке</w:t>
            </w:r>
            <w:r>
              <w:rPr>
                <w:sz w:val="20"/>
                <w:szCs w:val="20"/>
                <w:highlight w:val="none"/>
                <w:lang w:val="en-US"/>
              </w:rPr>
              <w:t xml:space="preserve">, в качестве основного счета зачисления денежных средств по операциям эквайринга.</w:t>
            </w:r>
            <w:r>
              <w:rPr>
                <w:sz w:val="20"/>
                <w:szCs w:val="20"/>
                <w:highlight w:val="none"/>
                <w14:ligatures w14:val="none"/>
              </w:rPr>
            </w:r>
            <w:r>
              <w:rPr>
                <w:sz w:val="20"/>
                <w:szCs w:val="20"/>
                <w:highlight w:val="none"/>
                <w14:ligatures w14:val="none"/>
              </w:rPr>
            </w:r>
          </w:p>
          <w:p>
            <w:pPr>
              <w:jc w:val="both"/>
              <w:spacing w:after="40"/>
              <w:widowControl w:val="off"/>
              <w:tabs>
                <w:tab w:val="left" w:pos="11055" w:leader="none"/>
              </w:tabs>
              <w:rPr>
                <w:sz w:val="20"/>
                <w:szCs w:val="20"/>
                <w:highlight w:val="none"/>
                <w:lang w:val="en-US"/>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14:ligatures w14:val="none"/>
              </w:rPr>
            </w:r>
            <w:r>
              <w:rPr>
                <w:sz w:val="20"/>
                <w:szCs w:val="20"/>
                <w:highlight w:val="none"/>
                <w:lang w:val="en-US"/>
              </w:rPr>
              <w:t xml:space="preserve">Клиент обязуется не закрывать и не изменять реквизиты </w:t>
            </w:r>
            <w:r>
              <w:rPr>
                <w:sz w:val="20"/>
                <w:szCs w:val="20"/>
                <w:highlight w:val="none"/>
                <w:lang w:val="en-US"/>
              </w:rPr>
              <w:t xml:space="preserve">расчетного </w:t>
            </w:r>
            <w:r>
              <w:rPr>
                <w:sz w:val="20"/>
                <w:szCs w:val="20"/>
                <w:highlight w:val="none"/>
                <w:lang w:val="en-US"/>
              </w:rPr>
              <w:t xml:space="preserve">счета зачисления без уведомления Банка.</w:t>
            </w:r>
            <w:r>
              <w:rPr>
                <w:sz w:val="20"/>
                <w:szCs w:val="20"/>
                <w:highlight w:val="none"/>
                <w:lang w:val="en-US"/>
              </w:rPr>
              <w:t xml:space="preserve"> В случае несоблюдения Клиентом требования об использовании расчетного счета, открытого в Банке, в качестве основного счета зачисления денежных средств по операциям эквайринга, </w:t>
            </w:r>
            <w:r>
              <w:rPr>
                <w:sz w:val="20"/>
                <w:szCs w:val="20"/>
                <w:highlight w:val="none"/>
                <w:lang w:val="en-US"/>
              </w:rPr>
              <w:t xml:space="preserve">Клиент переводится на обслуживание на Тарифы Банка </w:t>
            </w:r>
            <w:r>
              <w:rPr>
                <w:rFonts w:eastAsia="Batang"/>
                <w:color w:val="000000"/>
                <w:sz w:val="20"/>
                <w:szCs w:val="20"/>
                <w:highlight w:val="none"/>
              </w:rPr>
              <w:t xml:space="preserve">с первого числа </w:t>
            </w:r>
            <w:r>
              <w:rPr>
                <w:rFonts w:eastAsia="Batang"/>
                <w:color w:val="000000"/>
                <w:sz w:val="20"/>
                <w:szCs w:val="20"/>
                <w:highlight w:val="none"/>
              </w:rPr>
              <w:t xml:space="preserve">календа</w:t>
            </w:r>
            <w:r>
              <w:rPr>
                <w:rFonts w:eastAsia="Batang"/>
                <w:color w:val="000000"/>
                <w:sz w:val="20"/>
                <w:szCs w:val="20"/>
                <w:highlight w:val="none"/>
                <w14:ligatures w14:val="none"/>
              </w:rPr>
              <w:t xml:space="preserve">рного месяца</w:t>
            </w:r>
            <w:r>
              <w:rPr>
                <w:sz w:val="20"/>
                <w:szCs w:val="20"/>
                <w:highlight w:val="none"/>
                <w:lang w:val="en-US"/>
              </w:rPr>
              <w:t xml:space="preserve">,</w:t>
            </w:r>
            <w:r>
              <w:rPr>
                <w:sz w:val="20"/>
                <w:szCs w:val="20"/>
                <w:highlight w:val="none"/>
                <w:lang w:val="en-US"/>
              </w:rPr>
              <w:t xml:space="preserve"> следующего за месяцем, в котором произошло несоблюдение Клиентом данного требования. </w:t>
            </w:r>
            <w:r>
              <w:rPr>
                <w:sz w:val="20"/>
                <w:szCs w:val="20"/>
                <w:highlight w:val="none"/>
                <w:lang w:val="en-US"/>
                <w14:ligatures w14:val="none"/>
              </w:rPr>
            </w:r>
            <w:r>
              <w:rPr>
                <w:sz w:val="20"/>
                <w:szCs w:val="20"/>
                <w:highlight w:val="none"/>
                <w:lang w:val="en-US"/>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r>
            <w:r>
              <w:rPr>
                <w:sz w:val="20"/>
                <w:szCs w:val="20"/>
                <w:highlight w:val="none"/>
                <w:lang w:val="en-US"/>
              </w:rPr>
              <w:t xml:space="preserve">Период</w:t>
            </w:r>
            <w:r>
              <w:rPr>
                <w:sz w:val="20"/>
                <w:szCs w:val="20"/>
                <w:highlight w:val="none"/>
                <w:lang w:val="en-US"/>
              </w:rPr>
              <w:t xml:space="preserve"> </w:t>
            </w:r>
            <w:r>
              <w:rPr>
                <w:sz w:val="20"/>
                <w:szCs w:val="20"/>
                <w:highlight w:val="none"/>
                <w:lang w:val="en-US"/>
              </w:rPr>
              <w:t xml:space="preserve">подключения</w:t>
            </w:r>
            <w:r>
              <w:rPr>
                <w:sz w:val="20"/>
                <w:szCs w:val="20"/>
                <w:highlight w:val="none"/>
                <w:lang w:val="en-US"/>
              </w:rPr>
              <w:t xml:space="preserve"> опции: </w:t>
            </w:r>
            <w:r>
              <w:rPr>
                <w:sz w:val="20"/>
                <w:szCs w:val="20"/>
                <w:highlight w:val="none"/>
                <w:lang w:val="en-US"/>
              </w:rPr>
              <w:t xml:space="preserve">с 18.08.2025 до 30.09.2026</w:t>
            </w:r>
            <w:r>
              <w:rPr>
                <w:sz w:val="20"/>
                <w:szCs w:val="20"/>
                <w:highlight w:val="none"/>
                <w:lang w:val="en-US"/>
              </w:rPr>
              <w:t xml:space="preserve"> года</w:t>
            </w:r>
            <w:r>
              <w:rPr>
                <w:sz w:val="20"/>
                <w:szCs w:val="20"/>
                <w:highlight w:val="none"/>
                <w:lang w:val="en-US"/>
              </w:rPr>
              <w:t xml:space="preserve">.</w:t>
            </w:r>
            <w:r>
              <w:rPr>
                <w:sz w:val="20"/>
                <w:szCs w:val="20"/>
                <w:highlight w:val="none"/>
                <w14:ligatures w14:val="none"/>
              </w:rPr>
            </w:r>
            <w:r>
              <w:rPr>
                <w:sz w:val="20"/>
                <w:szCs w:val="20"/>
                <w:highlight w:val="none"/>
                <w14:ligatures w14:val="none"/>
              </w:rPr>
            </w:r>
          </w:p>
          <w:p>
            <w:pPr>
              <w:jc w:val="both"/>
              <w:spacing w:after="40"/>
              <w:widowControl w:val="off"/>
              <w:tabs>
                <w:tab w:val="left" w:pos="11055" w:leader="none"/>
              </w:tabs>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Период обслуживания по </w:t>
            </w:r>
            <w:r>
              <w:rPr>
                <w:sz w:val="20"/>
                <w:szCs w:val="20"/>
                <w:highlight w:val="none"/>
                <w:lang w:val="en-US"/>
              </w:rPr>
              <w:t xml:space="preserve">опции: </w:t>
            </w:r>
            <w:r>
              <w:rPr>
                <w:sz w:val="20"/>
                <w:szCs w:val="20"/>
                <w:highlight w:val="none"/>
                <w:lang w:val="en-US"/>
              </w:rPr>
              <w:t xml:space="preserve">с </w:t>
            </w:r>
            <w:r>
              <w:rPr>
                <w:sz w:val="20"/>
                <w:szCs w:val="20"/>
                <w:highlight w:val="none"/>
                <w:lang w:val="en-US"/>
              </w:rPr>
              <w:t xml:space="preserve">даты под</w:t>
            </w:r>
            <w:r>
              <w:rPr>
                <w:sz w:val="20"/>
                <w:szCs w:val="20"/>
                <w:highlight w:val="none"/>
                <w:lang w:val="en-US"/>
              </w:rPr>
              <w:t xml:space="preserve">к</w:t>
            </w:r>
            <w:r>
              <w:rPr>
                <w:sz w:val="20"/>
                <w:szCs w:val="20"/>
                <w:highlight w:val="none"/>
                <w:lang w:val="en-US"/>
              </w:rPr>
              <w:t xml:space="preserve">л</w:t>
            </w:r>
            <w:r>
              <w:rPr>
                <w:sz w:val="20"/>
                <w:szCs w:val="20"/>
                <w:highlight w:val="none"/>
                <w:lang w:val="en-US"/>
              </w:rPr>
              <w:t xml:space="preserve">ючения Клиенту Опции</w:t>
            </w:r>
            <w:r>
              <w:rPr>
                <w:sz w:val="20"/>
                <w:szCs w:val="20"/>
                <w:highlight w:val="none"/>
                <w:lang w:val="en-US"/>
              </w:rPr>
              <w:t xml:space="preserve"> д</w:t>
            </w:r>
            <w:r>
              <w:rPr>
                <w:sz w:val="20"/>
                <w:szCs w:val="20"/>
                <w:highlight w:val="none"/>
                <w:lang w:val="en-US"/>
              </w:rPr>
              <w:t xml:space="preserve">о 31.07.2027</w:t>
            </w:r>
            <w:r>
              <w:rPr>
                <w:sz w:val="20"/>
                <w:szCs w:val="20"/>
                <w:highlight w:val="none"/>
                <w:lang w:val="en-US"/>
              </w:rPr>
              <w:t xml:space="preserve"> года</w:t>
            </w:r>
            <w:r>
              <w:rPr>
                <w:sz w:val="20"/>
                <w:szCs w:val="20"/>
                <w:highlight w:val="none"/>
                <w:lang w:val="en-US"/>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lang w:val="en-US"/>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После прекращения действия опции Клиент переводится на обслуживание</w:t>
            </w:r>
            <w:r>
              <w:rPr>
                <w:sz w:val="20"/>
                <w:szCs w:val="20"/>
                <w:highlight w:val="none"/>
                <w:lang w:val="en-US"/>
              </w:rPr>
              <w:t xml:space="preserve"> с ТП</w:t>
            </w:r>
            <w:r>
              <w:rPr>
                <w:sz w:val="20"/>
                <w:szCs w:val="20"/>
                <w:highlight w:val="none"/>
                <w:lang w:val="en-US"/>
              </w:rPr>
              <w:t xml:space="preserve"> на Тарифы Банка.</w:t>
            </w:r>
            <w:r>
              <w:rPr>
                <w:sz w:val="20"/>
                <w:szCs w:val="20"/>
                <w:highlight w:val="none"/>
                <w:lang w:val="en-US"/>
              </w:rPr>
              <w:t xml:space="preserve"> </w:t>
            </w:r>
            <w:r>
              <w:rPr>
                <w:sz w:val="20"/>
                <w:szCs w:val="20"/>
                <w:highlight w:val="none"/>
                <w:lang w:val="en-US"/>
                <w14:ligatures w14:val="none"/>
              </w:rPr>
            </w:r>
            <w:r>
              <w:rPr>
                <w:sz w:val="20"/>
                <w:szCs w:val="20"/>
                <w:highlight w:val="none"/>
                <w:lang w:val="en-US"/>
                <w14:ligatures w14:val="none"/>
              </w:rPr>
            </w:r>
          </w:p>
        </w:tc>
      </w:tr>
      <w:tr>
        <w:tblPrEx/>
        <w:trPr/>
        <w:tc>
          <w:tcPr>
            <w:gridSpan w:val="3"/>
            <w:tcW w:w="9887" w:type="dxa"/>
            <w:vMerge w:val="restart"/>
            <w:textDirection w:val="lrTb"/>
            <w:noWrap w:val="false"/>
          </w:tcPr>
          <w:p>
            <w:pPr>
              <w:pStyle w:val="1265"/>
              <w:rPr>
                <w:rFonts w:ascii="Times New Roman" w:hAnsi="Times New Roman" w:eastAsia="Times New Roman" w:cs="Times New Roman"/>
                <w:b/>
                <w:bCs/>
                <w:sz w:val="22"/>
                <w:szCs w:val="22"/>
                <w:highlight w:val="none"/>
              </w:rPr>
            </w:pPr>
            <w:r>
              <w:rPr>
                <w:rFonts w:ascii="Times New Roman" w:hAnsi="Times New Roman" w:eastAsia="Times New Roman" w:cs="Times New Roman"/>
                <w:b/>
                <w:bCs/>
                <w:sz w:val="20"/>
                <w:szCs w:val="20"/>
                <w:highlight w:val="none"/>
              </w:rPr>
            </w:r>
            <w:r>
              <w:rPr>
                <w:b/>
                <w:bCs/>
                <w:sz w:val="20"/>
                <w:szCs w:val="20"/>
              </w:rPr>
              <w:t xml:space="preserve">Опция </w:t>
            </w:r>
            <w:r>
              <w:rPr>
                <w:b/>
                <w:bCs/>
                <w:sz w:val="20"/>
                <w:szCs w:val="20"/>
                <w:highlight w:val="none"/>
              </w:rPr>
              <w:t xml:space="preserve">«</w:t>
            </w:r>
            <w:r>
              <w:rPr>
                <w:rFonts w:ascii="Times New Roman" w:hAnsi="Times New Roman" w:eastAsia="Times New Roman" w:cs="Times New Roman"/>
                <w:b/>
                <w:bCs/>
                <w:i w:val="0"/>
                <w:iCs w:val="0"/>
                <w:caps w:val="0"/>
                <w:smallCaps w:val="0"/>
                <w:strike w:val="0"/>
                <w:color w:val="000000" w:themeColor="dark1"/>
                <w:spacing w:val="0"/>
                <w:sz w:val="20"/>
                <w:szCs w:val="20"/>
                <w:highlight w:val="none"/>
                <w:u w:val="none"/>
                <w:lang w:val="en-US"/>
              </w:rPr>
              <w:t xml:space="preserve">Бонус за стабильность</w:t>
            </w:r>
            <w:r>
              <w:rPr>
                <w:b/>
                <w:bCs/>
                <w:sz w:val="20"/>
                <w:szCs w:val="20"/>
                <w:highlight w:val="none"/>
              </w:rPr>
              <w:t xml:space="preserve">»</w:t>
            </w:r>
            <w:r>
              <w:rPr>
                <w:rFonts w:ascii="Times New Roman" w:hAnsi="Times New Roman" w:eastAsia="Times New Roman" w:cs="Times New Roman"/>
                <w:b/>
                <w:bCs/>
                <w:sz w:val="22"/>
                <w:szCs w:val="22"/>
                <w:highlight w:val="none"/>
              </w:rPr>
            </w:r>
            <w:r>
              <w:rPr>
                <w:rFonts w:ascii="Times New Roman" w:hAnsi="Times New Roman" w:eastAsia="Times New Roman" w:cs="Times New Roman"/>
                <w:b/>
                <w:bCs/>
                <w:sz w:val="22"/>
                <w:szCs w:val="22"/>
                <w:highlight w:val="none"/>
              </w:rPr>
            </w:r>
          </w:p>
        </w:tc>
      </w:tr>
      <w:tr>
        <w:tblPrEx/>
        <w:trPr/>
        <w:tc>
          <w:tcPr>
            <w:gridSpan w:val="3"/>
            <w:tcW w:w="9887" w:type="dxa"/>
            <w:vMerge w:val="restart"/>
            <w:textDirection w:val="lrTb"/>
            <w:noWrap w:val="false"/>
          </w:tcPr>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При поддержании Клиентом </w:t>
            </w:r>
            <w:r>
              <w:rPr>
                <w:sz w:val="20"/>
                <w:szCs w:val="20"/>
                <w:highlight w:val="none"/>
                <w:lang w:val="en-US"/>
              </w:rPr>
              <w:t xml:space="preserve">с ОКВЭД 56 </w:t>
            </w:r>
            <w:r>
              <w:rPr>
                <w:sz w:val="20"/>
                <w:szCs w:val="20"/>
                <w:highlight w:val="none"/>
                <w:lang w:val="en-US"/>
              </w:rPr>
              <w:t xml:space="preserve">и МСС 5814 на расчетных счетах </w:t>
            </w:r>
            <w:r>
              <w:rPr>
                <w:sz w:val="20"/>
                <w:szCs w:val="20"/>
                <w:highlight w:val="none"/>
                <w:lang w:val="en-US"/>
              </w:rPr>
              <w:t xml:space="preserve">К</w:t>
            </w:r>
            <w:r>
              <w:rPr>
                <w:sz w:val="20"/>
                <w:szCs w:val="20"/>
                <w:highlight w:val="none"/>
                <w:lang w:val="en-US"/>
              </w:rPr>
              <w:t xml:space="preserve">лиента, открытых в Банке</w:t>
            </w:r>
            <w:r>
              <w:rPr>
                <w:sz w:val="20"/>
                <w:szCs w:val="20"/>
                <w:highlight w:val="none"/>
                <w:lang w:val="en-US"/>
              </w:rPr>
              <w:t xml:space="preserve">,</w:t>
            </w:r>
            <w:r>
              <w:rPr>
                <w:sz w:val="20"/>
                <w:szCs w:val="20"/>
                <w:highlight w:val="none"/>
                <w:lang w:val="en-US"/>
              </w:rPr>
              <w:t xml:space="preserve"> </w:t>
            </w:r>
            <w:r>
              <w:rPr>
                <w:sz w:val="20"/>
                <w:szCs w:val="20"/>
                <w:highlight w:val="none"/>
                <w:lang w:val="en-US"/>
              </w:rPr>
              <w:t xml:space="preserve">неснижаемого остатка в размере не менее 150 000 рублей (учитывается совокупный остаток </w:t>
            </w:r>
            <w:r>
              <w:rPr>
                <w:sz w:val="20"/>
                <w:szCs w:val="20"/>
                <w:highlight w:val="none"/>
                <w:lang w:val="en-US"/>
              </w:rPr>
              <w:t xml:space="preserve">по всем </w:t>
            </w:r>
            <w:r>
              <w:rPr>
                <w:sz w:val="20"/>
                <w:szCs w:val="20"/>
                <w:highlight w:val="none"/>
                <w:lang w:val="en-US"/>
              </w:rPr>
              <w:t xml:space="preserve"> расчетны</w:t>
            </w:r>
            <w:r>
              <w:rPr>
                <w:sz w:val="20"/>
                <w:szCs w:val="20"/>
                <w:highlight w:val="none"/>
                <w:lang w:val="en-US"/>
              </w:rPr>
              <w:t xml:space="preserve">м</w:t>
            </w:r>
            <w:r>
              <w:rPr>
                <w:sz w:val="20"/>
                <w:szCs w:val="20"/>
                <w:highlight w:val="none"/>
                <w:lang w:val="en-US"/>
              </w:rPr>
              <w:t xml:space="preserve"> счета</w:t>
            </w:r>
            <w:r>
              <w:rPr>
                <w:sz w:val="20"/>
                <w:szCs w:val="20"/>
                <w:highlight w:val="none"/>
                <w:lang w:val="en-US"/>
              </w:rPr>
              <w:t xml:space="preserve">м</w:t>
            </w:r>
            <w:r>
              <w:rPr>
                <w:sz w:val="20"/>
                <w:szCs w:val="20"/>
                <w:highlight w:val="none"/>
                <w:lang w:val="en-US"/>
              </w:rPr>
              <w:t xml:space="preserve"> Клиента</w:t>
            </w:r>
            <w:r>
              <w:rPr>
                <w:sz w:val="20"/>
                <w:szCs w:val="20"/>
                <w:highlight w:val="none"/>
                <w:lang w:val="en-US"/>
              </w:rPr>
              <w:t xml:space="preserve">,</w:t>
            </w:r>
            <w:r>
              <w:rPr>
                <w:sz w:val="20"/>
                <w:szCs w:val="20"/>
                <w:highlight w:val="none"/>
                <w:lang w:val="en-US"/>
              </w:rPr>
              <w:t xml:space="preserve"> открыты</w:t>
            </w:r>
            <w:r>
              <w:rPr>
                <w:sz w:val="20"/>
                <w:szCs w:val="20"/>
                <w:highlight w:val="none"/>
                <w:lang w:val="en-US"/>
              </w:rPr>
              <w:t xml:space="preserve">м</w:t>
            </w:r>
            <w:r>
              <w:rPr>
                <w:sz w:val="20"/>
                <w:szCs w:val="20"/>
                <w:highlight w:val="none"/>
                <w:lang w:val="en-US"/>
              </w:rPr>
              <w:t xml:space="preserve"> в Банке</w:t>
            </w:r>
            <w:r>
              <w:rPr>
                <w:sz w:val="20"/>
                <w:szCs w:val="20"/>
                <w:highlight w:val="none"/>
                <w:lang w:val="en-US"/>
              </w:rPr>
              <w:t xml:space="preserve">)</w:t>
            </w:r>
            <w:r>
              <w:rPr>
                <w:sz w:val="20"/>
                <w:szCs w:val="20"/>
                <w:highlight w:val="none"/>
                <w:lang w:val="en-US"/>
              </w:rPr>
              <w:t xml:space="preserve">,</w:t>
            </w:r>
            <w:r>
              <w:rPr>
                <w:sz w:val="20"/>
                <w:szCs w:val="20"/>
                <w:highlight w:val="none"/>
                <w:lang w:val="en-US"/>
              </w:rPr>
              <w:t xml:space="preserve"> </w:t>
            </w:r>
            <w:r>
              <w:rPr>
                <w:sz w:val="20"/>
                <w:szCs w:val="20"/>
                <w:highlight w:val="none"/>
                <w:lang w:val="en-US"/>
              </w:rPr>
              <w:t xml:space="preserve">устанавливается фиксированн</w:t>
            </w:r>
            <w:r>
              <w:rPr>
                <w:sz w:val="20"/>
                <w:szCs w:val="20"/>
                <w:highlight w:val="none"/>
                <w:lang w:val="en-US"/>
              </w:rPr>
              <w:t xml:space="preserve">ый размер комиссионного вознаграждения по услуге “Торговый эквайринг </w:t>
            </w:r>
            <w:r>
              <w:rPr>
                <w:sz w:val="20"/>
                <w:szCs w:val="20"/>
                <w:highlight w:val="none"/>
                <w:lang w:val="en-US"/>
              </w:rPr>
              <w:t xml:space="preserve">согласно Таблице ниже</w:t>
            </w:r>
            <w:r>
              <w:rPr>
                <w:sz w:val="20"/>
                <w:szCs w:val="20"/>
                <w:highlight w:val="none"/>
                <w:lang w:val="en-US"/>
              </w:rPr>
              <w:t xml:space="preserve">. </w:t>
            </w:r>
            <w:r>
              <w:rPr>
                <w:sz w:val="20"/>
                <w:szCs w:val="20"/>
                <w:highlight w:val="none"/>
                <w14:ligatures w14:val="none"/>
              </w:rPr>
            </w:r>
            <w:r>
              <w:rPr>
                <w:sz w:val="20"/>
                <w:szCs w:val="20"/>
                <w:highlight w:val="none"/>
                <w14:ligatures w14:val="none"/>
              </w:rPr>
            </w:r>
          </w:p>
          <w:p>
            <w:pPr>
              <w:rPr>
                <w:sz w:val="20"/>
                <w:szCs w:val="20"/>
                <w:highlight w:val="none"/>
                <w:lang w:val="en-US"/>
              </w:rPr>
            </w:pPr>
            <w:r>
              <w:rPr>
                <w:sz w:val="20"/>
                <w:szCs w:val="20"/>
              </w:rPr>
            </w:r>
            <w:r>
              <w:rPr>
                <w:sz w:val="20"/>
                <w:szCs w:val="20"/>
                <w:highlight w:val="none"/>
                <w:lang w:val="en-US"/>
              </w:rPr>
              <w:t xml:space="preserve">Клиенту с МСС 5814</w:t>
            </w:r>
            <w:r>
              <w:rPr>
                <w:sz w:val="20"/>
                <w:szCs w:val="20"/>
                <w:highlight w:val="none"/>
                <w:lang w:val="en-US"/>
              </w:rPr>
              <w:t xml:space="preserve">, выбравшему Опцию “Бонус за стабильность”,</w:t>
            </w:r>
            <w:r>
              <w:rPr>
                <w:sz w:val="20"/>
                <w:szCs w:val="20"/>
                <w:highlight w:val="none"/>
                <w:lang w:val="en-US"/>
              </w:rPr>
              <w:t xml:space="preserve"> </w:t>
            </w:r>
            <w:r>
              <w:rPr>
                <w:sz w:val="20"/>
                <w:szCs w:val="20"/>
                <w:highlight w:val="none"/>
                <w:lang w:val="en-US"/>
              </w:rPr>
              <w:t xml:space="preserve"> </w:t>
            </w:r>
            <w:r>
              <w:rPr>
                <w:sz w:val="20"/>
                <w:szCs w:val="20"/>
                <w:highlight w:val="none"/>
                <w:lang w:val="en-US"/>
              </w:rPr>
              <w:t xml:space="preserve">предоставляется возможность подключения </w:t>
            </w:r>
            <w:r>
              <w:rPr>
                <w:sz w:val="20"/>
                <w:szCs w:val="20"/>
                <w:highlight w:val="none"/>
                <w:lang w:val="en-US"/>
              </w:rPr>
              <w:t xml:space="preserve">дополнительных МСС: 5811, </w:t>
            </w:r>
            <w:r>
              <w:rPr>
                <w:sz w:val="20"/>
                <w:szCs w:val="20"/>
                <w:highlight w:val="none"/>
                <w:lang w:val="en-US"/>
              </w:rPr>
              <w:t xml:space="preserve">5812, 5813, 5441, 5462, 7011 </w:t>
            </w:r>
            <w:r>
              <w:rPr>
                <w:sz w:val="20"/>
                <w:szCs w:val="20"/>
                <w:highlight w:val="none"/>
                <w:lang w:val="en-US"/>
              </w:rPr>
              <w:t xml:space="preserve">к </w:t>
            </w:r>
            <w:r>
              <w:rPr>
                <w:sz w:val="20"/>
                <w:szCs w:val="20"/>
                <w:highlight w:val="none"/>
                <w:lang w:val="en-US"/>
              </w:rPr>
              <w:t xml:space="preserve">обслуживанию в рамках опции “Бонус за стабильность</w:t>
            </w:r>
            <w:r>
              <w:rPr>
                <w:sz w:val="20"/>
                <w:szCs w:val="20"/>
                <w:highlight w:val="none"/>
                <w:lang w:val="en-US"/>
              </w:rPr>
              <w:t xml:space="preserve">”</w:t>
            </w:r>
            <w:r>
              <w:rPr>
                <w:sz w:val="20"/>
                <w:szCs w:val="20"/>
                <w:highlight w:val="none"/>
                <w:lang w:val="en-US"/>
              </w:rPr>
              <w:t xml:space="preserve">, по которым устанавливается фиксированный размер комиссионного вознаграждения за совершение операций по услуге “Торговый эквайринг” согласно Таблице ниже</w:t>
            </w:r>
            <w:r>
              <w:rPr>
                <w:sz w:val="20"/>
                <w:szCs w:val="20"/>
                <w:highlight w:val="none"/>
                <w:lang w:val="en-US"/>
              </w:rPr>
              <w:t xml:space="preserve">.</w:t>
            </w:r>
            <w:r>
              <w:rPr>
                <w:sz w:val="20"/>
                <w:szCs w:val="20"/>
                <w:highlight w:val="none"/>
                <w:lang w:val="en-US"/>
              </w:rPr>
            </w:r>
            <w:r>
              <w:rPr>
                <w:sz w:val="20"/>
                <w:szCs w:val="20"/>
                <w:highlight w:val="none"/>
                <w:lang w:val="en-US"/>
              </w:rPr>
            </w:r>
          </w:p>
          <w:p>
            <w:pPr>
              <w:rPr>
                <w:rFonts w:ascii="Times New Roman" w:hAnsi="Times New Roman" w:cs="Times New Roman"/>
                <w:sz w:val="20"/>
                <w:szCs w:val="20"/>
              </w:rPr>
            </w:pPr>
            <w:r>
              <w:rPr>
                <w:rFonts w:ascii="Times New Roman" w:hAnsi="Times New Roman" w:eastAsia="Times New Roman" w:cs="Times New Roman"/>
                <w:sz w:val="20"/>
                <w:szCs w:val="20"/>
                <w:highlight w:val="none"/>
                <w:lang w:val="en-US"/>
              </w:rPr>
            </w:r>
            <w:r>
              <w:rPr>
                <w:rFonts w:ascii="Times New Roman" w:hAnsi="Times New Roman" w:eastAsia="Times New Roman" w:cs="Times New Roman"/>
                <w:sz w:val="20"/>
                <w:szCs w:val="20"/>
              </w:rPr>
              <w:t xml:space="preserve">Опция предоставляется при условии заключения Клиентом с Банком Договора эквайринга.</w:t>
            </w:r>
            <w:r>
              <w:rPr>
                <w:rFonts w:ascii="Times New Roman" w:hAnsi="Times New Roman" w:cs="Times New Roman"/>
                <w:sz w:val="20"/>
                <w:szCs w:val="20"/>
              </w:rPr>
            </w:r>
            <w:r>
              <w:rPr>
                <w:rFonts w:ascii="Times New Roman" w:hAnsi="Times New Roman" w:cs="Times New Roman"/>
                <w:sz w:val="20"/>
                <w:szCs w:val="20"/>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r>
            <w:r>
              <w:rPr>
                <w:sz w:val="20"/>
                <w:szCs w:val="20"/>
                <w:highlight w:val="none"/>
                <w:lang w:val="en-US"/>
              </w:rPr>
              <w:t xml:space="preserve">Период </w:t>
            </w:r>
            <w:r>
              <w:rPr>
                <w:sz w:val="20"/>
                <w:szCs w:val="20"/>
                <w:highlight w:val="none"/>
                <w:lang w:val="en-US"/>
              </w:rPr>
              <w:t xml:space="preserve">подключения</w:t>
            </w:r>
            <w:r>
              <w:rPr>
                <w:sz w:val="20"/>
                <w:szCs w:val="20"/>
                <w:highlight w:val="none"/>
                <w:lang w:val="en-US"/>
              </w:rPr>
              <w:t xml:space="preserve"> опции: </w:t>
            </w:r>
            <w:r>
              <w:rPr>
                <w:sz w:val="20"/>
                <w:szCs w:val="20"/>
                <w:highlight w:val="none"/>
                <w:lang w:val="en-US"/>
              </w:rPr>
              <w:t xml:space="preserve">с 18.08.2025 до 30.09.2026</w:t>
            </w:r>
            <w:r>
              <w:rPr>
                <w:sz w:val="20"/>
                <w:szCs w:val="20"/>
                <w:highlight w:val="none"/>
                <w:lang w:val="en-US"/>
              </w:rPr>
              <w:t xml:space="preserve"> года</w:t>
            </w:r>
            <w:r>
              <w:rPr>
                <w:sz w:val="20"/>
                <w:szCs w:val="20"/>
                <w:highlight w:val="none"/>
                <w:lang w:val="en-US"/>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Период обслуживания по опции: </w:t>
            </w:r>
            <w:r>
              <w:rPr>
                <w:sz w:val="20"/>
                <w:szCs w:val="20"/>
                <w:highlight w:val="none"/>
                <w:lang w:val="en-US"/>
              </w:rPr>
              <w:t xml:space="preserve">с </w:t>
            </w:r>
            <w:r>
              <w:rPr>
                <w:sz w:val="20"/>
                <w:szCs w:val="20"/>
                <w:highlight w:val="none"/>
                <w:lang w:val="en-US"/>
              </w:rPr>
              <w:t xml:space="preserve">даты под</w:t>
            </w:r>
            <w:r>
              <w:rPr>
                <w:sz w:val="20"/>
                <w:szCs w:val="20"/>
                <w:highlight w:val="none"/>
                <w:lang w:val="en-US"/>
              </w:rPr>
              <w:t xml:space="preserve">к</w:t>
            </w:r>
            <w:r>
              <w:rPr>
                <w:sz w:val="20"/>
                <w:szCs w:val="20"/>
                <w:highlight w:val="none"/>
                <w:lang w:val="en-US"/>
              </w:rPr>
              <w:t xml:space="preserve">л</w:t>
            </w:r>
            <w:r>
              <w:rPr>
                <w:sz w:val="20"/>
                <w:szCs w:val="20"/>
                <w:highlight w:val="none"/>
                <w:lang w:val="en-US"/>
              </w:rPr>
              <w:t xml:space="preserve">ючения Клиенту Опции</w:t>
            </w:r>
            <w:r>
              <w:rPr>
                <w:sz w:val="20"/>
                <w:szCs w:val="20"/>
                <w:highlight w:val="none"/>
                <w:lang w:val="en-US"/>
              </w:rPr>
              <w:t xml:space="preserve"> до </w:t>
            </w:r>
            <w:r>
              <w:rPr>
                <w:sz w:val="20"/>
                <w:szCs w:val="20"/>
                <w:highlight w:val="none"/>
                <w:lang w:val="en-US"/>
              </w:rPr>
              <w:t xml:space="preserve">31.07.2027</w:t>
            </w:r>
            <w:r>
              <w:rPr>
                <w:sz w:val="20"/>
                <w:szCs w:val="20"/>
                <w:highlight w:val="none"/>
                <w:lang w:val="en-US"/>
              </w:rPr>
              <w:t xml:space="preserve"> года</w:t>
            </w:r>
            <w:r>
              <w:rPr>
                <w:sz w:val="20"/>
                <w:szCs w:val="20"/>
                <w:highlight w:val="none"/>
                <w:lang w:val="en-US"/>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r>
            <w:r>
              <w:rPr>
                <w:sz w:val="20"/>
                <w:szCs w:val="20"/>
                <w:highlight w:val="none"/>
                <w:lang w:val="en-US"/>
              </w:rPr>
              <w:t xml:space="preserve">После прекращения действия опции Клиент переводится на обслуживание</w:t>
            </w:r>
            <w:r>
              <w:rPr>
                <w:sz w:val="20"/>
                <w:szCs w:val="20"/>
                <w:highlight w:val="none"/>
                <w:lang w:val="en-US"/>
              </w:rPr>
              <w:t xml:space="preserve"> с ТП</w:t>
            </w:r>
            <w:r>
              <w:rPr>
                <w:sz w:val="20"/>
                <w:szCs w:val="20"/>
                <w:highlight w:val="none"/>
                <w:lang w:val="en-US"/>
              </w:rPr>
              <w:t xml:space="preserve"> на Тарифы Банка.</w:t>
            </w:r>
            <w:r>
              <w:rPr>
                <w:sz w:val="20"/>
                <w:szCs w:val="20"/>
                <w:highlight w:val="none"/>
                <w:lang w:val="en-US"/>
              </w:rPr>
              <w:t xml:space="preserve"> </w:t>
            </w:r>
            <w:r>
              <w:rPr>
                <w:sz w:val="20"/>
                <w:szCs w:val="20"/>
                <w:highlight w:val="none"/>
                <w14:ligatures w14:val="none"/>
              </w:rPr>
            </w:r>
            <w:r>
              <w:rPr>
                <w:sz w:val="20"/>
                <w:szCs w:val="20"/>
                <w:highlight w:val="none"/>
                <w14:ligatures w14:val="none"/>
              </w:rPr>
            </w:r>
          </w:p>
        </w:tc>
      </w:tr>
      <w:tr>
        <w:tblPrEx/>
        <w:trPr>
          <w:trHeight w:val="230"/>
        </w:trPr>
        <w:tc>
          <w:tcPr>
            <w:tcW w:w="2552" w:type="dxa"/>
            <w:vMerge w:val="restart"/>
            <w:textDirection w:val="lrTb"/>
            <w:noWrap w:val="false"/>
          </w:tcPr>
          <w:p>
            <w:pPr>
              <w:pStyle w:val="1424"/>
              <w:jc w:val="center"/>
              <w:spacing w:before="40" w:after="40"/>
              <w:widowControl w:val="off"/>
              <w:rPr>
                <w:bCs/>
                <w:sz w:val="20"/>
                <w:szCs w:val="20"/>
              </w:rPr>
            </w:pPr>
            <w:r>
              <w:rPr>
                <w:bCs/>
                <w:sz w:val="20"/>
                <w:szCs w:val="20"/>
              </w:rPr>
              <w:t xml:space="preserve">Вид МСС</w:t>
            </w:r>
            <w:r>
              <w:rPr>
                <w:bCs/>
                <w:sz w:val="20"/>
                <w:szCs w:val="20"/>
              </w:rPr>
            </w:r>
            <w:r>
              <w:rPr>
                <w:bCs/>
                <w:sz w:val="20"/>
                <w:szCs w:val="20"/>
              </w:rPr>
            </w:r>
          </w:p>
        </w:tc>
        <w:tc>
          <w:tcPr>
            <w:tcW w:w="2409" w:type="dxa"/>
            <w:vMerge w:val="restart"/>
            <w:textDirection w:val="lrTb"/>
            <w:noWrap w:val="false"/>
          </w:tcPr>
          <w:p>
            <w:pPr>
              <w:jc w:val="center"/>
              <w:spacing w:before="40" w:after="40"/>
              <w:widowControl w:val="off"/>
              <w:rPr>
                <w:sz w:val="20"/>
                <w:szCs w:val="20"/>
              </w:rPr>
            </w:pPr>
            <w:r>
              <w:rPr>
                <w:sz w:val="20"/>
                <w:szCs w:val="20"/>
              </w:rPr>
              <w:t xml:space="preserve">Размер комиссионного вознаграждения</w:t>
            </w:r>
            <w:r>
              <w:rPr>
                <w:sz w:val="20"/>
                <w:szCs w:val="20"/>
              </w:rPr>
            </w:r>
            <w:r>
              <w:rPr>
                <w:sz w:val="20"/>
                <w:szCs w:val="20"/>
              </w:rPr>
            </w:r>
          </w:p>
        </w:tc>
        <w:tc>
          <w:tcPr>
            <w:tcW w:w="4926" w:type="dxa"/>
            <w:vMerge w:val="restart"/>
            <w:textDirection w:val="lrTb"/>
            <w:noWrap w:val="false"/>
          </w:tcPr>
          <w:p>
            <w:pPr>
              <w:jc w:val="center"/>
              <w:spacing w:after="40"/>
              <w:widowControl w:val="off"/>
              <w:rPr>
                <w:sz w:val="20"/>
                <w:szCs w:val="20"/>
                <w:highlight w:val="none"/>
                <w:lang w:val="en-US"/>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Примечание</w:t>
            </w:r>
            <w:r>
              <w:rPr>
                <w:sz w:val="20"/>
                <w:szCs w:val="20"/>
                <w:highlight w:val="none"/>
                <w:lang w:val="en-US"/>
              </w:rPr>
            </w:r>
            <w:r>
              <w:rPr>
                <w:sz w:val="20"/>
                <w:szCs w:val="20"/>
                <w:highlight w:val="none"/>
                <w:lang w:val="en-US"/>
              </w:rPr>
            </w:r>
          </w:p>
        </w:tc>
      </w:tr>
      <w:tr>
        <w:tblPrEx/>
        <w:trPr>
          <w:trHeight w:val="230"/>
        </w:trPr>
        <w:tc>
          <w:tcPr>
            <w:tcW w:w="2552" w:type="dxa"/>
            <w:vMerge w:val="restart"/>
            <w:textDirection w:val="lrTb"/>
            <w:noWrap w:val="false"/>
          </w:tcPr>
          <w:p>
            <w:pPr>
              <w:pStyle w:val="1424"/>
              <w:spacing w:before="40" w:after="40"/>
              <w:widowControl w:val="off"/>
              <w:rPr>
                <w:bCs/>
                <w:sz w:val="20"/>
                <w:szCs w:val="20"/>
              </w:rPr>
            </w:pPr>
            <w:r>
              <w:rPr>
                <w:bCs/>
                <w:sz w:val="20"/>
                <w:szCs w:val="20"/>
              </w:rPr>
              <w:t xml:space="preserve">Торговый эквайринг для МСС 5814</w:t>
            </w:r>
            <w:r>
              <w:rPr>
                <w:bCs/>
                <w:sz w:val="20"/>
                <w:szCs w:val="20"/>
              </w:rPr>
            </w:r>
            <w:r>
              <w:rPr>
                <w:bCs/>
                <w:sz w:val="20"/>
                <w:szCs w:val="20"/>
              </w:rPr>
            </w:r>
          </w:p>
        </w:tc>
        <w:tc>
          <w:tcPr>
            <w:tcW w:w="2409" w:type="dxa"/>
            <w:vMerge w:val="restart"/>
            <w:textDirection w:val="lrTb"/>
            <w:noWrap w:val="false"/>
          </w:tcPr>
          <w:p>
            <w:pPr>
              <w:jc w:val="center"/>
              <w:spacing w:before="40" w:after="40"/>
              <w:widowControl w:val="off"/>
              <w:rPr>
                <w:sz w:val="20"/>
                <w:szCs w:val="20"/>
                <w:highlight w:val="none"/>
              </w:rPr>
            </w:pPr>
            <w:r>
              <w:rPr>
                <w:sz w:val="20"/>
                <w:szCs w:val="20"/>
              </w:rPr>
              <w:t xml:space="preserve">1% от суммы </w:t>
            </w:r>
            <w:r>
              <w:rPr>
                <w:sz w:val="20"/>
                <w:szCs w:val="20"/>
              </w:rPr>
              <w:t xml:space="preserve">каждой </w:t>
            </w:r>
            <w:r>
              <w:rPr>
                <w:sz w:val="20"/>
                <w:szCs w:val="20"/>
              </w:rPr>
              <w:t xml:space="preserve">операци</w:t>
            </w:r>
            <w:r>
              <w:rPr>
                <w:sz w:val="20"/>
                <w:szCs w:val="20"/>
              </w:rPr>
              <w:t xml:space="preserve">и</w:t>
            </w:r>
            <w:r>
              <w:rPr>
                <w:sz w:val="20"/>
                <w:szCs w:val="20"/>
                <w:highlight w:val="none"/>
              </w:rPr>
            </w:r>
            <w:r>
              <w:rPr>
                <w:sz w:val="20"/>
                <w:szCs w:val="20"/>
                <w:highlight w:val="none"/>
              </w:rPr>
            </w:r>
          </w:p>
        </w:tc>
        <w:tc>
          <w:tcPr>
            <w:tcW w:w="4926" w:type="dxa"/>
            <w:vMerge w:val="restart"/>
            <w:textDirection w:val="lrTb"/>
            <w:noWrap w:val="false"/>
          </w:tcPr>
          <w:p>
            <w:pPr>
              <w:jc w:val="both"/>
              <w:spacing w:after="40"/>
              <w:widowControl w:val="off"/>
              <w:rPr>
                <w:sz w:val="20"/>
                <w:szCs w:val="20"/>
                <w:highlight w: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Неснижаемый остаток 150 000 руб. должен быть обеспечен на протяжении всего расчетного месяца. </w:t>
            </w:r>
            <w:r>
              <w:rPr>
                <w:sz w:val="20"/>
                <w:szCs w:val="20"/>
                <w:highlight w:val="none"/>
              </w:rPr>
            </w:r>
            <w:r>
              <w:rPr>
                <w:sz w:val="20"/>
                <w:szCs w:val="20"/>
                <w:highlight w:val="none"/>
              </w:rPr>
            </w:r>
          </w:p>
          <w:p>
            <w:pPr>
              <w:jc w:val="both"/>
              <w:spacing w:after="40"/>
              <w:widowControl w:val="off"/>
              <w:rPr>
                <w:sz w:val="20"/>
                <w:szCs w:val="20"/>
                <w:highlight w: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Уровень остатка оценивается Банком </w:t>
            </w:r>
            <w:r>
              <w:rPr>
                <w:sz w:val="20"/>
                <w:szCs w:val="20"/>
                <w:highlight w:val="none"/>
                <w:lang w:val="en-US"/>
              </w:rPr>
              <w:t xml:space="preserve">ежедневно</w:t>
            </w:r>
            <w:r>
              <w:rPr>
                <w:sz w:val="20"/>
                <w:szCs w:val="20"/>
                <w:highlight w:val="none"/>
                <w:lang w:val="en-US"/>
              </w:rPr>
              <w:t xml:space="preserve">.</w:t>
            </w:r>
            <w:r>
              <w:rPr>
                <w:sz w:val="20"/>
                <w:szCs w:val="20"/>
                <w:highlight w:val="none"/>
              </w:rPr>
            </w:r>
            <w:r>
              <w:rPr>
                <w:sz w:val="20"/>
                <w:szCs w:val="20"/>
                <w:highlight w:val="none"/>
              </w:rPr>
            </w:r>
          </w:p>
          <w:p>
            <w:pPr>
              <w:jc w:val="both"/>
              <w:spacing w:after="40"/>
              <w:widowControl w:val="off"/>
              <w:rPr>
                <w:sz w:val="20"/>
                <w:szCs w:val="20"/>
                <w:highlight w:val="none"/>
                <w:lang w:val="en-US"/>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В случае несоблюдения условия по</w:t>
            </w:r>
            <w:r>
              <w:rPr>
                <w:sz w:val="20"/>
                <w:szCs w:val="20"/>
                <w:highlight w:val="none"/>
                <w:lang w:val="en-US"/>
              </w:rPr>
              <w:t xml:space="preserve"> поддержанию</w:t>
            </w:r>
            <w:r>
              <w:rPr>
                <w:sz w:val="20"/>
                <w:szCs w:val="20"/>
                <w:highlight w:val="none"/>
                <w:lang w:val="en-US"/>
              </w:rPr>
              <w:t xml:space="preserve"> неснижаемо</w:t>
            </w:r>
            <w:r>
              <w:rPr>
                <w:sz w:val="20"/>
                <w:szCs w:val="20"/>
                <w:highlight w:val="none"/>
                <w:lang w:val="en-US"/>
              </w:rPr>
              <w:t xml:space="preserve">го</w:t>
            </w:r>
            <w:r>
              <w:rPr>
                <w:sz w:val="20"/>
                <w:szCs w:val="20"/>
                <w:highlight w:val="none"/>
                <w:lang w:val="en-US"/>
              </w:rPr>
              <w:t xml:space="preserve"> остатк</w:t>
            </w:r>
            <w:r>
              <w:rPr>
                <w:sz w:val="20"/>
                <w:szCs w:val="20"/>
                <w:highlight w:val="none"/>
                <w:lang w:val="en-US"/>
              </w:rPr>
              <w:t xml:space="preserve">а</w:t>
            </w:r>
            <w:r>
              <w:rPr>
                <w:sz w:val="20"/>
                <w:szCs w:val="20"/>
                <w:highlight w:val="none"/>
                <w:lang w:val="en-US"/>
              </w:rPr>
              <w:t xml:space="preserve"> размер комиссионного вознаграждения</w:t>
            </w:r>
            <w:r>
              <w:rPr>
                <w:sz w:val="20"/>
                <w:szCs w:val="20"/>
                <w:highlight w:val="none"/>
                <w:lang w:val="en-US"/>
              </w:rPr>
              <w:t xml:space="preserve"> пересчитывается</w:t>
            </w:r>
            <w:r>
              <w:rPr>
                <w:sz w:val="20"/>
                <w:szCs w:val="20"/>
                <w:highlight w:val="none"/>
                <w:lang w:val="en-US"/>
              </w:rPr>
              <w:t xml:space="preserve"> </w:t>
            </w:r>
            <w:r>
              <w:rPr>
                <w:sz w:val="20"/>
                <w:szCs w:val="20"/>
                <w:highlight w:val="none"/>
                <w:lang w:val="en-US"/>
              </w:rPr>
              <w:t xml:space="preserve">с применением Тарифов Банка</w:t>
            </w:r>
            <w:r>
              <w:rPr>
                <w:sz w:val="20"/>
                <w:szCs w:val="20"/>
                <w:highlight w:val="none"/>
                <w:lang w:val="en-US"/>
              </w:rPr>
              <w:t xml:space="preserve">,</w:t>
            </w:r>
            <w:r>
              <w:rPr>
                <w:sz w:val="20"/>
                <w:szCs w:val="20"/>
                <w:highlight w:val="none"/>
                <w:lang w:val="en-US"/>
              </w:rPr>
              <w:t xml:space="preserve"> начиная с первого календарного дня текущего месяца</w:t>
            </w:r>
            <w:r>
              <w:rPr>
                <w:sz w:val="20"/>
                <w:szCs w:val="20"/>
                <w:highlight w:val="none"/>
                <w:lang w:val="en-US"/>
              </w:rPr>
              <w:t xml:space="preserve">, в котором произошло несоблюдение условия.</w:t>
            </w:r>
            <w:r>
              <w:rPr>
                <w:sz w:val="20"/>
                <w:szCs w:val="20"/>
                <w:highlight w:val="none"/>
                <w:lang w:val="en-US"/>
              </w:rPr>
            </w:r>
            <w:r>
              <w:rPr>
                <w:sz w:val="20"/>
                <w:szCs w:val="20"/>
                <w:highlight w:val="none"/>
                <w:lang w:val="en-US"/>
              </w:rPr>
            </w:r>
          </w:p>
          <w:p>
            <w:pPr>
              <w:jc w:val="both"/>
              <w:spacing w:after="40"/>
              <w:widowControl w:val="off"/>
              <w:rPr>
                <w:sz w:val="20"/>
                <w:szCs w:val="20"/>
                <w:highlight w:val="none"/>
                <w:lang w:val="en-US"/>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Одновременно с этим Банком дополнительно взимается комиссия за технологическое взаимодействие в соответствии с Тарифами Банка.</w:t>
            </w:r>
            <w:r>
              <w:rPr>
                <w:sz w:val="20"/>
                <w:szCs w:val="20"/>
                <w:highlight w:val="none"/>
                <w:lang w:val="en-US"/>
              </w:rPr>
            </w:r>
            <w:r>
              <w:rPr>
                <w:sz w:val="20"/>
                <w:szCs w:val="20"/>
                <w:highlight w:val="none"/>
                <w:lang w:val="en-US"/>
              </w:rPr>
            </w:r>
          </w:p>
        </w:tc>
      </w:tr>
      <w:tr>
        <w:tblPrEx/>
        <w:trPr/>
        <w:tc>
          <w:tcPr>
            <w:tcW w:w="2552" w:type="dxa"/>
            <w:vMerge w:val="restart"/>
            <w:textDirection w:val="lrTb"/>
            <w:noWrap w:val="false"/>
          </w:tcPr>
          <w:p>
            <w:pPr>
              <w:pStyle w:val="1424"/>
              <w:spacing w:before="40" w:after="40"/>
              <w:widowControl w:val="off"/>
              <w:rPr>
                <w:bCs/>
                <w:sz w:val="20"/>
                <w:szCs w:val="20"/>
              </w:rPr>
            </w:pPr>
            <w:r>
              <w:rPr>
                <w:bCs/>
                <w:sz w:val="20"/>
                <w:szCs w:val="20"/>
              </w:rPr>
              <w:t xml:space="preserve">Торговый эквайринг для МСС </w:t>
            </w:r>
            <w:r>
              <w:rPr>
                <w:sz w:val="20"/>
                <w:szCs w:val="20"/>
                <w:highlight w:val="none"/>
                <w:lang w:val="en-US"/>
              </w:rPr>
              <w:t xml:space="preserve">5811, 5812, 5813, 5441, 5462</w:t>
            </w:r>
            <w:r>
              <w:rPr>
                <w:bCs/>
                <w:sz w:val="20"/>
                <w:szCs w:val="20"/>
              </w:rPr>
            </w:r>
            <w:r>
              <w:rPr>
                <w:bCs/>
                <w:sz w:val="20"/>
                <w:szCs w:val="20"/>
              </w:rPr>
            </w:r>
          </w:p>
        </w:tc>
        <w:tc>
          <w:tcPr>
            <w:tcW w:w="2409" w:type="dxa"/>
            <w:vMerge w:val="restart"/>
            <w:textDirection w:val="lrTb"/>
            <w:noWrap w:val="false"/>
          </w:tcPr>
          <w:p>
            <w:pPr>
              <w:jc w:val="center"/>
              <w:spacing w:before="40" w:after="40"/>
              <w:widowControl w:val="off"/>
              <w:rPr>
                <w:sz w:val="20"/>
                <w:szCs w:val="20"/>
                <w:highlight w:val="none"/>
              </w:rPr>
            </w:pPr>
            <w:r>
              <w:rPr>
                <w:sz w:val="20"/>
                <w:szCs w:val="20"/>
              </w:rPr>
              <w:t xml:space="preserve">1,99% от суммы</w:t>
            </w:r>
            <w:r>
              <w:rPr>
                <w:sz w:val="20"/>
                <w:szCs w:val="20"/>
              </w:rPr>
              <w:t xml:space="preserve"> каждой</w:t>
            </w:r>
            <w:r>
              <w:rPr>
                <w:sz w:val="20"/>
                <w:szCs w:val="20"/>
              </w:rPr>
              <w:t xml:space="preserve"> операци</w:t>
            </w:r>
            <w:r>
              <w:rPr>
                <w:sz w:val="20"/>
                <w:szCs w:val="20"/>
              </w:rPr>
              <w:t xml:space="preserve">и</w:t>
            </w:r>
            <w:r>
              <w:rPr>
                <w:sz w:val="20"/>
                <w:szCs w:val="20"/>
                <w:highlight w:val="none"/>
              </w:rPr>
            </w:r>
            <w:r>
              <w:rPr>
                <w:sz w:val="20"/>
                <w:szCs w:val="20"/>
                <w:highlight w:val="none"/>
              </w:rPr>
            </w:r>
          </w:p>
        </w:tc>
        <w:tc>
          <w:tcPr>
            <w:tcW w:w="4926" w:type="dxa"/>
            <w:vMerge w:val="continue"/>
            <w:textDirection w:val="lrTb"/>
            <w:noWrap w:val="false"/>
          </w:tcPr>
          <w:p>
            <w:r/>
            <w:r/>
          </w:p>
        </w:tc>
      </w:tr>
      <w:tr>
        <w:tblPrEx/>
        <w:trPr/>
        <w:tc>
          <w:tcPr>
            <w:tcW w:w="2552" w:type="dxa"/>
            <w:vMerge w:val="restart"/>
            <w:textDirection w:val="lrTb"/>
            <w:noWrap w:val="false"/>
          </w:tcPr>
          <w:p>
            <w:pPr>
              <w:pStyle w:val="1424"/>
              <w:spacing w:before="40" w:after="40"/>
              <w:widowControl w:val="off"/>
              <w:rPr>
                <w:bCs/>
                <w:sz w:val="20"/>
                <w:szCs w:val="20"/>
              </w:rPr>
            </w:pPr>
            <w:r>
              <w:rPr>
                <w:bCs/>
                <w:sz w:val="20"/>
                <w:szCs w:val="20"/>
              </w:rPr>
              <w:t xml:space="preserve">Торговый эквайринг для МСС </w:t>
            </w:r>
            <w:r>
              <w:rPr>
                <w:sz w:val="20"/>
                <w:szCs w:val="20"/>
                <w:highlight w:val="none"/>
                <w:lang w:val="en-US"/>
              </w:rPr>
              <w:t xml:space="preserve">7011</w:t>
            </w:r>
            <w:r>
              <w:rPr>
                <w:bCs/>
                <w:sz w:val="20"/>
                <w:szCs w:val="20"/>
              </w:rPr>
            </w:r>
            <w:r>
              <w:rPr>
                <w:bCs/>
                <w:sz w:val="20"/>
                <w:szCs w:val="20"/>
              </w:rPr>
            </w:r>
          </w:p>
        </w:tc>
        <w:tc>
          <w:tcPr>
            <w:tcW w:w="2409" w:type="dxa"/>
            <w:vMerge w:val="restart"/>
            <w:textDirection w:val="lrTb"/>
            <w:noWrap w:val="false"/>
          </w:tcPr>
          <w:p>
            <w:pPr>
              <w:jc w:val="center"/>
              <w:spacing w:before="40" w:after="40"/>
              <w:widowControl w:val="off"/>
              <w:rPr>
                <w:sz w:val="20"/>
                <w:szCs w:val="20"/>
                <w:highlight w:val="none"/>
              </w:rPr>
            </w:pPr>
            <w:r>
              <w:rPr>
                <w:sz w:val="20"/>
                <w:szCs w:val="20"/>
              </w:rPr>
              <w:t xml:space="preserve">2,1% от суммы </w:t>
            </w:r>
            <w:r>
              <w:rPr>
                <w:sz w:val="20"/>
                <w:szCs w:val="20"/>
              </w:rPr>
              <w:t xml:space="preserve">каждой </w:t>
            </w:r>
            <w:r>
              <w:rPr>
                <w:sz w:val="20"/>
                <w:szCs w:val="20"/>
              </w:rPr>
              <w:t xml:space="preserve">операци</w:t>
            </w:r>
            <w:r>
              <w:rPr>
                <w:sz w:val="20"/>
                <w:szCs w:val="20"/>
              </w:rPr>
              <w:t xml:space="preserve">и</w:t>
            </w:r>
            <w:r>
              <w:rPr>
                <w:sz w:val="20"/>
                <w:szCs w:val="20"/>
                <w:highlight w:val="none"/>
              </w:rPr>
            </w:r>
            <w:r>
              <w:rPr>
                <w:sz w:val="20"/>
                <w:szCs w:val="20"/>
                <w:highlight w:val="none"/>
              </w:rPr>
            </w:r>
          </w:p>
        </w:tc>
        <w:tc>
          <w:tcPr>
            <w:tcW w:w="4926" w:type="dxa"/>
            <w:vMerge w:val="continue"/>
            <w:textDirection w:val="lrTb"/>
            <w:noWrap w:val="false"/>
          </w:tcPr>
          <w:p>
            <w:r/>
            <w:r/>
          </w:p>
        </w:tc>
      </w:tr>
      <w:tr>
        <w:tblPrEx/>
        <w:trPr>
          <w:trHeight w:val="245"/>
        </w:trPr>
        <w:tc>
          <w:tcPr>
            <w:gridSpan w:val="3"/>
            <w:tcW w:w="9887" w:type="dxa"/>
            <w:textDirection w:val="lrTb"/>
            <w:noWrap w:val="false"/>
          </w:tcPr>
          <w:p>
            <w:pPr>
              <w:jc w:val="both"/>
              <w:spacing w:before="40"/>
              <w:widowControl w:val="off"/>
              <w:rPr>
                <w:b/>
                <w:bCs/>
                <w:sz w:val="20"/>
                <w:szCs w:val="20"/>
              </w:rPr>
            </w:pPr>
            <w:r>
              <w:rPr>
                <w:b/>
                <w:bCs/>
                <w:sz w:val="20"/>
                <w:szCs w:val="20"/>
                <w:lang w:val="en-US"/>
              </w:rPr>
            </w:r>
            <w:r>
              <w:rPr>
                <w:b/>
                <w:bCs/>
                <w:sz w:val="20"/>
                <w:szCs w:val="20"/>
                <w:lang w:val="en-US"/>
              </w:rPr>
              <w:t xml:space="preserve">Опция </w:t>
            </w:r>
            <w:r>
              <w:rPr>
                <w:b/>
                <w:bCs/>
                <w:sz w:val="20"/>
                <w:szCs w:val="20"/>
                <w:highlight w:val="none"/>
              </w:rPr>
              <w:t xml:space="preserve">«</w:t>
            </w:r>
            <w:r>
              <w:rPr>
                <w:b/>
                <w:bCs/>
                <w:sz w:val="20"/>
                <w:szCs w:val="20"/>
                <w:lang w:val="en-US"/>
              </w:rPr>
              <w:t xml:space="preserve">Пятая неделя в подарок</w:t>
            </w:r>
            <w:r>
              <w:rPr>
                <w:b/>
                <w:bCs/>
                <w:sz w:val="20"/>
                <w:szCs w:val="20"/>
                <w:highlight w:val="none"/>
              </w:rPr>
              <w:t xml:space="preserve">»</w:t>
            </w:r>
            <w:r>
              <w:rPr>
                <w:b/>
                <w:bCs/>
                <w:sz w:val="20"/>
                <w:szCs w:val="20"/>
              </w:rPr>
            </w:r>
            <w:r>
              <w:rPr>
                <w:b/>
                <w:bCs/>
                <w:sz w:val="20"/>
                <w:szCs w:val="20"/>
              </w:rPr>
            </w:r>
          </w:p>
        </w:tc>
      </w:tr>
      <w:tr>
        <w:tblPrEx/>
        <w:trPr>
          <w:trHeight w:val="993"/>
        </w:trPr>
        <w:tc>
          <w:tcPr>
            <w:gridSpan w:val="3"/>
            <w:tcW w:w="9887" w:type="dxa"/>
            <w:vMerge w:val="restart"/>
            <w:textDirection w:val="lrTb"/>
            <w:noWrap w:val="false"/>
          </w:tcPr>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Клиенту с ОКВЭД 56 </w:t>
            </w:r>
            <w:r>
              <w:rPr>
                <w:sz w:val="20"/>
                <w:szCs w:val="20"/>
                <w:highlight w:val="none"/>
                <w:lang w:val="en-US"/>
              </w:rPr>
              <w:t xml:space="preserve">и МСС 5814 предоставляется</w:t>
            </w:r>
            <w:r>
              <w:rPr>
                <w:sz w:val="20"/>
                <w:szCs w:val="20"/>
                <w:highlight w:val="none"/>
                <w:lang w:val="en-US"/>
              </w:rPr>
              <w:t xml:space="preserve"> льготная тарификация торгового эквайринга:</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lang w:val="en-US"/>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комиссионное вознаграждение за совершение операции</w:t>
            </w:r>
            <w:r>
              <w:rPr>
                <w:sz w:val="20"/>
                <w:szCs w:val="20"/>
                <w:highlight w:val="none"/>
                <w:lang w:val="en-US"/>
              </w:rPr>
              <w:t xml:space="preserve"> </w:t>
            </w:r>
            <w:r>
              <w:rPr>
                <w:sz w:val="20"/>
                <w:szCs w:val="20"/>
                <w:highlight w:val="none"/>
                <w:lang w:val="en-US"/>
              </w:rPr>
              <w:t xml:space="preserve">1,7% от суммы </w:t>
            </w:r>
            <w:r>
              <w:rPr>
                <w:sz w:val="20"/>
                <w:szCs w:val="20"/>
                <w:highlight w:val="none"/>
                <w:lang w:val="en-US"/>
              </w:rPr>
              <w:t xml:space="preserve">каждой </w:t>
            </w:r>
            <w:r>
              <w:rPr>
                <w:sz w:val="20"/>
                <w:szCs w:val="20"/>
                <w:highlight w:val="none"/>
                <w:lang w:val="en-US"/>
              </w:rPr>
              <w:t xml:space="preserve">операции и каждая пятая неделя обслуживания - 0% </w:t>
            </w:r>
            <w:r>
              <w:rPr>
                <w:sz w:val="20"/>
                <w:szCs w:val="20"/>
                <w:highlight w:val="none"/>
                <w:lang w:val="en-US"/>
              </w:rPr>
              <w:t xml:space="preserve">от суммы операции</w:t>
            </w:r>
            <w:r>
              <w:rPr>
                <w:sz w:val="20"/>
                <w:szCs w:val="20"/>
                <w:highlight w:val="none"/>
                <w:lang w:val="en-US"/>
              </w:rPr>
              <w:t xml:space="preserve">(</w:t>
            </w:r>
            <w:r>
              <w:rPr>
                <w:bCs/>
                <w:sz w:val="20"/>
                <w:szCs w:val="20"/>
              </w:rPr>
              <w:t xml:space="preserve">в рамках средненедельного оборота клиента за предыдущие 4 недели</w:t>
            </w:r>
            <w:r>
              <w:rPr>
                <w:bCs/>
                <w:sz w:val="20"/>
                <w:szCs w:val="20"/>
              </w:rPr>
              <w:t xml:space="preserve">)</w:t>
            </w:r>
            <w:r>
              <w:rPr>
                <w:sz w:val="20"/>
                <w:szCs w:val="20"/>
                <w:highlight w:val="none"/>
                <w:lang w:val="en-US"/>
              </w:rPr>
              <w:t xml:space="preserve">.</w:t>
            </w:r>
            <w:r>
              <w:rPr>
                <w:sz w:val="20"/>
                <w:szCs w:val="20"/>
                <w:highlight w:val="none"/>
                <w:lang w:val="en-US"/>
                <w14:ligatures w14:val="none"/>
              </w:rPr>
            </w:r>
            <w:r>
              <w:rPr>
                <w:sz w:val="20"/>
                <w:szCs w:val="20"/>
                <w:highlight w:val="none"/>
                <w:lang w:val="en-US"/>
                <w14:ligatures w14:val="none"/>
              </w:rPr>
            </w:r>
          </w:p>
          <w:p>
            <w:pPr>
              <w:rPr>
                <w:rFonts w:ascii="Times New Roman" w:hAnsi="Times New Roman" w:cs="Times New Roman"/>
                <w:sz w:val="20"/>
                <w:szCs w:val="20"/>
              </w:rPr>
            </w:pPr>
            <w:r>
              <w:rPr>
                <w:rFonts w:ascii="Times New Roman" w:hAnsi="Times New Roman" w:eastAsia="Times New Roman" w:cs="Times New Roman"/>
                <w:sz w:val="20"/>
                <w:szCs w:val="20"/>
                <w:highlight w:val="none"/>
                <w:lang w:val="en-US"/>
              </w:rPr>
            </w:r>
            <w:r>
              <w:rPr>
                <w:rFonts w:ascii="Times New Roman" w:hAnsi="Times New Roman" w:eastAsia="Times New Roman" w:cs="Times New Roman"/>
                <w:sz w:val="20"/>
                <w:szCs w:val="20"/>
              </w:rPr>
              <w:t xml:space="preserve">Опция предоставляется при условии заключения Клиентом с Банком Договора эквайринга.</w:t>
            </w:r>
            <w:r>
              <w:rPr>
                <w:rFonts w:ascii="Times New Roman" w:hAnsi="Times New Roman" w:cs="Times New Roman"/>
                <w:sz w:val="20"/>
                <w:szCs w:val="20"/>
              </w:rPr>
            </w:r>
            <w:r>
              <w:rPr>
                <w:rFonts w:ascii="Times New Roman" w:hAnsi="Times New Roman" w:cs="Times New Roman"/>
                <w:sz w:val="20"/>
                <w:szCs w:val="20"/>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r>
            <w:r>
              <w:rPr>
                <w:sz w:val="20"/>
                <w:szCs w:val="20"/>
                <w:highlight w:val="none"/>
                <w:lang w:val="en-US"/>
              </w:rPr>
              <w:t xml:space="preserve">Период  </w:t>
            </w:r>
            <w:r>
              <w:rPr>
                <w:sz w:val="20"/>
                <w:szCs w:val="20"/>
                <w:highlight w:val="none"/>
                <w:lang w:val="en-US"/>
              </w:rPr>
              <w:t xml:space="preserve">подключения</w:t>
            </w:r>
            <w:r>
              <w:rPr>
                <w:sz w:val="20"/>
                <w:szCs w:val="20"/>
                <w:highlight w:val="none"/>
                <w:lang w:val="en-US"/>
              </w:rPr>
              <w:t xml:space="preserve"> опции: </w:t>
            </w:r>
            <w:r>
              <w:rPr>
                <w:sz w:val="20"/>
                <w:szCs w:val="20"/>
                <w:highlight w:val="none"/>
                <w:lang w:val="en-US"/>
              </w:rPr>
              <w:t xml:space="preserve">с 01.10.2025 </w:t>
            </w:r>
            <w:r>
              <w:rPr>
                <w:sz w:val="20"/>
                <w:szCs w:val="20"/>
                <w:highlight w:val="none"/>
                <w:lang w:val="en-US"/>
              </w:rPr>
              <w:t xml:space="preserve">д</w:t>
            </w:r>
            <w:r>
              <w:rPr>
                <w:sz w:val="20"/>
                <w:szCs w:val="20"/>
                <w:highlight w:val="none"/>
                <w:lang w:val="en-US"/>
              </w:rPr>
              <w:t xml:space="preserve">о 01.10.2026</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lang w:val="en-US"/>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Период обслуживания по </w:t>
            </w:r>
            <w:r>
              <w:rPr>
                <w:sz w:val="20"/>
                <w:szCs w:val="20"/>
                <w:highlight w:val="none"/>
                <w:lang w:val="en-US"/>
              </w:rPr>
              <w:t xml:space="preserve">опции:</w:t>
            </w:r>
            <w:r>
              <w:rPr>
                <w:sz w:val="20"/>
                <w:szCs w:val="20"/>
                <w:highlight w:val="none"/>
                <w:lang w:val="en-US"/>
              </w:rPr>
              <w:t xml:space="preserve"> </w:t>
            </w:r>
            <w:r>
              <w:rPr>
                <w:sz w:val="20"/>
                <w:szCs w:val="20"/>
                <w:highlight w:val="none"/>
                <w:lang w:val="en-US"/>
              </w:rPr>
              <w:t xml:space="preserve">с </w:t>
            </w:r>
            <w:r>
              <w:rPr>
                <w:sz w:val="20"/>
                <w:szCs w:val="20"/>
                <w:highlight w:val="none"/>
                <w:lang w:val="en-US"/>
              </w:rPr>
              <w:t xml:space="preserve">даты под</w:t>
            </w:r>
            <w:r>
              <w:rPr>
                <w:sz w:val="20"/>
                <w:szCs w:val="20"/>
                <w:highlight w:val="none"/>
                <w:lang w:val="en-US"/>
              </w:rPr>
              <w:t xml:space="preserve">к</w:t>
            </w:r>
            <w:r>
              <w:rPr>
                <w:sz w:val="20"/>
                <w:szCs w:val="20"/>
                <w:highlight w:val="none"/>
                <w:lang w:val="en-US"/>
              </w:rPr>
              <w:t xml:space="preserve">л</w:t>
            </w:r>
            <w:r>
              <w:rPr>
                <w:sz w:val="20"/>
                <w:szCs w:val="20"/>
                <w:highlight w:val="none"/>
                <w:lang w:val="en-US"/>
              </w:rPr>
              <w:t xml:space="preserve">ючения Клиенту Опции </w:t>
            </w:r>
            <w:r>
              <w:rPr>
                <w:sz w:val="20"/>
                <w:szCs w:val="20"/>
                <w:highlight w:val="none"/>
                <w:lang w:val="en-US"/>
              </w:rPr>
              <w:t xml:space="preserve">д</w:t>
            </w:r>
            <w:r>
              <w:rPr>
                <w:sz w:val="20"/>
                <w:szCs w:val="20"/>
                <w:highlight w:val="none"/>
                <w:lang w:val="en-US"/>
              </w:rPr>
              <w:t xml:space="preserve">о 01.10.2026.</w:t>
            </w:r>
            <w:r>
              <w:rPr>
                <w:sz w:val="20"/>
                <w:szCs w:val="20"/>
                <w:highlight w:val="none"/>
                <w:lang w:val="en-US"/>
                <w14:ligatures w14:val="none"/>
              </w:rPr>
            </w:r>
            <w:r>
              <w:rPr>
                <w:sz w:val="20"/>
                <w:szCs w:val="20"/>
                <w:highlight w:val="none"/>
                <w:lang w:val="en-US"/>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r>
            <w:r>
              <w:rPr>
                <w:sz w:val="20"/>
                <w:szCs w:val="20"/>
                <w:highlight w:val="none"/>
                <w:lang w:val="en-US"/>
              </w:rPr>
              <w:t xml:space="preserve">П</w:t>
            </w:r>
            <w:r>
              <w:rPr>
                <w:sz w:val="20"/>
                <w:szCs w:val="20"/>
                <w:highlight w:val="none"/>
                <w:lang w:val="en-US"/>
              </w:rPr>
              <w:t xml:space="preserve">осле прекращения действия опции</w:t>
            </w:r>
            <w:r>
              <w:rPr>
                <w:sz w:val="20"/>
                <w:szCs w:val="20"/>
                <w:highlight w:val="none"/>
                <w:lang w:val="en-US"/>
              </w:rPr>
              <w:t xml:space="preserve"> Клиент переводится на обслуживание</w:t>
            </w:r>
            <w:r>
              <w:rPr>
                <w:sz w:val="20"/>
                <w:szCs w:val="20"/>
                <w:highlight w:val="none"/>
                <w:lang w:val="en-US"/>
              </w:rPr>
              <w:t xml:space="preserve"> с ТП</w:t>
            </w:r>
            <w:r>
              <w:rPr>
                <w:sz w:val="20"/>
                <w:szCs w:val="20"/>
                <w:highlight w:val="none"/>
                <w:lang w:val="en-US"/>
              </w:rPr>
              <w:t xml:space="preserve"> на Тарифы Банка.</w:t>
            </w:r>
            <w:r>
              <w:rPr>
                <w:sz w:val="20"/>
                <w:szCs w:val="20"/>
                <w:highlight w:val="none"/>
                <w:lang w:val="en-US"/>
              </w:rPr>
              <w:t xml:space="preserve"> </w:t>
            </w:r>
            <w:r>
              <w:rPr>
                <w:sz w:val="20"/>
                <w:szCs w:val="20"/>
                <w:highlight w:val="none"/>
                <w14:ligatures w14:val="none"/>
              </w:rPr>
            </w:r>
            <w:r>
              <w:rPr>
                <w:sz w:val="20"/>
                <w:szCs w:val="20"/>
                <w:highlight w:val="none"/>
                <w14:ligatures w14:val="none"/>
              </w:rPr>
            </w:r>
          </w:p>
        </w:tc>
      </w:tr>
      <w:tr>
        <w:tblPrEx/>
        <w:trPr/>
        <w:tc>
          <w:tcPr>
            <w:tcW w:w="2552" w:type="dxa"/>
            <w:vMerge w:val="restart"/>
            <w:textDirection w:val="lrTb"/>
            <w:noWrap w:val="false"/>
          </w:tcPr>
          <w:p>
            <w:pPr>
              <w:pStyle w:val="1424"/>
              <w:jc w:val="center"/>
              <w:spacing w:before="40" w:after="40"/>
              <w:widowControl w:val="off"/>
              <w:rPr>
                <w:bCs/>
                <w:sz w:val="20"/>
                <w:szCs w:val="20"/>
              </w:rPr>
            </w:pPr>
            <w:r>
              <w:rPr>
                <w:bCs/>
                <w:sz w:val="20"/>
                <w:szCs w:val="20"/>
              </w:rPr>
              <w:t xml:space="preserve">Вид МСС</w:t>
            </w:r>
            <w:r>
              <w:rPr>
                <w:bCs/>
                <w:sz w:val="20"/>
                <w:szCs w:val="20"/>
              </w:rPr>
            </w:r>
            <w:r>
              <w:rPr>
                <w:bCs/>
                <w:sz w:val="20"/>
                <w:szCs w:val="20"/>
              </w:rPr>
            </w:r>
          </w:p>
        </w:tc>
        <w:tc>
          <w:tcPr>
            <w:tcW w:w="2409" w:type="dxa"/>
            <w:vMerge w:val="restart"/>
            <w:textDirection w:val="lrTb"/>
            <w:noWrap w:val="false"/>
          </w:tcPr>
          <w:p>
            <w:pPr>
              <w:jc w:val="center"/>
              <w:spacing w:before="40" w:after="40"/>
              <w:widowControl w:val="off"/>
              <w:rPr>
                <w:sz w:val="20"/>
                <w:szCs w:val="20"/>
              </w:rPr>
            </w:pPr>
            <w:r>
              <w:rPr>
                <w:sz w:val="20"/>
                <w:szCs w:val="20"/>
              </w:rPr>
              <w:t xml:space="preserve">Размер комиссионного вознаграждения</w:t>
            </w:r>
            <w:r>
              <w:rPr>
                <w:sz w:val="20"/>
                <w:szCs w:val="20"/>
              </w:rPr>
            </w:r>
            <w:r>
              <w:rPr>
                <w:sz w:val="20"/>
                <w:szCs w:val="20"/>
              </w:rPr>
            </w:r>
          </w:p>
        </w:tc>
        <w:tc>
          <w:tcPr>
            <w:tcW w:w="4926" w:type="dxa"/>
            <w:vMerge w:val="restart"/>
            <w:textDirection w:val="lrTb"/>
            <w:noWrap w:val="false"/>
          </w:tcPr>
          <w:p>
            <w:pPr>
              <w:jc w:val="center"/>
              <w:spacing w:after="40"/>
              <w:widowControl w:val="off"/>
              <w:rPr>
                <w:sz w:val="20"/>
                <w:szCs w:val="20"/>
                <w:highlight w:val="none"/>
                <w:lang w:val="en-US"/>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Примечание</w:t>
            </w:r>
            <w:r>
              <w:rPr>
                <w:sz w:val="20"/>
                <w:szCs w:val="20"/>
                <w:highlight w:val="none"/>
                <w:lang w:val="en-US"/>
              </w:rPr>
            </w:r>
            <w:r>
              <w:rPr>
                <w:sz w:val="20"/>
                <w:szCs w:val="20"/>
                <w:highlight w:val="none"/>
                <w:lang w:val="en-US"/>
              </w:rPr>
            </w:r>
          </w:p>
        </w:tc>
      </w:tr>
      <w:tr>
        <w:tblPrEx/>
        <w:trPr/>
        <w:tc>
          <w:tcPr>
            <w:tcW w:w="2552" w:type="dxa"/>
            <w:vMerge w:val="restart"/>
            <w:textDirection w:val="lrTb"/>
            <w:noWrap w:val="false"/>
          </w:tcPr>
          <w:p>
            <w:pPr>
              <w:pStyle w:val="1424"/>
              <w:spacing w:before="40" w:after="40"/>
              <w:widowControl w:val="off"/>
              <w:rPr>
                <w:bCs/>
                <w:sz w:val="20"/>
                <w:szCs w:val="20"/>
              </w:rPr>
            </w:pPr>
            <w:r>
              <w:rPr>
                <w:bCs/>
                <w:sz w:val="20"/>
                <w:szCs w:val="20"/>
              </w:rPr>
              <w:t xml:space="preserve">Торговый эквайринг для МСС 5814</w:t>
            </w:r>
            <w:r>
              <w:rPr>
                <w:bCs/>
                <w:sz w:val="20"/>
                <w:szCs w:val="20"/>
              </w:rPr>
            </w:r>
            <w:r>
              <w:rPr>
                <w:bCs/>
                <w:sz w:val="20"/>
                <w:szCs w:val="20"/>
              </w:rPr>
            </w:r>
          </w:p>
        </w:tc>
        <w:tc>
          <w:tcPr>
            <w:tcW w:w="2409" w:type="dxa"/>
            <w:vMerge w:val="restart"/>
            <w:textDirection w:val="lrTb"/>
            <w:noWrap w:val="false"/>
          </w:tcPr>
          <w:p>
            <w:pPr>
              <w:jc w:val="center"/>
              <w:spacing w:before="40" w:after="40"/>
              <w:widowControl w:val="off"/>
              <w:rPr>
                <w:sz w:val="20"/>
                <w:szCs w:val="20"/>
                <w:highlight w:val="none"/>
              </w:rPr>
            </w:pPr>
            <w:r>
              <w:rPr>
                <w:sz w:val="20"/>
                <w:szCs w:val="20"/>
              </w:rPr>
              <w:t xml:space="preserve">1,7% от суммы</w:t>
            </w:r>
            <w:r>
              <w:rPr>
                <w:sz w:val="20"/>
                <w:szCs w:val="20"/>
              </w:rPr>
              <w:t xml:space="preserve"> каждой </w:t>
            </w:r>
            <w:r>
              <w:rPr>
                <w:sz w:val="20"/>
                <w:szCs w:val="20"/>
              </w:rPr>
              <w:t xml:space="preserve"> операци</w:t>
            </w:r>
            <w:r>
              <w:rPr>
                <w:sz w:val="20"/>
                <w:szCs w:val="20"/>
              </w:rPr>
              <w:t xml:space="preserve">и</w:t>
            </w:r>
            <w:r>
              <w:rPr>
                <w:sz w:val="20"/>
                <w:szCs w:val="20"/>
              </w:rPr>
              <w:t xml:space="preserve">*</w:t>
            </w:r>
            <w:r>
              <w:rPr>
                <w:sz w:val="20"/>
                <w:szCs w:val="20"/>
                <w:highlight w:val="none"/>
              </w:rPr>
            </w:r>
            <w:r>
              <w:rPr>
                <w:sz w:val="20"/>
                <w:szCs w:val="20"/>
                <w:highlight w:val="none"/>
              </w:rPr>
            </w:r>
          </w:p>
          <w:p>
            <w:pPr>
              <w:jc w:val="center"/>
              <w:spacing w:before="40" w:after="40"/>
              <w:widowControl w:val="off"/>
              <w:rPr>
                <w:sz w:val="20"/>
                <w:szCs w:val="20"/>
                <w:highlight w:val="none"/>
              </w:rPr>
            </w:pPr>
            <w:r>
              <w:rPr>
                <w:sz w:val="20"/>
                <w:szCs w:val="20"/>
                <w:highlight w:val="none"/>
              </w:rPr>
              <w:t xml:space="preserve">(*при </w:t>
            </w:r>
            <w:r>
              <w:rPr>
                <w:sz w:val="20"/>
                <w:szCs w:val="20"/>
                <w:highlight w:val="none"/>
              </w:rPr>
              <w:t xml:space="preserve">ежемесячном </w:t>
            </w:r>
            <w:r>
              <w:rPr>
                <w:sz w:val="20"/>
                <w:szCs w:val="20"/>
                <w:highlight w:val="none"/>
              </w:rPr>
              <w:t xml:space="preserve">обороте </w:t>
            </w:r>
            <w:r>
              <w:rPr>
                <w:sz w:val="20"/>
                <w:szCs w:val="20"/>
                <w:highlight w:val="none"/>
              </w:rPr>
              <w:t xml:space="preserve">по операциям с использованием платежных карт </w:t>
            </w:r>
            <w:r>
              <w:rPr>
                <w:sz w:val="20"/>
                <w:szCs w:val="20"/>
                <w:highlight w:val="none"/>
              </w:rPr>
              <w:t xml:space="preserve">5 000 00</w:t>
            </w:r>
            <w:r>
              <w:rPr>
                <w:sz w:val="20"/>
                <w:szCs w:val="20"/>
                <w:highlight w:val="none"/>
              </w:rPr>
              <w:t xml:space="preserve">0</w:t>
            </w:r>
            <w:r>
              <w:rPr>
                <w:sz w:val="20"/>
                <w:szCs w:val="20"/>
                <w:highlight w:val="none"/>
              </w:rPr>
              <w:t xml:space="preserve"> руб/мес.</w:t>
            </w:r>
            <w:r>
              <w:rPr>
                <w:sz w:val="20"/>
                <w:szCs w:val="20"/>
                <w:highlight w:val="none"/>
              </w:rPr>
              <w:t xml:space="preserve"> и более</w:t>
            </w:r>
            <w:r>
              <w:rPr>
                <w:sz w:val="20"/>
                <w:szCs w:val="20"/>
                <w:highlight w:val="none"/>
              </w:rPr>
              <w:t xml:space="preserve"> - 1,99% от суммы</w:t>
            </w:r>
            <w:r>
              <w:rPr>
                <w:sz w:val="20"/>
                <w:szCs w:val="20"/>
                <w:highlight w:val="none"/>
              </w:rPr>
              <w:t xml:space="preserve"> каждой </w:t>
            </w:r>
            <w:r>
              <w:rPr>
                <w:sz w:val="20"/>
                <w:szCs w:val="20"/>
                <w:highlight w:val="none"/>
              </w:rPr>
              <w:t xml:space="preserve"> операци</w:t>
            </w:r>
            <w:r>
              <w:rPr>
                <w:sz w:val="20"/>
                <w:szCs w:val="20"/>
                <w:highlight w:val="none"/>
              </w:rPr>
              <w:t xml:space="preserve">и</w:t>
            </w:r>
            <w:r>
              <w:rPr>
                <w:sz w:val="20"/>
                <w:szCs w:val="20"/>
                <w:highlight w:val="none"/>
              </w:rPr>
              <w:t xml:space="preserve">)</w:t>
            </w:r>
            <w:r>
              <w:rPr>
                <w:sz w:val="20"/>
                <w:szCs w:val="20"/>
                <w:highlight w:val="none"/>
              </w:rPr>
            </w:r>
            <w:r>
              <w:rPr>
                <w:sz w:val="20"/>
                <w:szCs w:val="20"/>
                <w:highlight w:val="none"/>
              </w:rPr>
            </w:r>
          </w:p>
        </w:tc>
        <w:tc>
          <w:tcPr>
            <w:tcW w:w="4926" w:type="dxa"/>
            <w:vMerge w:val="restart"/>
            <w:textDirection w:val="lrTb"/>
            <w:noWrap w:val="false"/>
          </w:tcPr>
          <w:p>
            <w:pPr>
              <w:jc w:val="both"/>
              <w:spacing w:after="40"/>
              <w:widowControl w:val="off"/>
              <w:rPr>
                <w:sz w:val="20"/>
                <w:szCs w:val="20"/>
                <w:highlight w:val="none"/>
              </w:rPr>
            </w:pPr>
            <w:r>
              <w:rPr>
                <w:sz w:val="20"/>
                <w:szCs w:val="20"/>
                <w:highlight w:val="none"/>
              </w:rPr>
            </w:r>
            <w:r>
              <w:rPr>
                <w:bCs/>
                <w:sz w:val="20"/>
                <w:szCs w:val="20"/>
              </w:rPr>
              <w:t xml:space="preserve">Каждый пятый календарный период (неделя), начиная от даты подключения к данной опции, комиссия за операции с использованием платежных карт не взимается (ставка - 0%)</w:t>
            </w:r>
            <w:r>
              <w:rPr>
                <w:bCs/>
                <w:sz w:val="20"/>
                <w:szCs w:val="20"/>
              </w:rPr>
              <w:t xml:space="preserve"> в рамках средненедельного оборота клиента за предыдущие 4 недели</w:t>
            </w:r>
            <w:r>
              <w:rPr>
                <w:bCs/>
                <w:sz w:val="20"/>
                <w:szCs w:val="20"/>
              </w:rPr>
              <w:t xml:space="preserve">.</w:t>
            </w:r>
            <w:r>
              <w:rPr>
                <w:sz w:val="20"/>
                <w:szCs w:val="20"/>
                <w:highlight w:val="none"/>
              </w:rPr>
            </w:r>
            <w:r>
              <w:rPr>
                <w:sz w:val="20"/>
                <w:szCs w:val="20"/>
                <w:highlight w: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Если оборот </w:t>
            </w:r>
            <w:r>
              <w:rPr>
                <w:sz w:val="20"/>
                <w:szCs w:val="20"/>
                <w:highlight w:val="none"/>
                <w14:ligatures w14:val="none"/>
              </w:rPr>
              <w:t xml:space="preserve">за </w:t>
            </w:r>
            <w:r>
              <w:rPr>
                <w:sz w:val="20"/>
                <w:szCs w:val="20"/>
                <w:highlight w:val="none"/>
                <w14:ligatures w14:val="none"/>
              </w:rPr>
              <w:t xml:space="preserve">пятую неделю превышает </w:t>
            </w:r>
            <w:r>
              <w:rPr>
                <w:sz w:val="20"/>
                <w:szCs w:val="20"/>
                <w:highlight w:val="none"/>
                <w14:ligatures w14:val="none"/>
              </w:rPr>
              <w:t xml:space="preserve">средненедельный оборот за предыдущие 4 недели,</w:t>
            </w:r>
            <w:r>
              <w:rPr>
                <w:sz w:val="20"/>
                <w:szCs w:val="20"/>
                <w:highlight w:val="none"/>
                <w14:ligatures w14:val="none"/>
              </w:rPr>
              <w:t xml:space="preserve"> то:</w:t>
            </w:r>
            <w:r>
              <w:rPr>
                <w:sz w:val="20"/>
                <w:szCs w:val="20"/>
                <w:highlight w:val="none"/>
                <w14:ligatures w14:val="none"/>
              </w:rPr>
            </w:r>
            <w:r>
              <w:rPr>
                <w:sz w:val="20"/>
                <w:szCs w:val="20"/>
                <w:highlight w:val="none"/>
                <w14:ligatures w14:val="none"/>
              </w:rPr>
            </w:r>
          </w:p>
          <w:p>
            <w:pPr>
              <w:pStyle w:val="1264"/>
              <w:numPr>
                <w:ilvl w:val="0"/>
                <w:numId w:val="91"/>
              </w:numPr>
              <w:ind w:left="0" w:right="0" w:firstLine="0"/>
              <w:jc w:val="both"/>
              <w:spacing w:after="40"/>
              <w:widowControl w:val="off"/>
              <w:tabs>
                <w:tab w:val="left" w:pos="283" w:leader="none"/>
              </w:tabs>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Операции в пределах </w:t>
            </w:r>
            <w:r>
              <w:rPr>
                <w:sz w:val="20"/>
                <w:szCs w:val="20"/>
                <w:highlight w:val="none"/>
                <w14:ligatures w14:val="none"/>
              </w:rPr>
              <w:t xml:space="preserve">средненедельного оборота</w:t>
            </w:r>
            <w:r>
              <w:rPr>
                <w:sz w:val="20"/>
                <w:szCs w:val="20"/>
                <w:highlight w:val="none"/>
                <w14:ligatures w14:val="none"/>
              </w:rPr>
              <w:t xml:space="preserve"> -</w:t>
            </w:r>
            <w:r>
              <w:rPr>
                <w:sz w:val="20"/>
                <w:szCs w:val="20"/>
                <w:highlight w:val="none"/>
                <w14:ligatures w14:val="none"/>
              </w:rPr>
              <w:t xml:space="preserve"> размер комиссионного вознаграждения </w:t>
            </w:r>
            <w:r>
              <w:rPr>
                <w:sz w:val="20"/>
                <w:szCs w:val="20"/>
                <w:highlight w:val="none"/>
                <w14:ligatures w14:val="none"/>
              </w:rPr>
              <w:t xml:space="preserve"> - 0%</w:t>
            </w:r>
            <w:r>
              <w:rPr>
                <w:sz w:val="20"/>
                <w:szCs w:val="20"/>
                <w:highlight w:val="none"/>
                <w14:ligatures w14:val="none"/>
              </w:rPr>
            </w:r>
            <w:r>
              <w:rPr>
                <w:sz w:val="20"/>
                <w:szCs w:val="20"/>
                <w:highlight w:val="none"/>
                <w14:ligatures w14:val="none"/>
              </w:rPr>
            </w:r>
          </w:p>
          <w:p>
            <w:pPr>
              <w:pStyle w:val="1264"/>
              <w:numPr>
                <w:ilvl w:val="0"/>
                <w:numId w:val="91"/>
              </w:numPr>
              <w:ind w:left="0" w:right="0" w:firstLine="0"/>
              <w:jc w:val="both"/>
              <w:spacing w:after="40"/>
              <w:widowControl w:val="off"/>
              <w:tabs>
                <w:tab w:val="left" w:pos="283" w:leader="none"/>
              </w:tabs>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О</w:t>
            </w:r>
            <w:r>
              <w:rPr>
                <w:sz w:val="20"/>
                <w:szCs w:val="20"/>
                <w:highlight w:val="none"/>
                <w14:ligatures w14:val="none"/>
              </w:rPr>
              <w:t xml:space="preserve">перации </w:t>
            </w:r>
            <w:r>
              <w:rPr>
                <w:sz w:val="20"/>
                <w:szCs w:val="20"/>
                <w:highlight w:val="none"/>
                <w14:ligatures w14:val="none"/>
              </w:rPr>
              <w:t xml:space="preserve">свыше средненедельного оборота</w:t>
            </w:r>
            <w:r>
              <w:rPr>
                <w:sz w:val="20"/>
                <w:szCs w:val="20"/>
                <w:highlight w:val="none"/>
                <w14:ligatures w14:val="none"/>
              </w:rPr>
              <w:t xml:space="preserve"> -</w:t>
            </w:r>
            <w:r>
              <w:rPr>
                <w:sz w:val="20"/>
                <w:szCs w:val="20"/>
                <w:highlight w:val="none"/>
                <w14:ligatures w14:val="none"/>
              </w:rPr>
              <w:t xml:space="preserve"> размер комиссионного вознаграждения </w:t>
            </w:r>
            <w:r>
              <w:rPr>
                <w:sz w:val="20"/>
                <w:szCs w:val="20"/>
                <w:highlight w:val="none"/>
                <w14:ligatures w14:val="none"/>
              </w:rPr>
              <w:t xml:space="preserve">- 1,99%</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Превышение </w:t>
            </w:r>
            <w:r>
              <w:rPr>
                <w:sz w:val="20"/>
                <w:szCs w:val="20"/>
                <w:highlight w:val="none"/>
                <w14:ligatures w14:val="none"/>
              </w:rPr>
              <w:t xml:space="preserve">средненедельного оборота</w:t>
            </w:r>
            <w:r>
              <w:rPr>
                <w:sz w:val="20"/>
                <w:szCs w:val="20"/>
                <w:highlight w:val="none"/>
                <w14:ligatures w14:val="none"/>
              </w:rPr>
              <w:t xml:space="preserve"> определяется </w:t>
            </w:r>
            <w:r>
              <w:rPr>
                <w:sz w:val="20"/>
                <w:szCs w:val="20"/>
                <w:highlight w:val="none"/>
                <w14:ligatures w14:val="none"/>
              </w:rPr>
              <w:t xml:space="preserve">Банком </w:t>
            </w:r>
            <w:r>
              <w:rPr>
                <w:sz w:val="20"/>
                <w:szCs w:val="20"/>
                <w:highlight w:val="none"/>
                <w14:ligatures w14:val="none"/>
              </w:rPr>
              <w:t xml:space="preserve">нарастающим итогом по итогам каждого дня.</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rPr>
            </w:pPr>
            <w:r>
              <w:rPr>
                <w:bCs/>
                <w:sz w:val="20"/>
                <w:szCs w:val="20"/>
                <w:highlight w:val="none"/>
              </w:rPr>
              <w:t xml:space="preserve">При </w:t>
            </w:r>
            <w:r>
              <w:rPr>
                <w:bCs/>
                <w:sz w:val="20"/>
                <w:szCs w:val="20"/>
                <w:highlight w:val="none"/>
              </w:rPr>
              <w:t xml:space="preserve">достижении </w:t>
            </w:r>
            <w:r>
              <w:rPr>
                <w:bCs/>
                <w:sz w:val="20"/>
                <w:szCs w:val="20"/>
                <w:highlight w:val="none"/>
              </w:rPr>
              <w:t xml:space="preserve">ежемесячного </w:t>
            </w:r>
            <w:r>
              <w:rPr>
                <w:bCs/>
                <w:sz w:val="20"/>
                <w:szCs w:val="20"/>
                <w:highlight w:val="none"/>
              </w:rPr>
              <w:t xml:space="preserve">оборота 5 000 000 руб./мес. </w:t>
            </w:r>
            <w:r>
              <w:rPr>
                <w:bCs/>
                <w:sz w:val="20"/>
                <w:szCs w:val="20"/>
                <w:highlight w:val="none"/>
              </w:rPr>
              <w:t xml:space="preserve">по операциям с использованием платежных карт</w:t>
            </w:r>
            <w:r>
              <w:rPr>
                <w:bCs/>
                <w:sz w:val="20"/>
                <w:szCs w:val="20"/>
                <w:highlight w:val="none"/>
              </w:rPr>
              <w:t xml:space="preserve">, по всем последующим операциям (включая ту, по которой был превышен </w:t>
            </w:r>
            <w:r>
              <w:rPr>
                <w:bCs/>
                <w:sz w:val="20"/>
                <w:szCs w:val="20"/>
                <w:highlight w:val="none"/>
              </w:rPr>
              <w:t xml:space="preserve">ежемесячный оборот</w:t>
            </w:r>
            <w:r>
              <w:rPr>
                <w:bCs/>
                <w:sz w:val="20"/>
                <w:szCs w:val="20"/>
                <w:highlight w:val="none"/>
              </w:rPr>
              <w:t xml:space="preserve">)</w:t>
            </w:r>
            <w:r>
              <w:rPr>
                <w:bCs/>
                <w:sz w:val="20"/>
                <w:szCs w:val="20"/>
                <w:highlight w:val="none"/>
              </w:rPr>
              <w:t xml:space="preserve"> применяется </w:t>
            </w:r>
            <w:r>
              <w:rPr>
                <w:bCs/>
                <w:sz w:val="20"/>
                <w:szCs w:val="20"/>
                <w:highlight w:val="none"/>
              </w:rPr>
              <w:t xml:space="preserve">комиссионное вознаграждение - </w:t>
            </w:r>
            <w:r>
              <w:rPr>
                <w:bCs/>
                <w:sz w:val="20"/>
                <w:szCs w:val="20"/>
                <w:highlight w:val="none"/>
              </w:rPr>
              <w:t xml:space="preserve">1,99% от суммы </w:t>
            </w:r>
            <w:r>
              <w:rPr>
                <w:bCs/>
                <w:sz w:val="20"/>
                <w:szCs w:val="20"/>
                <w:highlight w:val="none"/>
              </w:rPr>
              <w:t xml:space="preserve">каждой </w:t>
            </w:r>
            <w:r>
              <w:rPr>
                <w:bCs/>
                <w:sz w:val="20"/>
                <w:szCs w:val="20"/>
                <w:highlight w:val="none"/>
              </w:rPr>
              <w:t xml:space="preserve">операции.</w:t>
            </w:r>
            <w:r>
              <w:rPr>
                <w:sz w:val="20"/>
                <w:szCs w:val="20"/>
                <w:highlight w:val="none"/>
              </w:rPr>
            </w:r>
            <w:r>
              <w:rPr>
                <w:sz w:val="20"/>
                <w:szCs w:val="20"/>
                <w:highlight w:val="none"/>
              </w:rPr>
            </w:r>
          </w:p>
        </w:tc>
      </w:tr>
      <w:tr>
        <w:tblPrEx/>
        <w:trPr/>
        <w:tc>
          <w:tcPr>
            <w:gridSpan w:val="3"/>
            <w:tcW w:w="9887" w:type="dxa"/>
            <w:vMerge w:val="restart"/>
            <w:textDirection w:val="lrTb"/>
            <w:noWrap w:val="false"/>
          </w:tcPr>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rPr>
            </w:r>
            <w:r>
              <w:rPr>
                <w:sz w:val="20"/>
                <w:szCs w:val="20"/>
                <w:highlight w:val="none"/>
                <w:lang w:val="en-US"/>
              </w:rPr>
              <w:t xml:space="preserve">Клиенту с МСС 5814 </w:t>
            </w:r>
            <w:r>
              <w:rPr>
                <w:sz w:val="20"/>
                <w:szCs w:val="20"/>
                <w:highlight w:val="none"/>
                <w:lang w:val="en-US"/>
              </w:rPr>
              <w:t xml:space="preserve">предоставляется возможность подключения </w:t>
            </w:r>
            <w:r>
              <w:rPr>
                <w:sz w:val="20"/>
                <w:szCs w:val="20"/>
                <w:highlight w:val="none"/>
                <w:lang w:val="en-US"/>
              </w:rPr>
              <w:t xml:space="preserve"> дополнительных МСС: </w:t>
            </w:r>
            <w:r>
              <w:rPr>
                <w:sz w:val="20"/>
                <w:szCs w:val="20"/>
                <w:highlight w:val="none"/>
                <w:lang w:val="en-US"/>
              </w:rPr>
              <w:t xml:space="preserve">5811, 5812, 5813, 5441, 5462</w:t>
            </w:r>
            <w:r>
              <w:rPr>
                <w:sz w:val="20"/>
                <w:szCs w:val="20"/>
                <w:highlight w:val="none"/>
                <w:lang w:val="en-US"/>
              </w:rPr>
              <w:t xml:space="preserve">,7011</w:t>
            </w:r>
            <w:r>
              <w:rPr>
                <w:sz w:val="20"/>
                <w:szCs w:val="20"/>
                <w:highlight w:val="none"/>
                <w:lang w:val="en-US"/>
              </w:rPr>
              <w:t xml:space="preserve"> к </w:t>
            </w:r>
            <w:r>
              <w:rPr>
                <w:sz w:val="20"/>
                <w:szCs w:val="20"/>
                <w:highlight w:val="none"/>
                <w:lang w:val="en-US"/>
              </w:rPr>
              <w:t xml:space="preserve">обслуживанию в рамках опции “Пятая неделя в подарок”</w:t>
            </w:r>
            <w:r>
              <w:rPr>
                <w:sz w:val="20"/>
                <w:szCs w:val="20"/>
                <w:highlight w:val="none"/>
                <w14:ligatures w14:val="none"/>
              </w:rPr>
            </w:r>
            <w:r>
              <w:rPr>
                <w:sz w:val="20"/>
                <w:szCs w:val="20"/>
                <w:highlight w:val="none"/>
                <w14:ligatures w14:val="none"/>
              </w:rPr>
            </w:r>
          </w:p>
        </w:tc>
      </w:tr>
      <w:tr>
        <w:tblPrEx/>
        <w:trPr/>
        <w:tc>
          <w:tcPr>
            <w:tcW w:w="2552" w:type="dxa"/>
            <w:vMerge w:val="restart"/>
            <w:textDirection w:val="lrTb"/>
            <w:noWrap w:val="false"/>
          </w:tcPr>
          <w:p>
            <w:pPr>
              <w:pStyle w:val="1424"/>
              <w:spacing w:before="40" w:after="40"/>
              <w:widowControl w:val="off"/>
              <w:rPr>
                <w:bCs/>
                <w:sz w:val="20"/>
                <w:szCs w:val="20"/>
              </w:rPr>
            </w:pPr>
            <w:r>
              <w:rPr>
                <w:bCs/>
                <w:sz w:val="20"/>
                <w:szCs w:val="20"/>
              </w:rPr>
              <w:t xml:space="preserve">Торговый эквайринг для МСС </w:t>
            </w:r>
            <w:r>
              <w:rPr>
                <w:sz w:val="20"/>
                <w:szCs w:val="20"/>
                <w:highlight w:val="none"/>
                <w:lang w:val="en-US"/>
              </w:rPr>
              <w:t xml:space="preserve">5811, 5812, 5813, 5441, 5462</w:t>
            </w:r>
            <w:r>
              <w:rPr>
                <w:bCs/>
                <w:sz w:val="20"/>
                <w:szCs w:val="20"/>
              </w:rPr>
            </w:r>
            <w:r>
              <w:rPr>
                <w:bCs/>
                <w:sz w:val="20"/>
                <w:szCs w:val="20"/>
              </w:rPr>
            </w:r>
          </w:p>
        </w:tc>
        <w:tc>
          <w:tcPr>
            <w:tcW w:w="2409" w:type="dxa"/>
            <w:vMerge w:val="restart"/>
            <w:textDirection w:val="lrTb"/>
            <w:noWrap w:val="false"/>
          </w:tcPr>
          <w:p>
            <w:pPr>
              <w:jc w:val="center"/>
              <w:spacing w:before="40" w:after="40"/>
              <w:widowControl w:val="off"/>
              <w:rPr>
                <w:sz w:val="20"/>
                <w:szCs w:val="20"/>
                <w:highlight w:val="none"/>
              </w:rPr>
            </w:pPr>
            <w:r>
              <w:rPr>
                <w:sz w:val="20"/>
                <w:szCs w:val="20"/>
              </w:rPr>
              <w:t xml:space="preserve">1,99 % от суммы</w:t>
            </w:r>
            <w:r>
              <w:rPr>
                <w:sz w:val="20"/>
                <w:szCs w:val="20"/>
              </w:rPr>
              <w:t xml:space="preserve"> каждой</w:t>
            </w:r>
            <w:r>
              <w:rPr>
                <w:sz w:val="20"/>
                <w:szCs w:val="20"/>
              </w:rPr>
              <w:t xml:space="preserve"> операци</w:t>
            </w:r>
            <w:r>
              <w:rPr>
                <w:sz w:val="20"/>
                <w:szCs w:val="20"/>
              </w:rPr>
              <w:t xml:space="preserve">и</w:t>
            </w:r>
            <w:r>
              <w:rPr>
                <w:sz w:val="20"/>
                <w:szCs w:val="20"/>
                <w:highlight w:val="none"/>
              </w:rPr>
            </w:r>
            <w:r>
              <w:rPr>
                <w:sz w:val="20"/>
                <w:szCs w:val="20"/>
                <w:highlight w:val="none"/>
              </w:rPr>
            </w:r>
          </w:p>
        </w:tc>
        <w:tc>
          <w:tcPr>
            <w:tcW w:w="4926" w:type="dxa"/>
            <w:vMerge w:val="restart"/>
            <w:textDirection w:val="lrTb"/>
            <w:noWrap w:val="false"/>
          </w:tcPr>
          <w:p>
            <w:pPr>
              <w:jc w:val="both"/>
              <w:spacing w:after="40"/>
              <w:widowControl w:val="off"/>
              <w:rPr>
                <w:sz w:val="20"/>
                <w:szCs w:val="20"/>
                <w:highlight w:val="none"/>
              </w:rPr>
            </w:pPr>
            <w:r>
              <w:rPr>
                <w:sz w:val="20"/>
                <w:szCs w:val="20"/>
                <w:highlight w:val="none"/>
              </w:rPr>
            </w:r>
            <w:r>
              <w:rPr>
                <w:bCs/>
                <w:sz w:val="20"/>
                <w:szCs w:val="20"/>
              </w:rPr>
              <w:t xml:space="preserve">Каждый пятый календарный период (неделя), начиная от даты подключения к данной опции, комиссия за операции с использованием платежных карт не взимается (ставка - 0%)</w:t>
            </w:r>
            <w:r>
              <w:rPr>
                <w:bCs/>
                <w:sz w:val="20"/>
                <w:szCs w:val="20"/>
              </w:rPr>
              <w:t xml:space="preserve"> </w:t>
            </w:r>
            <w:r>
              <w:rPr>
                <w:bCs/>
                <w:sz w:val="20"/>
                <w:szCs w:val="20"/>
              </w:rPr>
              <w:t xml:space="preserve">в рамках средненедельного оборота клиента за предыдущие 4 недели</w:t>
            </w:r>
            <w:r>
              <w:rPr>
                <w:bCs/>
                <w:sz w:val="20"/>
                <w:szCs w:val="20"/>
              </w:rPr>
              <w:t xml:space="preserve">.</w:t>
            </w:r>
            <w:r>
              <w:rPr>
                <w:sz w:val="20"/>
                <w:szCs w:val="20"/>
                <w:highlight w:val="none"/>
              </w:rPr>
            </w:r>
            <w:r>
              <w:rPr>
                <w:sz w:val="20"/>
                <w:szCs w:val="20"/>
                <w:highlight w: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Если оборот </w:t>
            </w:r>
            <w:r>
              <w:rPr>
                <w:sz w:val="20"/>
                <w:szCs w:val="20"/>
                <w:highlight w:val="none"/>
                <w14:ligatures w14:val="none"/>
              </w:rPr>
              <w:t xml:space="preserve">за</w:t>
            </w:r>
            <w:r>
              <w:rPr>
                <w:sz w:val="20"/>
                <w:szCs w:val="20"/>
                <w:highlight w:val="none"/>
                <w14:ligatures w14:val="none"/>
              </w:rPr>
              <w:t xml:space="preserve"> пятую неделю превышает </w:t>
            </w:r>
            <w:r>
              <w:rPr>
                <w:sz w:val="20"/>
                <w:szCs w:val="20"/>
                <w:highlight w:val="none"/>
                <w14:ligatures w14:val="none"/>
              </w:rPr>
              <w:t xml:space="preserve">средненедельный оборот за предыдущие 4 недели</w:t>
            </w:r>
            <w:r>
              <w:rPr>
                <w:sz w:val="20"/>
                <w:szCs w:val="20"/>
                <w:highlight w:val="none"/>
                <w14:ligatures w14:val="none"/>
              </w:rPr>
              <w:t xml:space="preserve">, то:</w:t>
            </w:r>
            <w:r>
              <w:rPr>
                <w:sz w:val="20"/>
                <w:szCs w:val="20"/>
                <w:highlight w:val="none"/>
                <w14:ligatures w14:val="none"/>
              </w:rPr>
            </w:r>
            <w:r>
              <w:rPr>
                <w:sz w:val="20"/>
                <w:szCs w:val="20"/>
                <w:highlight w:val="none"/>
                <w14:ligatures w14:val="none"/>
              </w:rPr>
            </w:r>
          </w:p>
          <w:p>
            <w:pPr>
              <w:pStyle w:val="1264"/>
              <w:numPr>
                <w:ilvl w:val="0"/>
                <w:numId w:val="92"/>
              </w:numPr>
              <w:ind w:left="0" w:right="0" w:firstLine="0"/>
              <w:jc w:val="both"/>
              <w:spacing w:after="40"/>
              <w:widowControl w:val="off"/>
              <w:tabs>
                <w:tab w:val="left" w:pos="283" w:leader="none"/>
              </w:tabs>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Операции в пределах </w:t>
            </w:r>
            <w:r>
              <w:rPr>
                <w:sz w:val="20"/>
                <w:szCs w:val="20"/>
                <w:highlight w:val="none"/>
                <w14:ligatures w14:val="none"/>
              </w:rPr>
              <w:t xml:space="preserve">средненедельного оборота</w:t>
            </w:r>
            <w:r>
              <w:rPr>
                <w:sz w:val="20"/>
                <w:szCs w:val="20"/>
                <w:highlight w:val="none"/>
                <w14:ligatures w14:val="none"/>
              </w:rPr>
              <w:t xml:space="preserve"> -</w:t>
            </w:r>
            <w:r>
              <w:rPr>
                <w:sz w:val="20"/>
                <w:szCs w:val="20"/>
                <w:highlight w:val="none"/>
                <w14:ligatures w14:val="none"/>
              </w:rPr>
              <w:t xml:space="preserve"> размер комиссионного вознаграждения</w:t>
            </w:r>
            <w:r>
              <w:rPr>
                <w:sz w:val="20"/>
                <w:szCs w:val="20"/>
                <w:highlight w:val="none"/>
                <w14:ligatures w14:val="none"/>
              </w:rPr>
              <w:t xml:space="preserve"> - 0%</w:t>
            </w:r>
            <w:r>
              <w:rPr>
                <w:sz w:val="20"/>
                <w:szCs w:val="20"/>
                <w:highlight w:val="none"/>
                <w14:ligatures w14:val="none"/>
              </w:rPr>
            </w:r>
            <w:r>
              <w:rPr>
                <w:sz w:val="20"/>
                <w:szCs w:val="20"/>
                <w:highlight w:val="none"/>
                <w14:ligatures w14:val="none"/>
              </w:rPr>
            </w:r>
          </w:p>
          <w:p>
            <w:pPr>
              <w:pStyle w:val="1264"/>
              <w:numPr>
                <w:ilvl w:val="0"/>
                <w:numId w:val="92"/>
              </w:numPr>
              <w:ind w:left="0" w:right="0" w:firstLine="0"/>
              <w:jc w:val="both"/>
              <w:spacing w:after="40"/>
              <w:widowControl w:val="off"/>
              <w:tabs>
                <w:tab w:val="left" w:pos="283" w:leader="none"/>
              </w:tabs>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О</w:t>
            </w:r>
            <w:r>
              <w:rPr>
                <w:sz w:val="20"/>
                <w:szCs w:val="20"/>
                <w:highlight w:val="none"/>
                <w14:ligatures w14:val="none"/>
              </w:rPr>
              <w:t xml:space="preserve">перации </w:t>
            </w:r>
            <w:r>
              <w:rPr>
                <w:sz w:val="20"/>
                <w:szCs w:val="20"/>
                <w:highlight w:val="none"/>
                <w14:ligatures w14:val="none"/>
              </w:rPr>
              <w:t xml:space="preserve">свыше средненедельного оборота</w:t>
            </w:r>
            <w:r>
              <w:rPr>
                <w:sz w:val="20"/>
                <w:szCs w:val="20"/>
                <w:highlight w:val="none"/>
                <w14:ligatures w14:val="none"/>
              </w:rPr>
              <w:t xml:space="preserve"> -</w:t>
            </w:r>
            <w:r>
              <w:rPr>
                <w:sz w:val="20"/>
                <w:szCs w:val="20"/>
                <w:highlight w:val="none"/>
                <w14:ligatures w14:val="none"/>
              </w:rPr>
              <w:t xml:space="preserve"> размер комиссионного вознаграждения </w:t>
            </w:r>
            <w:r>
              <w:rPr>
                <w:sz w:val="20"/>
                <w:szCs w:val="20"/>
                <w:highlight w:val="none"/>
                <w14:ligatures w14:val="none"/>
              </w:rPr>
              <w:t xml:space="preserve">- 1,99%</w:t>
            </w:r>
            <w:r>
              <w:rPr>
                <w:sz w:val="20"/>
                <w:szCs w:val="20"/>
                <w:highlight w:val="none"/>
                <w14:ligatures w14:val="none"/>
              </w:rPr>
              <w:t xml:space="preserve"> от суммы каждой операции.</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Превышение </w:t>
            </w:r>
            <w:r>
              <w:rPr>
                <w:sz w:val="20"/>
                <w:szCs w:val="20"/>
                <w:highlight w:val="none"/>
                <w14:ligatures w14:val="none"/>
              </w:rPr>
              <w:t xml:space="preserve">средненедельного оборота</w:t>
            </w:r>
            <w:r>
              <w:rPr>
                <w:sz w:val="20"/>
                <w:szCs w:val="20"/>
                <w:highlight w:val="none"/>
                <w14:ligatures w14:val="none"/>
              </w:rPr>
              <w:t xml:space="preserve"> определяется </w:t>
            </w:r>
            <w:r>
              <w:rPr>
                <w:sz w:val="20"/>
                <w:szCs w:val="20"/>
                <w:highlight w:val="none"/>
                <w14:ligatures w14:val="none"/>
              </w:rPr>
              <w:t xml:space="preserve">Банком </w:t>
            </w:r>
            <w:r>
              <w:rPr>
                <w:sz w:val="20"/>
                <w:szCs w:val="20"/>
                <w:highlight w:val="none"/>
                <w14:ligatures w14:val="none"/>
              </w:rPr>
              <w:t xml:space="preserve">нарастающим итогом по итогам каждого дня.</w:t>
            </w:r>
            <w:r>
              <w:rPr>
                <w:sz w:val="20"/>
                <w:szCs w:val="20"/>
                <w:highlight w:val="none"/>
                <w14:ligatures w14:val="none"/>
              </w:rPr>
            </w:r>
            <w:r>
              <w:rPr>
                <w:sz w:val="20"/>
                <w:szCs w:val="20"/>
                <w:highlight w:val="none"/>
                <w14:ligatures w14:val="none"/>
              </w:rPr>
            </w:r>
          </w:p>
        </w:tc>
      </w:tr>
      <w:tr>
        <w:tblPrEx/>
        <w:trPr/>
        <w:tc>
          <w:tcPr>
            <w:tcW w:w="2552" w:type="dxa"/>
            <w:vMerge w:val="restart"/>
            <w:textDirection w:val="lrTb"/>
            <w:noWrap w:val="false"/>
          </w:tcPr>
          <w:p>
            <w:pPr>
              <w:pStyle w:val="1265"/>
              <w:rPr>
                <w:rFonts w:ascii="Times New Roman" w:hAnsi="Times New Roman" w:cs="Times New Roman"/>
                <w:bCs/>
                <w:sz w:val="16"/>
                <w:szCs w:val="16"/>
              </w:rPr>
            </w:pPr>
            <w:r>
              <w:rPr>
                <w:rFonts w:ascii="Times New Roman" w:hAnsi="Times New Roman" w:eastAsia="Times New Roman" w:cs="Times New Roman"/>
                <w:bCs/>
                <w:sz w:val="20"/>
                <w:szCs w:val="20"/>
              </w:rPr>
              <w:t xml:space="preserve">Торговый эквайринг для МСС </w:t>
            </w:r>
            <w:r>
              <w:rPr>
                <w:rFonts w:ascii="Times New Roman" w:hAnsi="Times New Roman" w:eastAsia="Times New Roman" w:cs="Times New Roman"/>
                <w:bCs/>
                <w:sz w:val="20"/>
                <w:szCs w:val="20"/>
              </w:rPr>
              <w:t xml:space="preserve">7011</w:t>
            </w:r>
            <w:r>
              <w:rPr>
                <w:rFonts w:ascii="Times New Roman" w:hAnsi="Times New Roman" w:cs="Times New Roman"/>
                <w:bCs/>
                <w:sz w:val="16"/>
                <w:szCs w:val="16"/>
              </w:rPr>
            </w:r>
            <w:r>
              <w:rPr>
                <w:rFonts w:ascii="Times New Roman" w:hAnsi="Times New Roman" w:cs="Times New Roman"/>
                <w:bCs/>
                <w:sz w:val="16"/>
                <w:szCs w:val="16"/>
              </w:rPr>
            </w:r>
          </w:p>
        </w:tc>
        <w:tc>
          <w:tcPr>
            <w:tcW w:w="2409" w:type="dxa"/>
            <w:vMerge w:val="restart"/>
            <w:textDirection w:val="lrTb"/>
            <w:noWrap w:val="false"/>
          </w:tcPr>
          <w:p>
            <w:pPr>
              <w:pStyle w:val="1265"/>
              <w:jc w:val="center"/>
              <w:rPr>
                <w:rFonts w:ascii="Times New Roman" w:hAnsi="Times New Roman" w:cs="Times New Roman"/>
                <w:sz w:val="16"/>
                <w:szCs w:val="16"/>
                <w:highlight w:val="none"/>
              </w:rPr>
            </w:pPr>
            <w:r>
              <w:rPr>
                <w:rFonts w:ascii="Times New Roman" w:hAnsi="Times New Roman" w:eastAsia="Times New Roman" w:cs="Times New Roman"/>
                <w:sz w:val="20"/>
                <w:szCs w:val="20"/>
              </w:rPr>
              <w:t xml:space="preserve">2,1 % от суммы каждой операции</w:t>
            </w:r>
            <w:r>
              <w:rPr>
                <w:rFonts w:ascii="Times New Roman" w:hAnsi="Times New Roman" w:cs="Times New Roman"/>
                <w:sz w:val="16"/>
                <w:szCs w:val="16"/>
                <w:highlight w:val="none"/>
              </w:rPr>
            </w:r>
            <w:r>
              <w:rPr>
                <w:rFonts w:ascii="Times New Roman" w:hAnsi="Times New Roman" w:cs="Times New Roman"/>
                <w:sz w:val="16"/>
                <w:szCs w:val="16"/>
                <w:highlight w:val="none"/>
              </w:rPr>
            </w:r>
          </w:p>
        </w:tc>
        <w:tc>
          <w:tcPr>
            <w:tcW w:w="4926" w:type="dxa"/>
            <w:vMerge w:val="restart"/>
            <w:textDirection w:val="lrTb"/>
            <w:noWrap w:val="false"/>
          </w:tcPr>
          <w:p>
            <w:pPr>
              <w:pStyle w:val="1265"/>
              <w:rPr>
                <w:rFonts w:ascii="Times New Roman" w:hAnsi="Times New Roman" w:cs="Times New Roman"/>
                <w:sz w:val="16"/>
                <w:szCs w:val="16"/>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bCs/>
                <w:sz w:val="20"/>
                <w:szCs w:val="20"/>
              </w:rPr>
              <w:t xml:space="preserve">Каждый пятый календарный период (неделя), начиная от даты подключения к данной опции, комиссия за операции с использованием платежных карт не взимается (ставка - 0%)</w:t>
            </w:r>
            <w:r>
              <w:rPr>
                <w:rFonts w:ascii="Times New Roman" w:hAnsi="Times New Roman" w:eastAsia="Times New Roman" w:cs="Times New Roman"/>
                <w:bCs/>
                <w:sz w:val="20"/>
                <w:szCs w:val="20"/>
              </w:rPr>
              <w:t xml:space="preserve"> </w:t>
            </w:r>
            <w:r>
              <w:rPr>
                <w:rFonts w:ascii="Times New Roman" w:hAnsi="Times New Roman" w:eastAsia="Times New Roman" w:cs="Times New Roman"/>
                <w:bCs/>
                <w:sz w:val="20"/>
                <w:szCs w:val="20"/>
              </w:rPr>
              <w:t xml:space="preserve"> в рамках средненедельного оборота клиента за предыдущие 4 недели</w:t>
            </w:r>
            <w:r>
              <w:rPr>
                <w:rFonts w:ascii="Times New Roman" w:hAnsi="Times New Roman" w:eastAsia="Times New Roman" w:cs="Times New Roman"/>
                <w:bCs/>
                <w:sz w:val="20"/>
                <w:szCs w:val="20"/>
              </w:rPr>
              <w:t xml:space="preserve">.</w:t>
            </w:r>
            <w:r>
              <w:rPr>
                <w:rFonts w:ascii="Times New Roman" w:hAnsi="Times New Roman" w:cs="Times New Roman"/>
                <w:sz w:val="16"/>
                <w:szCs w:val="16"/>
                <w:highlight w:val="none"/>
              </w:rPr>
            </w:r>
            <w:r>
              <w:rPr>
                <w:rFonts w:ascii="Times New Roman" w:hAnsi="Times New Roman" w:cs="Times New Roman"/>
                <w:sz w:val="16"/>
                <w:szCs w:val="16"/>
                <w:highlight w: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Если оборот </w:t>
            </w:r>
            <w:r>
              <w:rPr>
                <w:sz w:val="20"/>
                <w:szCs w:val="20"/>
                <w:highlight w:val="none"/>
                <w14:ligatures w14:val="none"/>
              </w:rPr>
              <w:t xml:space="preserve">за</w:t>
            </w:r>
            <w:r>
              <w:rPr>
                <w:sz w:val="20"/>
                <w:szCs w:val="20"/>
                <w:highlight w:val="none"/>
                <w14:ligatures w14:val="none"/>
              </w:rPr>
              <w:t xml:space="preserve"> пятую неделю превышает </w:t>
            </w:r>
            <w:r>
              <w:rPr>
                <w:sz w:val="20"/>
                <w:szCs w:val="20"/>
                <w:highlight w:val="none"/>
                <w14:ligatures w14:val="none"/>
              </w:rPr>
              <w:t xml:space="preserve">средненедельный оборот за предыдущие 4 недели</w:t>
            </w:r>
            <w:r>
              <w:rPr>
                <w:sz w:val="20"/>
                <w:szCs w:val="20"/>
                <w:highlight w:val="none"/>
                <w14:ligatures w14:val="none"/>
              </w:rPr>
              <w:t xml:space="preserve">, то:</w:t>
            </w:r>
            <w:r>
              <w:rPr>
                <w:sz w:val="20"/>
                <w:szCs w:val="20"/>
                <w:highlight w:val="none"/>
                <w14:ligatures w14:val="none"/>
              </w:rPr>
            </w:r>
            <w:r>
              <w:rPr>
                <w:sz w:val="20"/>
                <w:szCs w:val="20"/>
                <w:highlight w:val="none"/>
                <w14:ligatures w14:val="none"/>
              </w:rPr>
            </w:r>
          </w:p>
          <w:p>
            <w:pPr>
              <w:pStyle w:val="1264"/>
              <w:numPr>
                <w:ilvl w:val="0"/>
                <w:numId w:val="201"/>
              </w:numPr>
              <w:ind w:left="0" w:right="0" w:firstLine="0"/>
              <w:jc w:val="both"/>
              <w:spacing w:after="40"/>
              <w:widowControl w:val="off"/>
              <w:tabs>
                <w:tab w:val="left" w:pos="283" w:leader="none"/>
              </w:tabs>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Операции в пределах </w:t>
            </w:r>
            <w:r>
              <w:rPr>
                <w:sz w:val="20"/>
                <w:szCs w:val="20"/>
                <w:highlight w:val="none"/>
                <w14:ligatures w14:val="none"/>
              </w:rPr>
              <w:t xml:space="preserve">средненедельного оборота</w:t>
            </w:r>
            <w:r>
              <w:rPr>
                <w:sz w:val="20"/>
                <w:szCs w:val="20"/>
                <w:highlight w:val="none"/>
                <w14:ligatures w14:val="none"/>
              </w:rPr>
              <w:t xml:space="preserve"> -</w:t>
            </w:r>
            <w:r>
              <w:rPr>
                <w:sz w:val="20"/>
                <w:szCs w:val="20"/>
                <w:highlight w:val="none"/>
                <w14:ligatures w14:val="none"/>
              </w:rPr>
              <w:t xml:space="preserve"> размер комиссионного вознаграждения</w:t>
            </w:r>
            <w:r>
              <w:rPr>
                <w:sz w:val="20"/>
                <w:szCs w:val="20"/>
                <w:highlight w:val="none"/>
                <w14:ligatures w14:val="none"/>
              </w:rPr>
              <w:t xml:space="preserve"> - 0% </w:t>
            </w:r>
            <w:r>
              <w:rPr>
                <w:sz w:val="20"/>
                <w:szCs w:val="20"/>
                <w:highlight w:val="none"/>
                <w14:ligatures w14:val="none"/>
              </w:rPr>
            </w:r>
            <w:r>
              <w:rPr>
                <w:sz w:val="20"/>
                <w:szCs w:val="20"/>
                <w:highlight w:val="none"/>
                <w14:ligatures w14:val="none"/>
              </w:rPr>
            </w:r>
          </w:p>
          <w:p>
            <w:pPr>
              <w:pStyle w:val="1264"/>
              <w:numPr>
                <w:ilvl w:val="0"/>
                <w:numId w:val="201"/>
              </w:numPr>
              <w:ind w:left="0" w:right="0" w:firstLine="0"/>
              <w:jc w:val="both"/>
              <w:spacing w:after="40"/>
              <w:widowControl w:val="off"/>
              <w:tabs>
                <w:tab w:val="left" w:pos="283" w:leader="none"/>
              </w:tabs>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О</w:t>
            </w:r>
            <w:r>
              <w:rPr>
                <w:sz w:val="20"/>
                <w:szCs w:val="20"/>
                <w:highlight w:val="none"/>
                <w14:ligatures w14:val="none"/>
              </w:rPr>
              <w:t xml:space="preserve">перации </w:t>
            </w:r>
            <w:r>
              <w:rPr>
                <w:sz w:val="20"/>
                <w:szCs w:val="20"/>
                <w:highlight w:val="none"/>
                <w14:ligatures w14:val="none"/>
              </w:rPr>
              <w:t xml:space="preserve">свыше средненедельного оборота</w:t>
            </w:r>
            <w:r>
              <w:rPr>
                <w:sz w:val="20"/>
                <w:szCs w:val="20"/>
                <w:highlight w:val="none"/>
                <w14:ligatures w14:val="none"/>
              </w:rPr>
              <w:t xml:space="preserve"> -</w:t>
            </w:r>
            <w:r>
              <w:rPr>
                <w:sz w:val="20"/>
                <w:szCs w:val="20"/>
                <w:highlight w:val="none"/>
                <w14:ligatures w14:val="none"/>
              </w:rPr>
              <w:t xml:space="preserve"> размер комиссионного вознаграждения </w:t>
            </w:r>
            <w:r>
              <w:rPr>
                <w:sz w:val="20"/>
                <w:szCs w:val="20"/>
                <w:highlight w:val="none"/>
                <w14:ligatures w14:val="none"/>
              </w:rPr>
              <w:t xml:space="preserve">- 1,99% </w:t>
            </w:r>
            <w:r>
              <w:rPr>
                <w:sz w:val="20"/>
                <w:szCs w:val="20"/>
                <w:highlight w:val="none"/>
                <w14:ligatures w14:val="none"/>
              </w:rPr>
              <w:t xml:space="preserve">от суммы каждой операции.</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Превышение </w:t>
            </w:r>
            <w:r>
              <w:rPr>
                <w:sz w:val="20"/>
                <w:szCs w:val="20"/>
                <w:highlight w:val="none"/>
                <w14:ligatures w14:val="none"/>
              </w:rPr>
              <w:t xml:space="preserve">средненедельного оборота</w:t>
            </w:r>
            <w:r>
              <w:rPr>
                <w:sz w:val="20"/>
                <w:szCs w:val="20"/>
                <w:highlight w:val="none"/>
                <w14:ligatures w14:val="none"/>
              </w:rPr>
              <w:t xml:space="preserve"> определяется </w:t>
            </w:r>
            <w:r>
              <w:rPr>
                <w:sz w:val="20"/>
                <w:szCs w:val="20"/>
                <w:highlight w:val="none"/>
                <w14:ligatures w14:val="none"/>
              </w:rPr>
              <w:t xml:space="preserve">Банком </w:t>
            </w:r>
            <w:r>
              <w:rPr>
                <w:sz w:val="20"/>
                <w:szCs w:val="20"/>
                <w:highlight w:val="none"/>
                <w14:ligatures w14:val="none"/>
              </w:rPr>
              <w:t xml:space="preserve">нарастающим итогом по итогам каждого дня.</w:t>
            </w:r>
            <w:r>
              <w:rPr>
                <w:sz w:val="20"/>
                <w:szCs w:val="20"/>
                <w:highlight w:val="none"/>
                <w14:ligatures w14:val="none"/>
              </w:rPr>
            </w:r>
            <w:r>
              <w:rPr>
                <w:sz w:val="20"/>
                <w:szCs w:val="20"/>
                <w:highlight w:val="none"/>
                <w14:ligatures w14:val="none"/>
              </w:rPr>
            </w:r>
          </w:p>
        </w:tc>
      </w:tr>
    </w:tbl>
    <w:tbl>
      <w:tblPr>
        <w:tblStyle w:val="1280"/>
        <w:tblW w:w="0" w:type="auto"/>
        <w:tblLayout w:type="fixed"/>
        <w:tblLook w:val="04A0" w:firstRow="1" w:lastRow="0" w:firstColumn="1" w:lastColumn="0" w:noHBand="0" w:noVBand="1"/>
      </w:tblPr>
      <w:tblGrid>
        <w:gridCol w:w="2552"/>
        <w:gridCol w:w="2409"/>
        <w:gridCol w:w="4926"/>
      </w:tblGrid>
      <w:tr>
        <w:tblPrEx/>
        <w:trPr/>
        <w:tc>
          <w:tcPr>
            <w:gridSpan w:val="3"/>
            <w:tcW w:w="9887" w:type="dxa"/>
            <w:vMerge w:val="restart"/>
            <w:textDirection w:val="lrTb"/>
            <w:noWrap w:val="false"/>
          </w:tcPr>
          <w:p>
            <w:pPr>
              <w:rPr>
                <w:b/>
                <w:bCs/>
                <w:sz w:val="20"/>
                <w:szCs w:val="20"/>
              </w:rPr>
            </w:pPr>
            <w:r>
              <w:rPr>
                <w:b/>
                <w:bCs/>
                <w:sz w:val="20"/>
                <w:szCs w:val="20"/>
              </w:rPr>
            </w:r>
            <w:r>
              <w:rPr>
                <w:b/>
                <w:bCs/>
                <w:sz w:val="20"/>
                <w:szCs w:val="20"/>
              </w:rPr>
              <w:t xml:space="preserve">Опция </w:t>
            </w:r>
            <w:r>
              <w:rPr>
                <w:b/>
                <w:bCs/>
                <w:sz w:val="20"/>
                <w:szCs w:val="20"/>
                <w:highlight w:val="none"/>
              </w:rPr>
              <w:t xml:space="preserve">«</w:t>
            </w:r>
            <w:r>
              <w:rPr>
                <w:b/>
                <w:bCs/>
                <w:sz w:val="20"/>
                <w:szCs w:val="20"/>
              </w:rPr>
              <w:t xml:space="preserve">Гибкий чек</w:t>
            </w:r>
            <w:r>
              <w:rPr>
                <w:b/>
                <w:bCs/>
                <w:sz w:val="20"/>
                <w:szCs w:val="20"/>
                <w:highlight w:val="none"/>
              </w:rPr>
              <w:t xml:space="preserve">»</w:t>
            </w:r>
            <w:r>
              <w:rPr>
                <w:b/>
                <w:bCs/>
                <w:sz w:val="20"/>
                <w:szCs w:val="20"/>
              </w:rPr>
            </w:r>
            <w:r>
              <w:rPr>
                <w:b/>
                <w:bCs/>
                <w:sz w:val="20"/>
                <w:szCs w:val="20"/>
              </w:rPr>
            </w:r>
          </w:p>
        </w:tc>
      </w:tr>
      <w:tr>
        <w:tblPrEx/>
        <w:trPr/>
        <w:tc>
          <w:tcPr>
            <w:gridSpan w:val="3"/>
            <w:tcW w:w="9887" w:type="dxa"/>
            <w:vMerge w:val="restart"/>
            <w:textDirection w:val="lrTb"/>
            <w:noWrap w:val="false"/>
          </w:tcPr>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14:ligatures w14:val="none"/>
              </w:rPr>
            </w:r>
            <w:r>
              <w:rPr>
                <w:sz w:val="20"/>
                <w:szCs w:val="20"/>
                <w:highlight w:val="none"/>
                <w:lang w:val="en-US"/>
              </w:rPr>
              <w:t xml:space="preserve">Клиенту с ОКВЭД 56 </w:t>
            </w:r>
            <w:r>
              <w:rPr>
                <w:sz w:val="20"/>
                <w:szCs w:val="20"/>
                <w:highlight w:val="none"/>
                <w:lang w:val="en-US"/>
              </w:rPr>
              <w:t xml:space="preserve">и МСС 5814 предоставляется</w:t>
            </w:r>
            <w:r>
              <w:rPr>
                <w:sz w:val="20"/>
                <w:szCs w:val="20"/>
                <w:highlight w:val="none"/>
                <w:lang w:val="en-US"/>
              </w:rPr>
              <w:t xml:space="preserve"> льготная тарификация торгового эквайринга:</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Комиссия взимается в зависимости от суммы каж</w:t>
            </w:r>
            <w:r>
              <w:rPr>
                <w:sz w:val="20"/>
                <w:szCs w:val="20"/>
                <w:highlight w:val="none"/>
                <w:lang w:val="en-US"/>
              </w:rPr>
              <w:t xml:space="preserve">дой операции.</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lang w:val="en-US"/>
                <w14:ligatures w14:val="none"/>
              </w:rPr>
            </w:pPr>
            <w:r>
              <w:rPr>
                <w:sz w:val="20"/>
                <w:szCs w:val="20"/>
                <w:highlight w:val="none"/>
              </w:rPr>
            </w:r>
            <w:r>
              <w:rPr>
                <w:sz w:val="20"/>
                <w:szCs w:val="20"/>
                <w:highlight w:val="none"/>
                <w:lang w:val="en-US"/>
              </w:rPr>
              <w:t xml:space="preserve">Клиенту с МСС 5814 </w:t>
            </w:r>
            <w:r>
              <w:rPr>
                <w:sz w:val="20"/>
                <w:szCs w:val="20"/>
                <w:highlight w:val="none"/>
                <w:lang w:val="en-US"/>
              </w:rPr>
              <w:t xml:space="preserve">предоставляется возможность подключения </w:t>
            </w:r>
            <w:r>
              <w:rPr>
                <w:sz w:val="20"/>
                <w:szCs w:val="20"/>
                <w:highlight w:val="none"/>
                <w:lang w:val="en-US"/>
              </w:rPr>
              <w:t xml:space="preserve"> дополнительных МСС: </w:t>
            </w:r>
            <w:r>
              <w:rPr>
                <w:sz w:val="20"/>
                <w:szCs w:val="20"/>
                <w:highlight w:val="none"/>
                <w:lang w:val="en-US"/>
              </w:rPr>
              <w:t xml:space="preserve">5812, 5813</w:t>
            </w:r>
            <w:r>
              <w:rPr>
                <w:rFonts w:ascii="Times New Roman" w:hAnsi="Times New Roman" w:eastAsia="Times New Roman" w:cs="Times New Roman"/>
                <w:sz w:val="20"/>
                <w:szCs w:val="20"/>
                <w:highlight w:val="none"/>
                <w:lang w:val="en-US"/>
              </w:rPr>
              <w:t xml:space="preserve">, </w:t>
            </w:r>
            <w:r>
              <w:rPr>
                <w:rFonts w:ascii="Times New Roman" w:hAnsi="Times New Roman" w:eastAsia="Times New Roman" w:cs="Times New Roman"/>
                <w:sz w:val="20"/>
                <w:szCs w:val="20"/>
                <w:highlight w:val="none"/>
                <w:lang w:val="en-US"/>
              </w:rPr>
              <w:t xml:space="preserve">5811, </w:t>
            </w:r>
            <w:r>
              <w:rPr>
                <w:rFonts w:ascii="Times New Roman" w:hAnsi="Times New Roman" w:eastAsia="Times New Roman" w:cs="Times New Roman"/>
                <w:sz w:val="20"/>
                <w:szCs w:val="20"/>
                <w:highlight w:val="none"/>
                <w:lang w:val="en-US"/>
              </w:rPr>
              <w:t xml:space="preserve">5441, 5462, 7011</w:t>
            </w:r>
            <w:r>
              <w:rPr>
                <w:sz w:val="20"/>
                <w:szCs w:val="20"/>
                <w:highlight w:val="none"/>
                <w:lang w:val="en-US"/>
              </w:rPr>
              <w:t xml:space="preserve"> </w:t>
            </w:r>
            <w:r>
              <w:rPr>
                <w:sz w:val="20"/>
                <w:szCs w:val="20"/>
                <w:highlight w:val="none"/>
                <w:lang w:val="en-US"/>
              </w:rPr>
              <w:t xml:space="preserve">к </w:t>
            </w:r>
            <w:r>
              <w:rPr>
                <w:sz w:val="20"/>
                <w:szCs w:val="20"/>
                <w:highlight w:val="none"/>
                <w:lang w:val="en-US"/>
              </w:rPr>
              <w:t xml:space="preserve">обслуживанию в рамках опции “</w:t>
            </w:r>
            <w:r>
              <w:rPr>
                <w:sz w:val="20"/>
                <w:szCs w:val="20"/>
                <w:highlight w:val="none"/>
                <w:lang w:val="en-US"/>
              </w:rPr>
              <w:t xml:space="preserve">Гибкий чек”</w:t>
            </w:r>
            <w:r>
              <w:rPr>
                <w:sz w:val="20"/>
                <w:szCs w:val="20"/>
                <w:highlight w:val="none"/>
                <w:lang w:val="en-US"/>
              </w:rPr>
              <w:t xml:space="preserve">.</w:t>
            </w:r>
            <w:r>
              <w:rPr>
                <w:sz w:val="20"/>
                <w:szCs w:val="20"/>
                <w:highlight w:val="none"/>
                <w:lang w:val="en-US"/>
                <w14:ligatures w14:val="none"/>
              </w:rPr>
            </w:r>
            <w:r>
              <w:rPr>
                <w:sz w:val="20"/>
                <w:szCs w:val="20"/>
                <w:highlight w:val="none"/>
                <w:lang w:val="en-US"/>
                <w14:ligatures w14:val="none"/>
              </w:rPr>
            </w:r>
          </w:p>
          <w:p>
            <w:pPr>
              <w:rPr>
                <w:rFonts w:ascii="Times New Roman" w:hAnsi="Times New Roman" w:cs="Times New Roman"/>
                <w:sz w:val="20"/>
                <w:szCs w:val="20"/>
              </w:rPr>
            </w:pPr>
            <w:r>
              <w:rPr>
                <w:rFonts w:ascii="Times New Roman" w:hAnsi="Times New Roman" w:eastAsia="Times New Roman" w:cs="Times New Roman"/>
                <w:sz w:val="20"/>
                <w:szCs w:val="20"/>
                <w:highlight w:val="none"/>
                <w:lang w:val="en-US"/>
              </w:rPr>
            </w:r>
            <w:r>
              <w:rPr>
                <w:rFonts w:ascii="Times New Roman" w:hAnsi="Times New Roman" w:eastAsia="Times New Roman" w:cs="Times New Roman"/>
                <w:sz w:val="20"/>
                <w:szCs w:val="20"/>
              </w:rPr>
              <w:t xml:space="preserve">Опция предоставляется при условии заключения Клиентом с Банком Договора эквайринга.</w:t>
            </w:r>
            <w:r>
              <w:rPr>
                <w:rFonts w:ascii="Times New Roman" w:hAnsi="Times New Roman" w:cs="Times New Roman"/>
                <w:sz w:val="20"/>
                <w:szCs w:val="20"/>
              </w:rPr>
            </w:r>
            <w:r>
              <w:rPr>
                <w:rFonts w:ascii="Times New Roman" w:hAnsi="Times New Roman" w:cs="Times New Roman"/>
                <w:sz w:val="20"/>
                <w:szCs w:val="20"/>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r>
            <w:r>
              <w:rPr>
                <w:sz w:val="20"/>
                <w:szCs w:val="20"/>
                <w:highlight w:val="none"/>
                <w:lang w:val="en-US"/>
              </w:rPr>
              <w:t xml:space="preserve">Период  </w:t>
            </w:r>
            <w:r>
              <w:rPr>
                <w:sz w:val="20"/>
                <w:szCs w:val="20"/>
                <w:highlight w:val="none"/>
                <w:lang w:val="en-US"/>
              </w:rPr>
              <w:t xml:space="preserve">подключения</w:t>
            </w:r>
            <w:r>
              <w:rPr>
                <w:sz w:val="20"/>
                <w:szCs w:val="20"/>
                <w:highlight w:val="none"/>
                <w:lang w:val="en-US"/>
              </w:rPr>
              <w:t xml:space="preserve"> опции: </w:t>
            </w:r>
            <w:r>
              <w:rPr>
                <w:sz w:val="20"/>
                <w:szCs w:val="20"/>
                <w:highlight w:val="none"/>
                <w:lang w:val="en-US"/>
              </w:rPr>
              <w:t xml:space="preserve">с 18.08.2025 до 30.09.2026</w:t>
            </w:r>
            <w:r>
              <w:rPr>
                <w:sz w:val="20"/>
                <w:szCs w:val="20"/>
                <w:highlight w:val="none"/>
                <w:lang w:val="en-US"/>
              </w:rPr>
              <w:t xml:space="preserve"> года</w:t>
            </w:r>
            <w:r>
              <w:rPr>
                <w:sz w:val="20"/>
                <w:szCs w:val="20"/>
                <w:highlight w:val="none"/>
                <w:lang w:val="en-US"/>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Период обслуживания по опции: </w:t>
            </w:r>
            <w:r>
              <w:rPr>
                <w:sz w:val="20"/>
                <w:szCs w:val="20"/>
                <w:highlight w:val="none"/>
                <w:lang w:val="en-US"/>
              </w:rPr>
              <w:t xml:space="preserve">с </w:t>
            </w:r>
            <w:r>
              <w:rPr>
                <w:sz w:val="20"/>
                <w:szCs w:val="20"/>
                <w:highlight w:val="none"/>
                <w:lang w:val="en-US"/>
              </w:rPr>
              <w:t xml:space="preserve">даты под</w:t>
            </w:r>
            <w:r>
              <w:rPr>
                <w:sz w:val="20"/>
                <w:szCs w:val="20"/>
                <w:highlight w:val="none"/>
                <w:lang w:val="en-US"/>
              </w:rPr>
              <w:t xml:space="preserve">к</w:t>
            </w:r>
            <w:r>
              <w:rPr>
                <w:sz w:val="20"/>
                <w:szCs w:val="20"/>
                <w:highlight w:val="none"/>
                <w:lang w:val="en-US"/>
              </w:rPr>
              <w:t xml:space="preserve">л</w:t>
            </w:r>
            <w:r>
              <w:rPr>
                <w:sz w:val="20"/>
                <w:szCs w:val="20"/>
                <w:highlight w:val="none"/>
                <w:lang w:val="en-US"/>
              </w:rPr>
              <w:t xml:space="preserve">ючения Клиенту Опции </w:t>
            </w:r>
            <w:r>
              <w:rPr>
                <w:sz w:val="20"/>
                <w:szCs w:val="20"/>
                <w:highlight w:val="none"/>
                <w:lang w:val="en-US"/>
              </w:rPr>
              <w:t xml:space="preserve"> </w:t>
            </w:r>
            <w:r>
              <w:rPr>
                <w:sz w:val="20"/>
                <w:szCs w:val="20"/>
                <w:highlight w:val="none"/>
                <w:lang w:val="en-US"/>
              </w:rPr>
              <w:t xml:space="preserve">до </w:t>
            </w:r>
            <w:r>
              <w:rPr>
                <w:sz w:val="20"/>
                <w:szCs w:val="20"/>
                <w:highlight w:val="none"/>
                <w:lang w:val="en-US"/>
              </w:rPr>
              <w:t xml:space="preserve">31.07.2027</w:t>
            </w:r>
            <w:r>
              <w:rPr>
                <w:sz w:val="20"/>
                <w:szCs w:val="20"/>
                <w:highlight w:val="none"/>
                <w:lang w:val="en-US"/>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r>
            <w:r>
              <w:rPr>
                <w:sz w:val="20"/>
                <w:szCs w:val="20"/>
                <w:highlight w:val="none"/>
                <w:lang w:val="en-US"/>
              </w:rPr>
              <w:t xml:space="preserve">После прекращения действия опции Клиент переводится на обслуживание</w:t>
            </w:r>
            <w:r>
              <w:rPr>
                <w:sz w:val="20"/>
                <w:szCs w:val="20"/>
                <w:highlight w:val="none"/>
                <w:lang w:val="en-US"/>
              </w:rPr>
              <w:t xml:space="preserve"> с ТП</w:t>
            </w:r>
            <w:r>
              <w:rPr>
                <w:sz w:val="20"/>
                <w:szCs w:val="20"/>
                <w:highlight w:val="none"/>
                <w:lang w:val="en-US"/>
              </w:rPr>
              <w:t xml:space="preserve"> на Тарифы Банка.</w:t>
            </w:r>
            <w:r>
              <w:rPr>
                <w:sz w:val="20"/>
                <w:szCs w:val="20"/>
                <w:highlight w:val="none"/>
                <w:lang w:val="en-US"/>
              </w:rPr>
              <w:t xml:space="preserve"> </w:t>
            </w:r>
            <w:r>
              <w:rPr>
                <w:sz w:val="20"/>
                <w:szCs w:val="20"/>
                <w:highlight w:val="none"/>
                <w14:ligatures w14:val="none"/>
              </w:rPr>
            </w:r>
            <w:r>
              <w:rPr>
                <w:sz w:val="20"/>
                <w:szCs w:val="20"/>
                <w:highlight w:val="none"/>
                <w14:ligatures w14:val="none"/>
              </w:rPr>
            </w:r>
          </w:p>
        </w:tc>
      </w:tr>
      <w:tr>
        <w:tblPrEx/>
        <w:trPr>
          <w:trHeight w:val="0"/>
        </w:trPr>
        <w:tc>
          <w:tcPr>
            <w:tcW w:w="2552" w:type="dxa"/>
            <w:vMerge w:val="restart"/>
            <w:textDirection w:val="lrTb"/>
            <w:noWrap w:val="false"/>
          </w:tcPr>
          <w:p>
            <w:pPr>
              <w:pStyle w:val="1424"/>
              <w:jc w:val="center"/>
              <w:spacing w:before="40" w:after="40"/>
              <w:widowControl w:val="off"/>
              <w:rPr>
                <w:bCs/>
                <w:sz w:val="20"/>
                <w:szCs w:val="20"/>
              </w:rPr>
            </w:pPr>
            <w:r>
              <w:rPr>
                <w:bCs/>
                <w:sz w:val="20"/>
                <w:szCs w:val="20"/>
              </w:rPr>
              <w:t xml:space="preserve">Вид МСС</w:t>
            </w:r>
            <w:r>
              <w:rPr>
                <w:bCs/>
                <w:sz w:val="20"/>
                <w:szCs w:val="20"/>
              </w:rPr>
            </w:r>
            <w:r>
              <w:rPr>
                <w:bCs/>
                <w:sz w:val="20"/>
                <w:szCs w:val="20"/>
              </w:rPr>
            </w:r>
          </w:p>
        </w:tc>
        <w:tc>
          <w:tcPr>
            <w:tcW w:w="2409" w:type="dxa"/>
            <w:vMerge w:val="restart"/>
            <w:textDirection w:val="lrTb"/>
            <w:noWrap w:val="false"/>
          </w:tcPr>
          <w:p>
            <w:pPr>
              <w:jc w:val="center"/>
              <w:spacing w:before="40" w:after="40"/>
              <w:widowControl w:val="off"/>
              <w:rPr>
                <w:sz w:val="20"/>
                <w:szCs w:val="20"/>
              </w:rPr>
            </w:pPr>
            <w:r>
              <w:rPr>
                <w:sz w:val="20"/>
                <w:szCs w:val="20"/>
              </w:rPr>
              <w:t xml:space="preserve">Размер комиссионного вознаграждения</w:t>
            </w:r>
            <w:r>
              <w:rPr>
                <w:sz w:val="20"/>
                <w:szCs w:val="20"/>
              </w:rPr>
            </w:r>
            <w:r>
              <w:rPr>
                <w:sz w:val="20"/>
                <w:szCs w:val="20"/>
              </w:rPr>
            </w:r>
          </w:p>
        </w:tc>
        <w:tc>
          <w:tcPr>
            <w:tcW w:w="4926" w:type="dxa"/>
            <w:vMerge w:val="restart"/>
            <w:textDirection w:val="lrTb"/>
            <w:noWrap w:val="false"/>
          </w:tcPr>
          <w:p>
            <w:pPr>
              <w:jc w:val="center"/>
              <w:spacing w:after="40"/>
              <w:widowControl w:val="off"/>
              <w:rPr>
                <w:sz w:val="20"/>
                <w:szCs w:val="20"/>
                <w:highlight w:val="none"/>
                <w:lang w:val="en-US"/>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Примечание</w:t>
            </w:r>
            <w:r>
              <w:rPr>
                <w:sz w:val="20"/>
                <w:szCs w:val="20"/>
                <w:highlight w:val="none"/>
                <w:lang w:val="en-US"/>
              </w:rPr>
            </w:r>
            <w:r>
              <w:rPr>
                <w:sz w:val="20"/>
                <w:szCs w:val="20"/>
                <w:highlight w:val="none"/>
                <w:lang w:val="en-US"/>
              </w:rPr>
            </w:r>
          </w:p>
        </w:tc>
      </w:tr>
      <w:tr>
        <w:tblPrEx/>
        <w:trPr>
          <w:trHeight w:val="0"/>
        </w:trPr>
        <w:tc>
          <w:tcPr>
            <w:tcW w:w="2552" w:type="dxa"/>
            <w:vMerge w:val="restart"/>
            <w:textDirection w:val="lrTb"/>
            <w:noWrap w:val="false"/>
          </w:tcPr>
          <w:p>
            <w:pPr>
              <w:jc w:val="both"/>
              <w:spacing w:after="40"/>
              <w:widowControl w:val="off"/>
              <w:rPr>
                <w:sz w:val="20"/>
                <w:szCs w:val="20"/>
                <w:highlight w:val="none"/>
                <w14:ligatures w14:val="none"/>
              </w:rPr>
            </w:pPr>
            <w:r>
              <w:rPr>
                <w:sz w:val="20"/>
                <w:szCs w:val="20"/>
                <w:highlight w:val="none"/>
              </w:rPr>
              <w:t xml:space="preserve">Торговый эквайринг для МСС 5814, 5812, 5813</w:t>
            </w:r>
            <w:r>
              <w:rPr>
                <w:sz w:val="20"/>
                <w:szCs w:val="20"/>
                <w:highlight w:val="none"/>
                <w14:ligatures w14:val="none"/>
              </w:rPr>
            </w:r>
            <w:r>
              <w:rPr>
                <w:sz w:val="20"/>
                <w:szCs w:val="20"/>
                <w:highlight w:val="none"/>
                <w14:ligatures w14:val="none"/>
              </w:rPr>
            </w:r>
          </w:p>
        </w:tc>
        <w:tc>
          <w:tcPr>
            <w:tcW w:w="2409" w:type="dxa"/>
            <w:vMerge w:val="restart"/>
            <w:textDirection w:val="lrTb"/>
            <w:noWrap w:val="false"/>
          </w:tcPr>
          <w:p>
            <w:pPr>
              <w:jc w:val="center"/>
              <w:spacing w:after="40"/>
              <w:widowControl w:val="off"/>
              <w:rPr>
                <w:sz w:val="20"/>
                <w:szCs w:val="20"/>
                <w:highlight w:val="none"/>
                <w14:ligatures w14:val="none"/>
              </w:rPr>
            </w:pPr>
            <w:r>
              <w:rPr>
                <w:sz w:val="20"/>
                <w:szCs w:val="20"/>
                <w:highlight w:val="none"/>
              </w:rPr>
              <w:t xml:space="preserve">Комиссия взимается  в зависимости от суммы каждой операции:</w:t>
            </w:r>
            <w:r>
              <w:rPr>
                <w:sz w:val="20"/>
                <w:szCs w:val="20"/>
                <w:highlight w:val="none"/>
                <w14:ligatures w14:val="none"/>
              </w:rPr>
            </w:r>
            <w:r>
              <w:rPr>
                <w:sz w:val="20"/>
                <w:szCs w:val="20"/>
                <w:highlight w:val="none"/>
                <w14:ligatures w14:val="none"/>
              </w:rPr>
            </w:r>
          </w:p>
          <w:p>
            <w:pPr>
              <w:jc w:val="center"/>
              <w:spacing w:after="40"/>
              <w:widowControl w:val="off"/>
              <w:rPr>
                <w:sz w:val="20"/>
                <w:szCs w:val="20"/>
                <w:highlight w:val="none"/>
                <w14:ligatures w14:val="none"/>
              </w:rPr>
            </w:pPr>
            <w:r>
              <w:rPr>
                <w:sz w:val="20"/>
                <w:szCs w:val="20"/>
                <w:highlight w:val="none"/>
              </w:rPr>
              <w:t xml:space="preserve">0,8% при сумме чека менее 1 300 руб.</w:t>
            </w:r>
            <w:r>
              <w:rPr>
                <w:sz w:val="20"/>
                <w:szCs w:val="20"/>
                <w:highlight w:val="none"/>
                <w14:ligatures w14:val="none"/>
              </w:rPr>
            </w:r>
            <w:r>
              <w:rPr>
                <w:sz w:val="20"/>
                <w:szCs w:val="20"/>
                <w:highlight w:val="none"/>
                <w14:ligatures w14:val="none"/>
              </w:rPr>
            </w:r>
          </w:p>
          <w:p>
            <w:pPr>
              <w:jc w:val="center"/>
              <w:spacing w:after="40"/>
              <w:widowControl w:val="off"/>
              <w:rPr>
                <w:sz w:val="20"/>
                <w:szCs w:val="20"/>
                <w:highlight w:val="none"/>
                <w14:ligatures w14:val="none"/>
              </w:rPr>
            </w:pPr>
            <w:r>
              <w:rPr>
                <w:sz w:val="20"/>
                <w:szCs w:val="20"/>
                <w:highlight w:val="none"/>
              </w:rPr>
              <w:t xml:space="preserve">1,75% – при сумме чека </w:t>
            </w:r>
            <w:r>
              <w:rPr>
                <w:sz w:val="20"/>
                <w:szCs w:val="20"/>
                <w:highlight w:val="none"/>
              </w:rPr>
              <w:t xml:space="preserve">1 300 руб</w:t>
            </w:r>
            <w:r>
              <w:rPr>
                <w:sz w:val="20"/>
                <w:szCs w:val="20"/>
                <w:highlight w:val="none"/>
              </w:rPr>
              <w:t xml:space="preserve">. и более</w:t>
            </w:r>
            <w:r>
              <w:rPr>
                <w:sz w:val="20"/>
                <w:szCs w:val="20"/>
                <w:highlight w:val="none"/>
              </w:rPr>
              <w:t xml:space="preserve">.</w:t>
            </w:r>
            <w:r>
              <w:rPr>
                <w:sz w:val="20"/>
                <w:szCs w:val="20"/>
                <w:highlight w:val="none"/>
                <w14:ligatures w14:val="none"/>
              </w:rPr>
            </w:r>
            <w:r>
              <w:rPr>
                <w:sz w:val="20"/>
                <w:szCs w:val="20"/>
                <w:highlight w:val="none"/>
                <w14:ligatures w14:val="none"/>
              </w:rPr>
            </w:r>
          </w:p>
        </w:tc>
        <w:tc>
          <w:tcPr>
            <w:tcW w:w="4926" w:type="dxa"/>
            <w:vMerge w:val="restart"/>
            <w:textDirection w:val="lrTb"/>
            <w:noWrap w:val="false"/>
          </w:tcPr>
          <w:p>
            <w:pPr>
              <w:jc w:val="both"/>
              <w:spacing w:after="40"/>
              <w:widowControl w:val="off"/>
              <w:rPr>
                <w:sz w:val="20"/>
                <w:szCs w:val="20"/>
                <w:highlight w:val="none"/>
                <w14:ligatures w14:val="none"/>
              </w:rPr>
            </w:pPr>
            <w:r>
              <w:rPr>
                <w:sz w:val="20"/>
                <w:szCs w:val="20"/>
                <w:highlight w:val="none"/>
              </w:rPr>
              <w:t xml:space="preserve">Указанные ставки применяются к сумме каждой операции, проведенной с использованием платежной карты. </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rPr>
            </w:pPr>
            <w:r>
              <w:rPr>
                <w:bCs/>
                <w:sz w:val="20"/>
                <w:szCs w:val="20"/>
                <w:highlight w:val="none"/>
              </w:rPr>
              <w:t xml:space="preserve">При </w:t>
            </w:r>
            <w:r>
              <w:rPr>
                <w:bCs/>
                <w:sz w:val="20"/>
                <w:szCs w:val="20"/>
                <w:highlight w:val="none"/>
              </w:rPr>
              <w:t xml:space="preserve">достижении оборота 5 000 000 руб./мес. </w:t>
            </w:r>
            <w:r>
              <w:rPr>
                <w:bCs/>
                <w:sz w:val="20"/>
                <w:szCs w:val="20"/>
                <w:highlight w:val="none"/>
              </w:rPr>
              <w:t xml:space="preserve">по операциям с использованием платежных карт </w:t>
            </w:r>
            <w:r>
              <w:rPr>
                <w:bCs/>
                <w:sz w:val="20"/>
                <w:szCs w:val="20"/>
                <w:highlight w:val="none"/>
              </w:rPr>
              <w:t xml:space="preserve"> </w:t>
            </w:r>
            <w:r>
              <w:rPr>
                <w:bCs/>
                <w:sz w:val="20"/>
                <w:szCs w:val="20"/>
                <w:highlight w:val="none"/>
              </w:rPr>
              <w:t xml:space="preserve">, по всем последующим операциям (включая ту, по которой был превышен лимит)</w:t>
            </w:r>
            <w:r>
              <w:rPr>
                <w:bCs/>
                <w:sz w:val="20"/>
                <w:szCs w:val="20"/>
                <w:highlight w:val="none"/>
              </w:rPr>
              <w:t xml:space="preserve"> применяется </w:t>
            </w:r>
            <w:r>
              <w:rPr>
                <w:bCs/>
                <w:sz w:val="20"/>
                <w:szCs w:val="20"/>
                <w:highlight w:val="none"/>
              </w:rPr>
              <w:t xml:space="preserve">комиссионное вознаграждение - </w:t>
            </w:r>
            <w:r>
              <w:rPr>
                <w:bCs/>
                <w:sz w:val="20"/>
                <w:szCs w:val="20"/>
                <w:highlight w:val="none"/>
              </w:rPr>
              <w:t xml:space="preserve">1,99% от суммы каждой операции.</w:t>
            </w:r>
            <w:r>
              <w:rPr>
                <w:sz w:val="20"/>
                <w:szCs w:val="20"/>
                <w:highlight w:val="none"/>
              </w:rPr>
            </w:r>
            <w:r>
              <w:rPr>
                <w:sz w:val="20"/>
                <w:szCs w:val="20"/>
                <w:highlight w:val="none"/>
              </w:rPr>
            </w:r>
          </w:p>
          <w:p>
            <w:pPr>
              <w:jc w:val="both"/>
              <w:spacing w:after="40"/>
              <w:widowControl w:val="off"/>
              <w:rPr>
                <w:sz w:val="20"/>
                <w:szCs w:val="20"/>
                <w:highlight w:val="none"/>
                <w14:ligatures w14:val="none"/>
              </w:rPr>
            </w:pPr>
            <w:r>
              <w:rPr>
                <w:sz w:val="20"/>
                <w:szCs w:val="20"/>
                <w:highlight w:val="none"/>
                <w14:ligatures w14:val="none"/>
              </w:rPr>
            </w:r>
            <w:r>
              <w:rPr>
                <w:sz w:val="20"/>
                <w:szCs w:val="20"/>
                <w:highlight w:val="none"/>
                <w14:ligatures w14:val="none"/>
              </w:rPr>
            </w:r>
            <w:r>
              <w:rPr>
                <w:sz w:val="20"/>
                <w:szCs w:val="20"/>
                <w:highlight w:val="none"/>
                <w14:ligatures w14:val="none"/>
              </w:rPr>
            </w:r>
          </w:p>
        </w:tc>
      </w:tr>
      <w:tr>
        <w:tblPrEx/>
        <w:trPr>
          <w:trHeight w:val="0"/>
        </w:trPr>
        <w:tc>
          <w:tcPr>
            <w:tcW w:w="2552" w:type="dxa"/>
            <w:vMerge w:val="restart"/>
            <w:textDirection w:val="lrTb"/>
            <w:noWrap w:val="false"/>
          </w:tcPr>
          <w:p>
            <w:pPr>
              <w:jc w:val="both"/>
              <w:spacing w:after="40"/>
              <w:widowControl w:val="off"/>
              <w:rPr>
                <w:rFonts w:ascii="Times New Roman" w:hAnsi="Times New Roman" w:cs="Times New Roman"/>
                <w:sz w:val="20"/>
                <w:szCs w:val="20"/>
                <w:highlight w:val="none"/>
                <w14:ligatures w14:val="none"/>
              </w:rPr>
            </w:pPr>
            <w:r>
              <w:rPr>
                <w:rFonts w:ascii="Times New Roman" w:hAnsi="Times New Roman" w:eastAsia="Times New Roman" w:cs="Times New Roman"/>
                <w:sz w:val="20"/>
                <w:szCs w:val="20"/>
                <w:highlight w:val="none"/>
              </w:rPr>
              <w:t xml:space="preserve">Торговый эквайринг для МСС 5811, 5441, 5462</w:t>
            </w:r>
            <w:r>
              <w:rPr>
                <w:rFonts w:ascii="Times New Roman" w:hAnsi="Times New Roman" w:cs="Times New Roman"/>
                <w:sz w:val="20"/>
                <w:szCs w:val="20"/>
                <w:highlight w:val="none"/>
                <w14:ligatures w14:val="none"/>
              </w:rPr>
            </w:r>
            <w:r>
              <w:rPr>
                <w:rFonts w:ascii="Times New Roman" w:hAnsi="Times New Roman" w:cs="Times New Roman"/>
                <w:sz w:val="20"/>
                <w:szCs w:val="20"/>
                <w:highlight w:val="none"/>
                <w14:ligatures w14:val="none"/>
              </w:rPr>
            </w:r>
          </w:p>
        </w:tc>
        <w:tc>
          <w:tcPr>
            <w:tcW w:w="2409" w:type="dxa"/>
            <w:vMerge w:val="restart"/>
            <w:textDirection w:val="lrTb"/>
            <w:noWrap w:val="false"/>
          </w:tcPr>
          <w:p>
            <w:pPr>
              <w:pStyle w:val="1265"/>
              <w:rPr>
                <w:rFonts w:ascii="Times New Roman" w:hAnsi="Times New Roman" w:cs="Times New Roman"/>
                <w:sz w:val="16"/>
                <w:szCs w:val="16"/>
                <w:highlight w:val="none"/>
              </w:rPr>
            </w:pPr>
            <w:r>
              <w:rPr>
                <w:rFonts w:ascii="Times New Roman" w:hAnsi="Times New Roman" w:eastAsia="Times New Roman" w:cs="Times New Roman"/>
                <w:sz w:val="20"/>
                <w:szCs w:val="20"/>
              </w:rPr>
              <w:t xml:space="preserve">1,99 % от суммы каждой операции</w:t>
            </w:r>
            <w:r>
              <w:rPr>
                <w:rFonts w:ascii="Times New Roman" w:hAnsi="Times New Roman" w:cs="Times New Roman"/>
                <w:sz w:val="16"/>
                <w:szCs w:val="16"/>
                <w:highlight w:val="none"/>
              </w:rPr>
            </w:r>
            <w:r>
              <w:rPr>
                <w:rFonts w:ascii="Times New Roman" w:hAnsi="Times New Roman" w:cs="Times New Roman"/>
                <w:sz w:val="16"/>
                <w:szCs w:val="16"/>
                <w:highlight w:val="none"/>
              </w:rPr>
            </w:r>
          </w:p>
          <w:p>
            <w:r/>
            <w:r/>
          </w:p>
        </w:tc>
        <w:tc>
          <w:tcPr>
            <w:tcW w:w="4926" w:type="dxa"/>
            <w:vMerge w:val="restart"/>
            <w:textDirection w:val="lrTb"/>
            <w:noWrap w:val="false"/>
          </w:tcPr>
          <w:p>
            <w:pPr>
              <w:jc w:val="both"/>
              <w:spacing w:after="40"/>
              <w:widowControl w:val="off"/>
              <w:rPr>
                <w:sz w:val="20"/>
                <w:szCs w:val="20"/>
                <w:highlight w:val="none"/>
              </w:rPr>
            </w:pPr>
            <w:r>
              <w:rPr>
                <w:sz w:val="20"/>
                <w:szCs w:val="20"/>
                <w:highlight w:val="none"/>
              </w:rPr>
            </w:r>
            <w:r>
              <w:rPr>
                <w:sz w:val="20"/>
                <w:szCs w:val="20"/>
                <w:highlight w:val="none"/>
              </w:rPr>
            </w:r>
            <w:r>
              <w:rPr>
                <w:sz w:val="20"/>
                <w:szCs w:val="20"/>
                <w:highlight w:val="none"/>
              </w:rPr>
            </w:r>
          </w:p>
        </w:tc>
      </w:tr>
      <w:tr>
        <w:tblPrEx/>
        <w:trPr>
          <w:trHeight w:val="0"/>
        </w:trPr>
        <w:tc>
          <w:tcPr>
            <w:tcW w:w="2552" w:type="dxa"/>
            <w:vMerge w:val="restart"/>
            <w:textDirection w:val="lrTb"/>
            <w:noWrap w:val="false"/>
          </w:tcPr>
          <w:p>
            <w:pPr>
              <w:jc w:val="both"/>
              <w:spacing w:after="40"/>
              <w:widowControl w:val="off"/>
              <w:rPr>
                <w:rFonts w:ascii="Times New Roman" w:hAnsi="Times New Roman" w:cs="Times New Roman"/>
                <w:sz w:val="20"/>
                <w:szCs w:val="20"/>
                <w:highlight w:val="none"/>
                <w14:ligatures w14:val="none"/>
              </w:rPr>
            </w:pPr>
            <w:r>
              <w:rPr>
                <w:rFonts w:ascii="Times New Roman" w:hAnsi="Times New Roman" w:eastAsia="Times New Roman" w:cs="Times New Roman"/>
                <w:sz w:val="20"/>
                <w:szCs w:val="20"/>
                <w:highlight w:val="none"/>
              </w:rPr>
              <w:t xml:space="preserve">Торговый эквайринг для МСС 7011</w:t>
            </w:r>
            <w:r>
              <w:rPr>
                <w:rFonts w:ascii="Times New Roman" w:hAnsi="Times New Roman" w:cs="Times New Roman"/>
                <w:sz w:val="20"/>
                <w:szCs w:val="20"/>
                <w:highlight w:val="none"/>
                <w14:ligatures w14:val="none"/>
              </w:rPr>
            </w:r>
            <w:r>
              <w:rPr>
                <w:rFonts w:ascii="Times New Roman" w:hAnsi="Times New Roman" w:cs="Times New Roman"/>
                <w:sz w:val="20"/>
                <w:szCs w:val="20"/>
                <w:highlight w:val="none"/>
                <w14:ligatures w14:val="none"/>
              </w:rPr>
            </w:r>
          </w:p>
        </w:tc>
        <w:tc>
          <w:tcPr>
            <w:tcW w:w="2409" w:type="dxa"/>
            <w:vMerge w:val="restart"/>
            <w:textDirection w:val="lrTb"/>
            <w:noWrap w:val="false"/>
          </w:tcPr>
          <w:p>
            <w:pPr>
              <w:pStyle w:val="1265"/>
              <w:rPr>
                <w:rFonts w:ascii="Times New Roman" w:hAnsi="Times New Roman" w:cs="Times New Roman"/>
                <w:sz w:val="16"/>
                <w:szCs w:val="16"/>
                <w:highlight w:val="none"/>
              </w:rPr>
            </w:pPr>
            <w:r>
              <w:rPr>
                <w:rFonts w:ascii="Times New Roman" w:hAnsi="Times New Roman" w:eastAsia="Times New Roman" w:cs="Times New Roman"/>
                <w:sz w:val="20"/>
                <w:szCs w:val="20"/>
              </w:rPr>
              <w:t xml:space="preserve">2,1 % от суммы каждой операции</w:t>
            </w:r>
            <w:r>
              <w:rPr>
                <w:rFonts w:ascii="Times New Roman" w:hAnsi="Times New Roman" w:cs="Times New Roman"/>
                <w:sz w:val="16"/>
                <w:szCs w:val="16"/>
                <w:highlight w:val="none"/>
              </w:rPr>
            </w:r>
            <w:r>
              <w:rPr>
                <w:rFonts w:ascii="Times New Roman" w:hAnsi="Times New Roman" w:cs="Times New Roman"/>
                <w:sz w:val="16"/>
                <w:szCs w:val="16"/>
                <w:highlight w:val="none"/>
              </w:rPr>
            </w:r>
          </w:p>
        </w:tc>
        <w:tc>
          <w:tcPr>
            <w:tcW w:w="4926" w:type="dxa"/>
            <w:vMerge w:val="restart"/>
            <w:textDirection w:val="lrTb"/>
            <w:noWrap w:val="false"/>
          </w:tcPr>
          <w:p>
            <w:pPr>
              <w:jc w:val="both"/>
              <w:spacing w:after="40"/>
              <w:widowControl w:val="off"/>
              <w:rPr>
                <w:sz w:val="20"/>
                <w:szCs w:val="20"/>
                <w:highlight w:val="none"/>
              </w:rPr>
            </w:pPr>
            <w:r>
              <w:rPr>
                <w:sz w:val="20"/>
                <w:szCs w:val="20"/>
                <w:highlight w:val="none"/>
              </w:rPr>
            </w:r>
            <w:r>
              <w:rPr>
                <w:sz w:val="20"/>
                <w:szCs w:val="20"/>
                <w:highlight w:val="none"/>
              </w:rPr>
            </w:r>
            <w:r>
              <w:rPr>
                <w:sz w:val="20"/>
                <w:szCs w:val="20"/>
                <w:highlight w:val="none"/>
              </w:rPr>
            </w:r>
          </w:p>
        </w:tc>
      </w:tr>
      <w:tr>
        <w:tblPrEx/>
        <w:trPr>
          <w:trHeight w:val="0"/>
        </w:trPr>
        <w:tc>
          <w:tcPr>
            <w:gridSpan w:val="3"/>
            <w:tcW w:w="9887" w:type="dxa"/>
            <w:vMerge w:val="restart"/>
            <w:textDirection w:val="lrTb"/>
            <w:noWrap w:val="false"/>
          </w:tcPr>
          <w:p>
            <w:pPr>
              <w:pStyle w:val="1265"/>
              <w:rPr>
                <w:b/>
                <w:bCs/>
                <w:sz w:val="20"/>
                <w:szCs w:val="20"/>
                <w:highlight w:val="none"/>
                <w14:ligatures w14:val="none"/>
              </w:rPr>
            </w:pPr>
            <w:r>
              <w:rPr>
                <w:b/>
                <w:bCs/>
                <w:sz w:val="20"/>
                <w:szCs w:val="20"/>
                <w:highlight w:val="none"/>
              </w:rPr>
            </w:r>
            <w:r>
              <w:rPr>
                <w:b/>
                <w:bCs/>
                <w:sz w:val="20"/>
                <w:szCs w:val="20"/>
                <w:highlight w:val="none"/>
              </w:rPr>
              <w:t xml:space="preserve">Опция </w:t>
            </w:r>
            <w:r>
              <w:rPr>
                <w:b/>
                <w:bCs/>
                <w:sz w:val="20"/>
                <w:szCs w:val="20"/>
                <w:highlight w:val="none"/>
              </w:rPr>
              <w:t xml:space="preserve">«Э</w:t>
            </w:r>
            <w:r>
              <w:rPr>
                <w:b/>
                <w:bCs/>
                <w:sz w:val="20"/>
                <w:szCs w:val="20"/>
                <w:highlight w:val="none"/>
              </w:rPr>
              <w:t xml:space="preserve">квайринг за 0</w:t>
            </w:r>
            <w:r>
              <w:rPr>
                <w:b/>
                <w:bCs/>
                <w:sz w:val="20"/>
                <w:szCs w:val="20"/>
                <w:highlight w:val="none"/>
              </w:rPr>
              <w:t xml:space="preserve">»</w:t>
            </w:r>
            <w:r>
              <w:rPr>
                <w:b/>
                <w:bCs/>
                <w:sz w:val="20"/>
                <w:szCs w:val="20"/>
                <w:highlight w:val="none"/>
                <w14:ligatures w14:val="none"/>
              </w:rPr>
            </w:r>
            <w:r>
              <w:rPr>
                <w:b/>
                <w:bCs/>
                <w:sz w:val="20"/>
                <w:szCs w:val="20"/>
                <w:highlight w:val="none"/>
                <w14:ligatures w14:val="none"/>
              </w:rPr>
            </w:r>
          </w:p>
        </w:tc>
      </w:tr>
      <w:tr>
        <w:tblPrEx/>
        <w:trPr/>
        <w:tc>
          <w:tcPr>
            <w:gridSpan w:val="3"/>
            <w:tcW w:w="9887" w:type="dxa"/>
            <w:vMerge w:val="restart"/>
            <w:textDirection w:val="lrTb"/>
            <w:noWrap w:val="false"/>
          </w:tcPr>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14:ligatures w14:val="none"/>
              </w:rPr>
            </w:r>
            <w:r>
              <w:rPr>
                <w:sz w:val="20"/>
                <w:szCs w:val="20"/>
                <w:highlight w:val="none"/>
                <w:lang w:val="en-US"/>
              </w:rPr>
              <w:t xml:space="preserve">Клиенту с ОКВЭД 56 </w:t>
            </w:r>
            <w:r>
              <w:rPr>
                <w:sz w:val="20"/>
                <w:szCs w:val="20"/>
                <w:highlight w:val="none"/>
                <w:lang w:val="en-US"/>
              </w:rPr>
              <w:t xml:space="preserve">и МСС 5814 предоставляется</w:t>
            </w:r>
            <w:r>
              <w:rPr>
                <w:sz w:val="20"/>
                <w:szCs w:val="20"/>
                <w:highlight w:val="none"/>
                <w:lang w:val="en-US"/>
              </w:rPr>
              <w:t xml:space="preserve"> льготная тарификация торгового эквайринга:</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lang w:val="en-US"/>
                <w14:ligatures w14:val="none"/>
              </w:rPr>
            </w:pPr>
            <w:r>
              <w:rPr>
                <w:sz w:val="20"/>
                <w:szCs w:val="20"/>
                <w:highlight w:val="none"/>
              </w:rPr>
            </w:r>
            <w:r>
              <w:rPr>
                <w:sz w:val="20"/>
                <w:szCs w:val="20"/>
                <w:highlight w:val="none"/>
                <w:lang w:val="en-US"/>
              </w:rPr>
              <w:t xml:space="preserve">Клиенту с МСС 5814 </w:t>
            </w:r>
            <w:r>
              <w:rPr>
                <w:sz w:val="20"/>
                <w:szCs w:val="20"/>
                <w:highlight w:val="none"/>
                <w:lang w:val="en-US"/>
              </w:rPr>
              <w:t xml:space="preserve">предоставляется возможность подключения </w:t>
            </w:r>
            <w:r>
              <w:rPr>
                <w:sz w:val="20"/>
                <w:szCs w:val="20"/>
                <w:highlight w:val="none"/>
                <w:lang w:val="en-US"/>
              </w:rPr>
              <w:t xml:space="preserve">дополнительных МСС: 5811, </w:t>
            </w:r>
            <w:r>
              <w:rPr>
                <w:sz w:val="20"/>
                <w:szCs w:val="20"/>
                <w:highlight w:val="none"/>
                <w:lang w:val="en-US"/>
              </w:rPr>
              <w:t xml:space="preserve">5812, 5813,</w:t>
            </w:r>
            <w:r>
              <w:rPr>
                <w:sz w:val="20"/>
                <w:szCs w:val="20"/>
                <w:highlight w:val="none"/>
                <w:lang w:val="en-US"/>
              </w:rPr>
              <w:t xml:space="preserve"> 5441, 5462, 7011</w:t>
            </w:r>
            <w:r>
              <w:rPr>
                <w:sz w:val="20"/>
                <w:szCs w:val="20"/>
                <w:highlight w:val="none"/>
                <w:lang w:val="en-US"/>
              </w:rPr>
              <w:t xml:space="preserve"> </w:t>
            </w:r>
            <w:r>
              <w:rPr>
                <w:sz w:val="20"/>
                <w:szCs w:val="20"/>
                <w:highlight w:val="none"/>
                <w:lang w:val="en-US"/>
              </w:rPr>
              <w:t xml:space="preserve">к </w:t>
            </w:r>
            <w:r>
              <w:rPr>
                <w:sz w:val="20"/>
                <w:szCs w:val="20"/>
                <w:highlight w:val="none"/>
                <w:lang w:val="en-US"/>
              </w:rPr>
              <w:t xml:space="preserve">обслуживанию в рамках опции “Эквайринг за 0</w:t>
            </w:r>
            <w:r>
              <w:rPr>
                <w:sz w:val="20"/>
                <w:szCs w:val="20"/>
                <w:highlight w:val="none"/>
                <w:lang w:val="en-US"/>
              </w:rPr>
              <w:t xml:space="preserve">”</w:t>
            </w:r>
            <w:r>
              <w:rPr>
                <w:sz w:val="20"/>
                <w:szCs w:val="20"/>
                <w:highlight w:val="none"/>
                <w:lang w:val="en-US"/>
              </w:rPr>
              <w:t xml:space="preserve">.</w:t>
            </w:r>
            <w:r>
              <w:rPr>
                <w:sz w:val="20"/>
                <w:szCs w:val="20"/>
                <w:highlight w:val="none"/>
                <w:lang w:val="en-US"/>
                <w14:ligatures w14:val="none"/>
              </w:rPr>
            </w:r>
            <w:r>
              <w:rPr>
                <w:sz w:val="20"/>
                <w:szCs w:val="20"/>
                <w:highlight w:val="none"/>
                <w:lang w:val="en-US"/>
                <w14:ligatures w14:val="none"/>
              </w:rPr>
            </w:r>
          </w:p>
          <w:p>
            <w:pPr>
              <w:rPr>
                <w:rFonts w:ascii="Times New Roman" w:hAnsi="Times New Roman" w:cs="Times New Roman"/>
                <w:sz w:val="20"/>
                <w:szCs w:val="20"/>
              </w:rPr>
            </w:pPr>
            <w:r>
              <w:rPr>
                <w:rFonts w:ascii="Times New Roman" w:hAnsi="Times New Roman" w:eastAsia="Times New Roman" w:cs="Times New Roman"/>
                <w:sz w:val="20"/>
                <w:szCs w:val="20"/>
                <w:highlight w:val="none"/>
                <w:lang w:val="en-US"/>
              </w:rPr>
            </w:r>
            <w:r>
              <w:rPr>
                <w:rFonts w:ascii="Times New Roman" w:hAnsi="Times New Roman" w:eastAsia="Times New Roman" w:cs="Times New Roman"/>
                <w:sz w:val="20"/>
                <w:szCs w:val="20"/>
              </w:rPr>
              <w:t xml:space="preserve">Опция предоставляется при условии заключения Клиентом с Банком Договора эквайринга</w:t>
            </w:r>
            <w:r>
              <w:rPr>
                <w:rFonts w:ascii="Times New Roman" w:hAnsi="Times New Roman" w:cs="Times New Roman"/>
                <w:sz w:val="20"/>
                <w:szCs w:val="20"/>
              </w:rPr>
            </w:r>
            <w:r>
              <w:rPr>
                <w:rFonts w:ascii="Times New Roman" w:hAnsi="Times New Roman" w:cs="Times New Roman"/>
                <w:sz w:val="20"/>
                <w:szCs w:val="20"/>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r>
            <w:r>
              <w:rPr>
                <w:sz w:val="20"/>
                <w:szCs w:val="20"/>
                <w:highlight w:val="none"/>
                <w:lang w:val="en-US"/>
              </w:rPr>
              <w:t xml:space="preserve">Период  </w:t>
            </w:r>
            <w:r>
              <w:rPr>
                <w:sz w:val="20"/>
                <w:szCs w:val="20"/>
                <w:highlight w:val="none"/>
                <w:lang w:val="en-US"/>
              </w:rPr>
              <w:t xml:space="preserve">подключения</w:t>
            </w:r>
            <w:r>
              <w:rPr>
                <w:sz w:val="20"/>
                <w:szCs w:val="20"/>
                <w:highlight w:val="none"/>
                <w:lang w:val="en-US"/>
              </w:rPr>
              <w:t xml:space="preserve"> опции: </w:t>
            </w:r>
            <w:r>
              <w:rPr>
                <w:sz w:val="20"/>
                <w:szCs w:val="20"/>
                <w:highlight w:val="none"/>
                <w:lang w:val="en-US"/>
              </w:rPr>
              <w:t xml:space="preserve">с 18.08.2025 до 30.09.2026</w:t>
            </w:r>
            <w:r>
              <w:rPr>
                <w:sz w:val="20"/>
                <w:szCs w:val="20"/>
                <w:highlight w:val="none"/>
                <w:lang w:val="en-US"/>
              </w:rPr>
              <w:t xml:space="preserve"> года</w:t>
            </w:r>
            <w:r>
              <w:rPr>
                <w:sz w:val="20"/>
                <w:szCs w:val="20"/>
                <w:highlight w:val="none"/>
                <w:lang w:val="en-US"/>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lang w:val="en-US"/>
              </w:rPr>
              <w:t xml:space="preserve">Период обслуживания по опции: </w:t>
            </w:r>
            <w:r>
              <w:rPr>
                <w:sz w:val="20"/>
                <w:szCs w:val="20"/>
                <w:highlight w:val="none"/>
                <w:lang w:val="en-US"/>
              </w:rPr>
              <w:t xml:space="preserve">с </w:t>
            </w:r>
            <w:r>
              <w:rPr>
                <w:sz w:val="20"/>
                <w:szCs w:val="20"/>
                <w:highlight w:val="none"/>
                <w:lang w:val="en-US"/>
              </w:rPr>
              <w:t xml:space="preserve">даты под</w:t>
            </w:r>
            <w:r>
              <w:rPr>
                <w:sz w:val="20"/>
                <w:szCs w:val="20"/>
                <w:highlight w:val="none"/>
                <w:lang w:val="en-US"/>
              </w:rPr>
              <w:t xml:space="preserve">к</w:t>
            </w:r>
            <w:r>
              <w:rPr>
                <w:sz w:val="20"/>
                <w:szCs w:val="20"/>
                <w:highlight w:val="none"/>
                <w:lang w:val="en-US"/>
              </w:rPr>
              <w:t xml:space="preserve">л</w:t>
            </w:r>
            <w:r>
              <w:rPr>
                <w:sz w:val="20"/>
                <w:szCs w:val="20"/>
                <w:highlight w:val="none"/>
                <w:lang w:val="en-US"/>
              </w:rPr>
              <w:t xml:space="preserve">ючения Клиенту Опции </w:t>
            </w:r>
            <w:r>
              <w:rPr>
                <w:sz w:val="20"/>
                <w:szCs w:val="20"/>
                <w:highlight w:val="none"/>
                <w:lang w:val="en-US"/>
              </w:rPr>
              <w:t xml:space="preserve">до </w:t>
            </w:r>
            <w:r>
              <w:rPr>
                <w:sz w:val="20"/>
                <w:szCs w:val="20"/>
                <w:highlight w:val="none"/>
                <w:lang w:val="en-US"/>
              </w:rPr>
              <w:t xml:space="preserve">31.07.2027</w:t>
            </w:r>
            <w:r>
              <w:rPr>
                <w:sz w:val="20"/>
                <w:szCs w:val="20"/>
                <w:highlight w:val="none"/>
                <w:lang w:val="en-US"/>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r>
            <w:r>
              <w:rPr>
                <w:sz w:val="20"/>
                <w:szCs w:val="20"/>
                <w:highlight w:val="none"/>
                <w:lang w:val="en-US"/>
              </w:rPr>
              <w:t xml:space="preserve">После прекращения действия опции Клиент переводится на обслуживание</w:t>
            </w:r>
            <w:r>
              <w:rPr>
                <w:sz w:val="20"/>
                <w:szCs w:val="20"/>
                <w:highlight w:val="none"/>
                <w:lang w:val="en-US"/>
              </w:rPr>
              <w:t xml:space="preserve"> с ТП</w:t>
            </w:r>
            <w:r>
              <w:rPr>
                <w:sz w:val="20"/>
                <w:szCs w:val="20"/>
                <w:highlight w:val="none"/>
                <w:lang w:val="en-US"/>
              </w:rPr>
              <w:t xml:space="preserve"> на Тарифы Банка.</w:t>
            </w:r>
            <w:r>
              <w:rPr>
                <w:sz w:val="20"/>
                <w:szCs w:val="20"/>
                <w:highlight w:val="none"/>
                <w:lang w:val="en-US"/>
              </w:rPr>
              <w:t xml:space="preserve"> </w:t>
            </w:r>
            <w:r>
              <w:rPr>
                <w:sz w:val="20"/>
                <w:szCs w:val="20"/>
                <w:highlight w:val="none"/>
                <w14:ligatures w14:val="none"/>
              </w:rPr>
            </w:r>
            <w:r>
              <w:rPr>
                <w:sz w:val="20"/>
                <w:szCs w:val="20"/>
                <w:highlight w:val="none"/>
                <w14:ligatures w14:val="none"/>
              </w:rPr>
            </w:r>
          </w:p>
        </w:tc>
      </w:tr>
      <w:tr>
        <w:tblPrEx/>
        <w:trPr>
          <w:trHeight w:val="230"/>
        </w:trPr>
        <w:tc>
          <w:tcPr>
            <w:tcW w:w="2552" w:type="dxa"/>
            <w:vMerge w:val="restart"/>
            <w:textDirection w:val="lrTb"/>
            <w:noWrap w:val="false"/>
          </w:tcPr>
          <w:p>
            <w:pPr>
              <w:jc w:val="both"/>
              <w:spacing w:after="40"/>
              <w:widowControl w:val="off"/>
              <w:rPr>
                <w:sz w:val="20"/>
                <w:szCs w:val="20"/>
                <w:highlight w:val="none"/>
                <w14:ligatures w14:val="none"/>
              </w:rPr>
            </w:pPr>
            <w:r>
              <w:rPr>
                <w:sz w:val="20"/>
                <w:szCs w:val="20"/>
                <w:highlight w:val="none"/>
              </w:rPr>
              <w:t xml:space="preserve">Торговый эквайринг для МСС 5814, </w:t>
            </w:r>
            <w:r>
              <w:rPr>
                <w:sz w:val="20"/>
                <w:szCs w:val="20"/>
                <w:highlight w:val="none"/>
                <w:lang w:val="en-US"/>
              </w:rPr>
              <w:t xml:space="preserve">5811, 5812, 5813, 5441, 5462</w:t>
            </w:r>
            <w:r>
              <w:rPr>
                <w:sz w:val="20"/>
                <w:szCs w:val="20"/>
                <w:highlight w:val="none"/>
                <w14:ligatures w14:val="none"/>
              </w:rPr>
            </w:r>
            <w:r>
              <w:rPr>
                <w:sz w:val="20"/>
                <w:szCs w:val="20"/>
                <w:highlight w:val="none"/>
                <w14:ligatures w14:val="none"/>
              </w:rPr>
            </w:r>
          </w:p>
          <w:p>
            <w:r/>
            <w:r/>
          </w:p>
          <w:p>
            <w:r/>
            <w:r/>
          </w:p>
        </w:tc>
        <w:tc>
          <w:tcPr>
            <w:tcW w:w="2409" w:type="dxa"/>
            <w:vMerge w:val="restart"/>
            <w:textDirection w:val="lrTb"/>
            <w:noWrap w:val="false"/>
          </w:tcPr>
          <w:p>
            <w:pPr>
              <w:jc w:val="center"/>
              <w:spacing w:before="40" w:after="40"/>
              <w:widowControl w:val="off"/>
              <w:rPr>
                <w:sz w:val="20"/>
                <w:szCs w:val="20"/>
                <w:highlight w:val="none"/>
              </w:rPr>
            </w:pPr>
            <w:r>
              <w:rPr>
                <w:sz w:val="20"/>
                <w:szCs w:val="20"/>
              </w:rPr>
              <w:t xml:space="preserve">0 % от суммы </w:t>
            </w:r>
            <w:r>
              <w:rPr>
                <w:sz w:val="20"/>
                <w:szCs w:val="20"/>
              </w:rPr>
              <w:t xml:space="preserve">каждой </w:t>
            </w:r>
            <w:r>
              <w:rPr>
                <w:sz w:val="20"/>
                <w:szCs w:val="20"/>
              </w:rPr>
              <w:t xml:space="preserve">операци</w:t>
            </w:r>
            <w:r>
              <w:rPr>
                <w:sz w:val="20"/>
                <w:szCs w:val="20"/>
              </w:rPr>
              <w:t xml:space="preserve">и</w:t>
            </w:r>
            <w:r>
              <w:rPr>
                <w:sz w:val="20"/>
                <w:szCs w:val="20"/>
              </w:rPr>
              <w:t xml:space="preserve">*</w:t>
            </w:r>
            <w:r>
              <w:rPr>
                <w:sz w:val="20"/>
                <w:szCs w:val="20"/>
                <w:highlight w:val="none"/>
              </w:rPr>
            </w:r>
            <w:r>
              <w:rPr>
                <w:sz w:val="20"/>
                <w:szCs w:val="20"/>
                <w:highlight w:val="none"/>
              </w:rPr>
            </w:r>
          </w:p>
          <w:p>
            <w:pPr>
              <w:jc w:val="center"/>
              <w:spacing w:before="40" w:after="40"/>
              <w:widowControl w:val="off"/>
              <w:rPr>
                <w:sz w:val="20"/>
                <w:szCs w:val="20"/>
                <w:highlight w:val="none"/>
              </w:rPr>
            </w:pPr>
            <w:r>
              <w:rPr>
                <w:sz w:val="20"/>
                <w:szCs w:val="20"/>
                <w:highlight w:val="none"/>
              </w:rPr>
              <w:t xml:space="preserve">(*при </w:t>
            </w:r>
            <w:r>
              <w:rPr>
                <w:sz w:val="20"/>
                <w:szCs w:val="20"/>
                <w:highlight w:val="none"/>
              </w:rPr>
              <w:t xml:space="preserve">обороте</w:t>
            </w:r>
            <w:r>
              <w:rPr>
                <w:sz w:val="20"/>
                <w:szCs w:val="20"/>
                <w:highlight w:val="none"/>
              </w:rPr>
            </w:r>
            <w:r>
              <w:rPr>
                <w:sz w:val="20"/>
                <w:szCs w:val="20"/>
                <w:highlight w:val="none"/>
              </w:rPr>
            </w:r>
          </w:p>
          <w:p>
            <w:pPr>
              <w:jc w:val="center"/>
              <w:spacing w:before="40" w:after="40"/>
              <w:widowControl w:val="off"/>
              <w:rPr>
                <w:sz w:val="20"/>
                <w:szCs w:val="20"/>
                <w:highlight w:val="none"/>
              </w:rPr>
            </w:pPr>
            <w:r>
              <w:rPr>
                <w:sz w:val="20"/>
                <w:szCs w:val="20"/>
                <w:highlight w:val="none"/>
              </w:rPr>
              <w:t xml:space="preserve">до 100 000 руб/мес.</w:t>
            </w:r>
            <w:r>
              <w:rPr>
                <w:sz w:val="20"/>
                <w:szCs w:val="20"/>
                <w:highlight w:val="none"/>
              </w:rPr>
              <w:t xml:space="preserve">) </w:t>
            </w:r>
            <w:r>
              <w:rPr>
                <w:sz w:val="20"/>
                <w:szCs w:val="20"/>
                <w:highlight w:val="none"/>
              </w:rPr>
            </w:r>
            <w:r>
              <w:rPr>
                <w:sz w:val="20"/>
                <w:szCs w:val="20"/>
                <w:highlight w:val="none"/>
              </w:rPr>
            </w:r>
          </w:p>
          <w:p>
            <w:pPr>
              <w:jc w:val="center"/>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r>
            <w:r>
              <w:rPr>
                <w:sz w:val="20"/>
                <w:szCs w:val="20"/>
                <w:highlight w:val="none"/>
                <w14:ligatures w14:val="none"/>
              </w:rPr>
            </w:r>
            <w:r>
              <w:rPr>
                <w:sz w:val="20"/>
                <w:szCs w:val="20"/>
                <w:highlight w:val="none"/>
                <w14:ligatures w14:val="none"/>
              </w:rPr>
            </w:r>
          </w:p>
          <w:p>
            <w:pPr>
              <w:jc w:val="center"/>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С момента превышения месячного оборота в размере 100 000 руб., </w:t>
            </w:r>
            <w:r>
              <w:rPr>
                <w:sz w:val="20"/>
                <w:szCs w:val="20"/>
                <w:highlight w:val="none"/>
                <w14:ligatures w14:val="none"/>
              </w:rPr>
              <w:t xml:space="preserve">ставка - 1,99% </w:t>
            </w:r>
            <w:r>
              <w:rPr>
                <w:sz w:val="20"/>
                <w:szCs w:val="20"/>
              </w:rPr>
              <w:t xml:space="preserve">от суммы </w:t>
            </w:r>
            <w:r>
              <w:rPr>
                <w:sz w:val="20"/>
                <w:szCs w:val="20"/>
              </w:rPr>
              <w:t xml:space="preserve">каждой </w:t>
            </w:r>
            <w:r>
              <w:rPr>
                <w:sz w:val="20"/>
                <w:szCs w:val="20"/>
              </w:rPr>
              <w:t xml:space="preserve">операци</w:t>
            </w:r>
            <w:r>
              <w:rPr>
                <w:sz w:val="20"/>
                <w:szCs w:val="20"/>
              </w:rPr>
              <w:t xml:space="preserve">и</w:t>
            </w:r>
            <w:r>
              <w:rPr>
                <w:sz w:val="20"/>
                <w:szCs w:val="20"/>
                <w:highlight w:val="none"/>
                <w14:ligatures w14:val="none"/>
              </w:rPr>
              <w:t xml:space="preserve">.</w:t>
            </w:r>
            <w:r>
              <w:rPr>
                <w:sz w:val="20"/>
                <w:szCs w:val="20"/>
                <w:highlight w:val="none"/>
                <w14:ligatures w14:val="none"/>
              </w:rPr>
            </w:r>
            <w:r>
              <w:rPr>
                <w:sz w:val="20"/>
                <w:szCs w:val="20"/>
                <w:highlight w:val="none"/>
                <w14:ligatures w14:val="none"/>
              </w:rPr>
            </w:r>
          </w:p>
        </w:tc>
        <w:tc>
          <w:tcPr>
            <w:tcW w:w="4926" w:type="dxa"/>
            <w:vMerge w:val="restart"/>
            <w:textDirection w:val="lrTb"/>
            <w:noWrap w:val="false"/>
          </w:tcPr>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Все операции по эквайрингу в рамках календарного месяца суммируются в разрезе суммы оборота.</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Ставка 0,00% применяется только к тем операциям, которые были проведены до достижения лимита</w:t>
            </w:r>
            <w:r>
              <w:rPr>
                <w:sz w:val="20"/>
                <w:szCs w:val="20"/>
                <w:highlight w:val="none"/>
                <w14:ligatures w14:val="none"/>
              </w:rPr>
              <w:t xml:space="preserve"> месячного оборота</w:t>
            </w:r>
            <w:r>
              <w:rPr>
                <w:sz w:val="20"/>
                <w:szCs w:val="20"/>
                <w:highlight w:val="none"/>
                <w14:ligatures w14:val="none"/>
              </w:rPr>
              <w:t xml:space="preserve"> 100 000 руб./мес.</w:t>
            </w:r>
            <w:r>
              <w:rPr>
                <w:sz w:val="20"/>
                <w:szCs w:val="20"/>
                <w:highlight w:val="none"/>
                <w14:ligatures w14:val="none"/>
              </w:rPr>
              <w:t xml:space="preserve"> (включительно)</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С момента превышения месячного оборота в размере 100 000 руб., </w:t>
            </w:r>
            <w:r>
              <w:rPr>
                <w:sz w:val="20"/>
                <w:szCs w:val="20"/>
                <w:highlight w:val="none"/>
                <w14:ligatures w14:val="none"/>
              </w:rPr>
              <w:t xml:space="preserve">за </w:t>
            </w:r>
            <w:r>
              <w:rPr>
                <w:sz w:val="20"/>
                <w:szCs w:val="20"/>
                <w:highlight w:val="none"/>
                <w14:ligatures w14:val="none"/>
              </w:rPr>
              <w:t xml:space="preserve">все последующие операции в этом месяце </w:t>
            </w:r>
            <w:r>
              <w:rPr>
                <w:sz w:val="20"/>
                <w:szCs w:val="20"/>
                <w:highlight w:val="none"/>
                <w14:ligatures w14:val="none"/>
              </w:rPr>
              <w:t xml:space="preserve">взимается комиссионное вознаграждение в размере</w:t>
            </w:r>
            <w:r>
              <w:rPr>
                <w:sz w:val="20"/>
                <w:szCs w:val="20"/>
                <w:highlight w:val="none"/>
                <w14:ligatures w14:val="none"/>
              </w:rPr>
              <w:t xml:space="preserve"> 1,99%</w:t>
            </w:r>
            <w:r>
              <w:rPr>
                <w:sz w:val="20"/>
                <w:szCs w:val="20"/>
                <w:highlight w:val="none"/>
                <w14:ligatures w14:val="none"/>
              </w:rPr>
              <w:t xml:space="preserve"> от суммы каждой операции</w:t>
            </w:r>
            <w:r>
              <w:rPr>
                <w:sz w:val="20"/>
                <w:szCs w:val="20"/>
                <w:highlight w:val="none"/>
                <w14:ligatures w14:val="none"/>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Превышение </w:t>
            </w:r>
            <w:r>
              <w:rPr>
                <w:sz w:val="20"/>
                <w:szCs w:val="20"/>
                <w:highlight w:val="none"/>
                <w14:ligatures w14:val="none"/>
              </w:rPr>
              <w:t xml:space="preserve">месячного оборота </w:t>
            </w:r>
            <w:r>
              <w:rPr>
                <w:sz w:val="20"/>
                <w:szCs w:val="20"/>
                <w:highlight w:val="none"/>
                <w14:ligatures w14:val="none"/>
              </w:rPr>
              <w:t xml:space="preserve">определяется нарастающим итогом по итогам каждого дня.</w:t>
            </w:r>
            <w:r>
              <w:rPr>
                <w:sz w:val="20"/>
                <w:szCs w:val="20"/>
                <w:highlight w:val="none"/>
                <w14:ligatures w14:val="none"/>
              </w:rPr>
            </w:r>
            <w:r>
              <w:rPr>
                <w:sz w:val="20"/>
                <w:szCs w:val="20"/>
                <w:highlight w:val="none"/>
                <w14:ligatures w14:val="none"/>
              </w:rPr>
            </w:r>
          </w:p>
        </w:tc>
      </w:tr>
      <w:tr>
        <w:tblPrEx/>
        <w:trPr>
          <w:trHeight w:val="1965"/>
        </w:trPr>
        <w:tc>
          <w:tcPr>
            <w:tcW w:w="2552" w:type="dxa"/>
            <w:vMerge w:val="restart"/>
            <w:textDirection w:val="lrTb"/>
            <w:noWrap w:val="false"/>
          </w:tcPr>
          <w:p>
            <w:pPr>
              <w:jc w:val="both"/>
              <w:spacing w:after="40"/>
              <w:widowControl w:val="off"/>
              <w:rPr>
                <w:sz w:val="20"/>
                <w:szCs w:val="20"/>
                <w:highlight w:val="none"/>
                <w14:ligatures w14:val="none"/>
              </w:rPr>
            </w:pPr>
            <w:r>
              <w:rPr>
                <w:sz w:val="20"/>
                <w:szCs w:val="20"/>
                <w:highlight w:val="none"/>
              </w:rPr>
              <w:t xml:space="preserve">Торговый эквайринг для МСС </w:t>
            </w:r>
            <w:r>
              <w:rPr>
                <w:sz w:val="20"/>
                <w:szCs w:val="20"/>
                <w:highlight w:val="none"/>
                <w:lang w:val="en-US"/>
              </w:rPr>
              <w:t xml:space="preserve">7011</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rPr>
            </w:pPr>
            <w:r>
              <w:rPr>
                <w:sz w:val="20"/>
                <w:szCs w:val="20"/>
                <w:highlight w:val="none"/>
              </w:rPr>
            </w:r>
            <w:r>
              <w:rPr>
                <w:sz w:val="20"/>
                <w:szCs w:val="20"/>
                <w:highlight w:val="none"/>
              </w:rPr>
            </w:r>
            <w:r>
              <w:rPr>
                <w:sz w:val="20"/>
                <w:szCs w:val="20"/>
                <w:highlight w:val="none"/>
              </w:rPr>
            </w:r>
          </w:p>
        </w:tc>
        <w:tc>
          <w:tcPr>
            <w:tcW w:w="2409" w:type="dxa"/>
            <w:vMerge w:val="restart"/>
            <w:textDirection w:val="lrTb"/>
            <w:noWrap w:val="false"/>
          </w:tcPr>
          <w:p>
            <w:pPr>
              <w:jc w:val="center"/>
              <w:spacing w:before="40" w:after="40"/>
              <w:widowControl w:val="off"/>
              <w:rPr>
                <w:sz w:val="20"/>
                <w:szCs w:val="20"/>
                <w:highlight w:val="none"/>
              </w:rPr>
            </w:pPr>
            <w:r>
              <w:rPr>
                <w:sz w:val="20"/>
                <w:szCs w:val="20"/>
              </w:rPr>
              <w:t xml:space="preserve">0 % от суммы </w:t>
            </w:r>
            <w:r>
              <w:rPr>
                <w:sz w:val="20"/>
                <w:szCs w:val="20"/>
              </w:rPr>
              <w:t xml:space="preserve">каждой </w:t>
            </w:r>
            <w:r>
              <w:rPr>
                <w:sz w:val="20"/>
                <w:szCs w:val="20"/>
              </w:rPr>
              <w:t xml:space="preserve">операци</w:t>
            </w:r>
            <w:r>
              <w:rPr>
                <w:sz w:val="20"/>
                <w:szCs w:val="20"/>
              </w:rPr>
              <w:t xml:space="preserve">и</w:t>
            </w:r>
            <w:r>
              <w:rPr>
                <w:sz w:val="20"/>
                <w:szCs w:val="20"/>
              </w:rPr>
              <w:t xml:space="preserve">*</w:t>
            </w:r>
            <w:r>
              <w:rPr>
                <w:sz w:val="20"/>
                <w:szCs w:val="20"/>
                <w:highlight w:val="none"/>
              </w:rPr>
            </w:r>
            <w:r>
              <w:rPr>
                <w:sz w:val="20"/>
                <w:szCs w:val="20"/>
                <w:highlight w:val="none"/>
              </w:rPr>
            </w:r>
          </w:p>
          <w:p>
            <w:pPr>
              <w:jc w:val="center"/>
              <w:spacing w:before="40" w:after="40"/>
              <w:widowControl w:val="off"/>
              <w:rPr>
                <w:sz w:val="20"/>
                <w:szCs w:val="20"/>
                <w:highlight w:val="none"/>
              </w:rPr>
            </w:pPr>
            <w:r>
              <w:rPr>
                <w:sz w:val="20"/>
                <w:szCs w:val="20"/>
                <w:highlight w:val="none"/>
              </w:rPr>
              <w:t xml:space="preserve">(*при </w:t>
            </w:r>
            <w:r>
              <w:rPr>
                <w:sz w:val="20"/>
                <w:szCs w:val="20"/>
                <w:highlight w:val="none"/>
              </w:rPr>
              <w:t xml:space="preserve">обороте</w:t>
            </w:r>
            <w:r>
              <w:rPr>
                <w:sz w:val="20"/>
                <w:szCs w:val="20"/>
                <w:highlight w:val="none"/>
              </w:rPr>
            </w:r>
            <w:r>
              <w:rPr>
                <w:sz w:val="20"/>
                <w:szCs w:val="20"/>
                <w:highlight w:val="none"/>
              </w:rPr>
            </w:r>
          </w:p>
          <w:p>
            <w:pPr>
              <w:jc w:val="center"/>
              <w:spacing w:before="40" w:after="40"/>
              <w:widowControl w:val="off"/>
              <w:rPr>
                <w:sz w:val="20"/>
                <w:szCs w:val="20"/>
                <w:highlight w:val="none"/>
              </w:rPr>
            </w:pPr>
            <w:r>
              <w:rPr>
                <w:sz w:val="20"/>
                <w:szCs w:val="20"/>
                <w:highlight w:val="none"/>
              </w:rPr>
              <w:t xml:space="preserve">до 100 000 руб/мес.) </w:t>
            </w:r>
            <w:r>
              <w:rPr>
                <w:sz w:val="20"/>
                <w:szCs w:val="20"/>
                <w:highlight w:val="none"/>
              </w:rPr>
            </w:r>
            <w:r>
              <w:rPr>
                <w:sz w:val="20"/>
                <w:szCs w:val="20"/>
                <w:highlight w:val="none"/>
              </w:rPr>
            </w:r>
          </w:p>
          <w:p>
            <w:pPr>
              <w:jc w:val="center"/>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r>
            <w:r>
              <w:rPr>
                <w:sz w:val="20"/>
                <w:szCs w:val="20"/>
                <w:highlight w:val="none"/>
                <w14:ligatures w14:val="none"/>
              </w:rPr>
            </w:r>
            <w:r>
              <w:rPr>
                <w:sz w:val="20"/>
                <w:szCs w:val="20"/>
                <w:highlight w:val="none"/>
                <w14:ligatures w14:val="none"/>
              </w:rPr>
            </w:r>
          </w:p>
          <w:p>
            <w:pPr>
              <w:jc w:val="center"/>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С момента превышения месячного оборота в размере 100 000 руб., </w:t>
            </w:r>
            <w:r>
              <w:rPr>
                <w:sz w:val="20"/>
                <w:szCs w:val="20"/>
                <w:highlight w:val="none"/>
                <w14:ligatures w14:val="none"/>
              </w:rPr>
              <w:t xml:space="preserve">ставка - 2,1% </w:t>
            </w:r>
            <w:r>
              <w:rPr>
                <w:sz w:val="20"/>
                <w:szCs w:val="20"/>
              </w:rPr>
              <w:t xml:space="preserve">от суммы </w:t>
            </w:r>
            <w:r>
              <w:rPr>
                <w:sz w:val="20"/>
                <w:szCs w:val="20"/>
              </w:rPr>
              <w:t xml:space="preserve">каждой </w:t>
            </w:r>
            <w:r>
              <w:rPr>
                <w:sz w:val="20"/>
                <w:szCs w:val="20"/>
              </w:rPr>
              <w:t xml:space="preserve">операци</w:t>
            </w:r>
            <w:r>
              <w:rPr>
                <w:sz w:val="20"/>
                <w:szCs w:val="20"/>
              </w:rPr>
              <w:t xml:space="preserve">и</w:t>
            </w:r>
            <w:r>
              <w:rPr>
                <w:sz w:val="20"/>
                <w:szCs w:val="20"/>
                <w:highlight w:val="none"/>
                <w14:ligatures w14:val="none"/>
              </w:rPr>
              <w:t xml:space="preserve">.</w:t>
            </w:r>
            <w:r>
              <w:rPr>
                <w:sz w:val="20"/>
                <w:szCs w:val="20"/>
                <w:highlight w:val="none"/>
                <w14:ligatures w14:val="none"/>
              </w:rPr>
            </w:r>
            <w:r>
              <w:rPr>
                <w:sz w:val="20"/>
                <w:szCs w:val="20"/>
                <w:highlight w:val="none"/>
                <w14:ligatures w14:val="none"/>
              </w:rPr>
            </w:r>
          </w:p>
        </w:tc>
        <w:tc>
          <w:tcPr>
            <w:tcW w:w="4926" w:type="dxa"/>
            <w:vMerge w:val="restart"/>
            <w:textDirection w:val="lrTb"/>
            <w:noWrap w:val="false"/>
          </w:tcPr>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Все операции по эквайрингу в рамках календарного месяца суммируются в разрезе суммы оборота.</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Ставка 0,00% применяется только к тем операциям, которые были проведены до достижения лимита 100 000 руб./мес.</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С момента превышения месячного оборота в размере 100 000 руб., </w:t>
            </w:r>
            <w:r>
              <w:rPr>
                <w:sz w:val="20"/>
                <w:szCs w:val="20"/>
                <w:highlight w:val="none"/>
                <w14:ligatures w14:val="none"/>
              </w:rPr>
              <w:t xml:space="preserve">за</w:t>
            </w:r>
            <w:r>
              <w:rPr>
                <w:sz w:val="20"/>
                <w:szCs w:val="20"/>
                <w:highlight w:val="none"/>
                <w14:ligatures w14:val="none"/>
              </w:rPr>
              <w:t xml:space="preserve"> все</w:t>
            </w:r>
            <w:r>
              <w:rPr>
                <w:sz w:val="20"/>
                <w:szCs w:val="20"/>
                <w:highlight w:val="none"/>
                <w14:ligatures w14:val="none"/>
              </w:rPr>
              <w:t xml:space="preserve"> последующие операции в этом месяце </w:t>
            </w:r>
            <w:r>
              <w:rPr>
                <w:sz w:val="20"/>
                <w:szCs w:val="20"/>
                <w:highlight w:val="none"/>
                <w14:ligatures w14:val="none"/>
              </w:rPr>
              <w:t xml:space="preserve">взимается комиссионное вознаграждение в размере </w:t>
            </w:r>
            <w:r>
              <w:rPr>
                <w:sz w:val="20"/>
                <w:szCs w:val="20"/>
                <w:highlight w:val="none"/>
                <w14:ligatures w14:val="none"/>
              </w:rPr>
              <w:t xml:space="preserve">2,1%</w:t>
            </w:r>
            <w:r>
              <w:rPr>
                <w:sz w:val="20"/>
                <w:szCs w:val="20"/>
                <w:highlight w:val="none"/>
                <w14:ligatures w14:val="none"/>
              </w:rPr>
              <w:t xml:space="preserve">.</w:t>
            </w:r>
            <w:r>
              <w:rPr>
                <w:sz w:val="20"/>
                <w:szCs w:val="20"/>
                <w:highlight w:val="none"/>
                <w14:ligatures w14:val="none"/>
              </w:rPr>
            </w:r>
            <w:r>
              <w:rPr>
                <w:sz w:val="20"/>
                <w:szCs w:val="20"/>
                <w:highlight w:val="none"/>
                <w14:ligatures w14:val="none"/>
              </w:rPr>
            </w:r>
          </w:p>
          <w:p>
            <w:pPr>
              <w:jc w:val="both"/>
              <w:spacing w:after="40"/>
              <w:widowControl w:val="off"/>
              <w:rPr>
                <w:sz w:val="20"/>
                <w:szCs w:val="20"/>
                <w:highlight w:val="none"/>
                <w14:ligatures w14:val="none"/>
              </w:rPr>
              <w:pBdr>
                <w:top w:val="none" w:color="000000" w:sz="4" w:space="0"/>
                <w:left w:val="none" w:color="000000" w:sz="4" w:space="0"/>
                <w:bottom w:val="none" w:color="000000" w:sz="4" w:space="0"/>
                <w:right w:val="none" w:color="000000" w:sz="4" w:space="0"/>
              </w:pBdr>
            </w:pPr>
            <w:r>
              <w:rPr>
                <w:sz w:val="20"/>
                <w:szCs w:val="20"/>
                <w:highlight w:val="none"/>
                <w14:ligatures w14:val="none"/>
              </w:rPr>
              <w:t xml:space="preserve">Превышение </w:t>
            </w:r>
            <w:r>
              <w:rPr>
                <w:sz w:val="20"/>
                <w:szCs w:val="20"/>
                <w:highlight w:val="none"/>
                <w14:ligatures w14:val="none"/>
              </w:rPr>
              <w:t xml:space="preserve">месячного оборота</w:t>
            </w:r>
            <w:r>
              <w:rPr>
                <w:sz w:val="20"/>
                <w:szCs w:val="20"/>
                <w:highlight w:val="none"/>
                <w14:ligatures w14:val="none"/>
              </w:rPr>
              <w:t xml:space="preserve"> определяется нарастающим итогом по итогам каждого дня.</w:t>
            </w:r>
            <w:r>
              <w:rPr>
                <w:sz w:val="20"/>
                <w:szCs w:val="20"/>
                <w:highlight w:val="none"/>
                <w14:ligatures w14:val="none"/>
              </w:rPr>
            </w:r>
            <w:r>
              <w:rPr>
                <w:sz w:val="20"/>
                <w:szCs w:val="20"/>
                <w:highlight w:val="none"/>
                <w14:ligatures w14:val="none"/>
              </w:rPr>
            </w:r>
          </w:p>
        </w:tc>
      </w:tr>
    </w:tbl>
    <w:p>
      <w:pPr>
        <w:pStyle w:val="1424"/>
        <w:jc w:val="center"/>
        <w:spacing w:before="240" w:after="120"/>
        <w:widowControl w:val="off"/>
        <w:tabs>
          <w:tab w:val="left" w:pos="426" w:leader="none"/>
        </w:tabs>
        <w:rPr>
          <w:b/>
          <w:bCs/>
          <w:highlight w:val="none"/>
        </w:rPr>
      </w:pPr>
      <w:r>
        <w:rPr>
          <w:b/>
        </w:rPr>
        <w:t xml:space="preserve">3. </w:t>
      </w:r>
      <w:r>
        <w:rPr>
          <w:b/>
        </w:rPr>
        <w:t xml:space="preserve">Условия предоставления тарифного плана</w:t>
      </w:r>
      <w:r>
        <w:rPr>
          <w:b/>
          <w:bCs/>
          <w:highlight w:val="none"/>
        </w:rPr>
      </w:r>
      <w:r>
        <w:rPr>
          <w:b/>
          <w:bCs/>
          <w:highlight w: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t xml:space="preserve">3</w:t>
      </w:r>
      <w:r>
        <w:rPr>
          <w:rFonts w:eastAsia="Batang"/>
          <w:color w:val="000000"/>
          <w:highlight w:val="none"/>
        </w:rPr>
        <w:t xml:space="preserve">.1.</w:t>
      </w:r>
      <w:r>
        <w:rPr>
          <w:rFonts w:eastAsia="Batang"/>
          <w:color w:val="000000"/>
          <w:highlight w:val="none"/>
        </w:rPr>
        <w:t xml:space="preserve"> </w:t>
      </w:r>
      <w:r>
        <w:rPr>
          <w:rFonts w:eastAsia="Batang"/>
          <w:color w:val="000000"/>
          <w:highlight w:val="none"/>
        </w:rPr>
        <w:t xml:space="preserve">Срок действия условий ТП</w:t>
      </w:r>
      <w:r>
        <w:rPr>
          <w:rFonts w:eastAsia="Batang"/>
          <w:color w:val="000000"/>
          <w:highlight w:val="none"/>
        </w:rPr>
        <w:t xml:space="preserve">:</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t xml:space="preserve">для нового Клиента</w:t>
      </w:r>
      <w:r>
        <w:rPr>
          <w:rFonts w:eastAsia="Batang"/>
          <w:color w:val="000000"/>
          <w:highlight w:val="none"/>
        </w:rPr>
        <w:t xml:space="preserve"> – с 18.08.2025 по 31.07.2027</w:t>
      </w:r>
      <w:r>
        <w:rPr>
          <w:rFonts w:eastAsia="Batang"/>
          <w:color w:val="000000"/>
          <w:highlight w:val="none"/>
        </w:rPr>
        <w:t xml:space="preserve">;</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14:ligatures w14:val="none"/>
        </w:rPr>
        <w:t xml:space="preserve">для действующего Клиента - с 01.12.2025 по 31.07.2027</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t xml:space="preserve">3.2. </w:t>
      </w:r>
      <w:r>
        <w:rPr>
          <w:rFonts w:eastAsia="Batang"/>
          <w:color w:val="000000"/>
          <w:highlight w:val="none"/>
        </w:rPr>
        <w:t xml:space="preserve">В</w:t>
      </w:r>
      <w:r>
        <w:rPr>
          <w:rFonts w:eastAsia="Batang"/>
          <w:color w:val="000000"/>
          <w:highlight w:val="none"/>
        </w:rPr>
        <w:t xml:space="preserve">ыбор ТП/опции Клиентом осуществляется самостоятельно путем</w:t>
      </w:r>
      <w:r>
        <w:rPr>
          <w:rFonts w:eastAsia="Batang"/>
          <w:color w:val="000000"/>
          <w:highlight w:val="none"/>
        </w:rPr>
        <w:t xml:space="preserve"> с</w:t>
      </w:r>
      <w:r>
        <w:rPr>
          <w:rFonts w:eastAsia="Batang"/>
          <w:color w:val="000000"/>
          <w:highlight w:val="none"/>
        </w:rPr>
        <w:t xml:space="preserve">овершения следующих действий:</w:t>
      </w:r>
      <w:r>
        <w:rPr>
          <w:rFonts w:eastAsia="Batang"/>
          <w:color w:val="000000"/>
          <w:highlight w:val="none"/>
          <w14:ligatures w14:val="none"/>
        </w:rPr>
      </w:r>
      <w:r>
        <w:rPr>
          <w:rFonts w:eastAsia="Batang"/>
          <w:color w:val="000000"/>
          <w:highlight w:val="none"/>
          <w14:ligatures w14:val="none"/>
        </w:rPr>
      </w:r>
    </w:p>
    <w:p>
      <w:pPr>
        <w:pStyle w:val="1264"/>
        <w:numPr>
          <w:ilvl w:val="0"/>
          <w:numId w:val="93"/>
        </w:numPr>
        <w:ind w:left="0" w:right="0" w:firstLine="709"/>
        <w:jc w:val="both"/>
        <w:widowControl w:val="off"/>
        <w:tabs>
          <w:tab w:val="left" w:pos="992" w:leader="none"/>
        </w:tabs>
        <w:rPr>
          <w:rFonts w:eastAsia="Batang"/>
          <w:color w:val="000000"/>
          <w:highlight w:val="none"/>
          <w14:ligatures w14:val="none"/>
        </w:rPr>
      </w:pPr>
      <w:r>
        <w:rPr>
          <w:rFonts w:eastAsia="Batang"/>
          <w:color w:val="000000"/>
          <w:highlight w:val="none"/>
        </w:rPr>
        <w:t xml:space="preserve">для </w:t>
      </w:r>
      <w:r>
        <w:rPr>
          <w:rFonts w:eastAsia="Batang"/>
          <w:color w:val="000000"/>
          <w:highlight w:val="none"/>
        </w:rPr>
        <w:t xml:space="preserve">н</w:t>
      </w:r>
      <w:r>
        <w:rPr>
          <w:rFonts w:eastAsia="Batang"/>
          <w:color w:val="000000"/>
          <w:highlight w:val="none"/>
        </w:rPr>
        <w:t xml:space="preserve">ового </w:t>
      </w:r>
      <w:r>
        <w:rPr>
          <w:rFonts w:eastAsia="Batang"/>
          <w:color w:val="000000"/>
          <w:highlight w:val="none"/>
        </w:rPr>
        <w:t xml:space="preserve">К</w:t>
      </w:r>
      <w:r>
        <w:rPr>
          <w:rFonts w:eastAsia="Batang"/>
          <w:color w:val="000000"/>
          <w:highlight w:val="none"/>
        </w:rPr>
        <w:t xml:space="preserve">лиента</w:t>
      </w:r>
      <w:r>
        <w:rPr>
          <w:rFonts w:eastAsia="Batang"/>
          <w:color w:val="000000"/>
          <w:highlight w:val="none"/>
        </w:rPr>
        <w:t xml:space="preserve"> (не имеющего в Банке открытые счета)</w:t>
      </w:r>
      <w:r>
        <w:rPr>
          <w:rFonts w:eastAsia="Batang"/>
          <w:color w:val="000000"/>
          <w:highlight w:val="none"/>
        </w:rPr>
        <w:t xml:space="preserve">: подача Клиентом в Банк </w:t>
      </w:r>
      <w:r>
        <w:rPr>
          <w:rFonts w:eastAsia="Batang"/>
          <w:color w:val="000000"/>
          <w:highlight w:val="none"/>
        </w:rPr>
        <w:t xml:space="preserve"> З</w:t>
      </w:r>
      <w:r>
        <w:rPr>
          <w:rFonts w:eastAsia="Batang"/>
          <w:color w:val="000000"/>
          <w:highlight w:val="none"/>
        </w:rPr>
        <w:t xml:space="preserve">аявления о присоединении к ЕСД</w:t>
      </w:r>
      <w:r>
        <w:rPr>
          <w:rFonts w:eastAsia="Batang"/>
          <w:color w:val="000000"/>
          <w:highlight w:val="none"/>
        </w:rPr>
        <w:t xml:space="preserve"> с выбором </w:t>
      </w:r>
      <w:r>
        <w:rPr>
          <w:rFonts w:eastAsia="Batang"/>
          <w:color w:val="000000"/>
          <w:highlight w:val="none"/>
        </w:rPr>
        <w:t xml:space="preserve">ТП и одной из Опции</w:t>
      </w:r>
      <w:r>
        <w:rPr>
          <w:rFonts w:eastAsia="Batang"/>
          <w:color w:val="000000"/>
          <w:highlight w:val="none"/>
        </w:rPr>
        <w:t xml:space="preserve"> </w:t>
      </w:r>
      <w:r>
        <w:rPr>
          <w:rFonts w:eastAsia="Batang"/>
          <w:color w:val="000000"/>
          <w:highlight w:val="none"/>
        </w:rPr>
        <w:t xml:space="preserve">и Заявления о присоединении к условиям эквайрингового обслуживания клиентов </w:t>
      </w:r>
      <w:r>
        <w:rPr>
          <w:rFonts w:eastAsia="Batang"/>
          <w:color w:val="000000"/>
          <w:highlight w:val="none"/>
        </w:rPr>
        <w:t xml:space="preserve"> (торговый эквайринг)</w:t>
      </w:r>
      <w:r>
        <w:rPr>
          <w:rFonts w:eastAsia="Batang"/>
          <w:color w:val="000000"/>
          <w:highlight w:val="none"/>
        </w:rPr>
        <w:t xml:space="preserve"> (в зависимости от выбранной Опции)</w:t>
      </w:r>
      <w:r>
        <w:rPr>
          <w:rFonts w:eastAsia="Batang"/>
          <w:color w:val="000000"/>
          <w:highlight w:val="none"/>
        </w:rPr>
        <w:t xml:space="preserve">.</w:t>
      </w:r>
      <w:r>
        <w:rPr>
          <w:rFonts w:eastAsia="Batang"/>
          <w:color w:val="000000"/>
          <w:highlight w:val="none"/>
        </w:rPr>
        <w:t xml:space="preserve"> </w:t>
      </w:r>
      <w:r>
        <w:rPr>
          <w:rFonts w:eastAsia="Batang"/>
          <w:color w:val="000000"/>
          <w:highlight w:val="none"/>
          <w14:ligatures w14:val="none"/>
        </w:rPr>
      </w:r>
      <w:r>
        <w:rPr>
          <w:rFonts w:eastAsia="Batang"/>
          <w:color w:val="000000"/>
          <w:highlight w:val="none"/>
          <w14:ligatures w14:val="none"/>
        </w:rPr>
      </w:r>
    </w:p>
    <w:p>
      <w:pPr>
        <w:pStyle w:val="1264"/>
        <w:numPr>
          <w:ilvl w:val="0"/>
          <w:numId w:val="93"/>
        </w:numPr>
        <w:ind w:left="0" w:right="0" w:firstLine="709"/>
        <w:jc w:val="both"/>
        <w:widowControl w:val="off"/>
        <w:tabs>
          <w:tab w:val="left" w:pos="992" w:leader="none"/>
        </w:tabs>
        <w:rPr>
          <w:rFonts w:eastAsia="Batang"/>
          <w:b/>
          <w:color w:val="000000"/>
          <w:sz w:val="24"/>
          <w:szCs w:val="24"/>
          <w:highlight w:val="none"/>
          <w14:ligatures w14:val="none"/>
        </w:rPr>
        <w:outlineLvl w:val="0"/>
      </w:pPr>
      <w:r>
        <w:rPr>
          <w:highlight w:val="none"/>
        </w:rPr>
        <w:t xml:space="preserve">д</w:t>
      </w:r>
      <w:r>
        <w:rPr>
          <w:rFonts w:eastAsia="Batang"/>
          <w:color w:val="000000"/>
          <w:highlight w:val="none"/>
        </w:rPr>
        <w:t xml:space="preserve">ля </w:t>
      </w:r>
      <w:r>
        <w:rPr>
          <w:rFonts w:eastAsia="Batang"/>
          <w:color w:val="000000"/>
          <w:highlight w:val="none"/>
        </w:rPr>
        <w:t xml:space="preserve">д</w:t>
      </w:r>
      <w:r>
        <w:rPr>
          <w:rFonts w:eastAsia="Batang"/>
          <w:color w:val="000000"/>
          <w:highlight w:val="none"/>
        </w:rPr>
        <w:t xml:space="preserve">ействующего </w:t>
      </w:r>
      <w:r>
        <w:rPr>
          <w:rFonts w:eastAsia="Batang"/>
          <w:color w:val="000000"/>
          <w:highlight w:val="none"/>
        </w:rPr>
        <w:t xml:space="preserve">К</w:t>
      </w:r>
      <w:r>
        <w:rPr>
          <w:rFonts w:eastAsia="Batang"/>
          <w:color w:val="000000"/>
          <w:highlight w:val="none"/>
        </w:rPr>
        <w:t xml:space="preserve">лиента</w:t>
      </w:r>
      <w:r>
        <w:rPr>
          <w:rFonts w:eastAsia="Batang"/>
          <w:color w:val="000000"/>
          <w:highlight w:val="none"/>
        </w:rPr>
        <w:t xml:space="preserve"> (имеющего в Банке открытые счета, но</w:t>
      </w:r>
      <w:r>
        <w:rPr>
          <w:rFonts w:eastAsia="Batang"/>
          <w:color w:val="000000"/>
          <w:highlight w:val="none"/>
        </w:rPr>
        <w:t xml:space="preserve"> не имеющего </w:t>
      </w:r>
      <w:r>
        <w:rPr>
          <w:rFonts w:eastAsia="Batang"/>
          <w:color w:val="000000"/>
          <w:highlight w:val="none"/>
        </w:rPr>
        <w:t xml:space="preserve">заключенного с Банком</w:t>
      </w:r>
      <w:r>
        <w:rPr>
          <w:rFonts w:eastAsia="Batang"/>
          <w:color w:val="000000"/>
          <w:highlight w:val="none"/>
        </w:rPr>
        <w:t xml:space="preserve"> Договора эквайринга</w:t>
      </w:r>
      <w:r>
        <w:rPr>
          <w:rFonts w:eastAsia="Batang"/>
          <w:color w:val="000000"/>
          <w:highlight w:val="none"/>
        </w:rPr>
        <w:t xml:space="preserve">)</w:t>
      </w:r>
      <w:r>
        <w:rPr>
          <w:rFonts w:eastAsia="Batang"/>
          <w:color w:val="000000"/>
          <w:highlight w:val="none"/>
        </w:rPr>
        <w:t xml:space="preserve">: </w:t>
      </w:r>
      <w:r>
        <w:rPr>
          <w:rFonts w:eastAsia="Batang"/>
          <w:color w:val="000000"/>
          <w:highlight w:val="none"/>
        </w:rPr>
        <w:t xml:space="preserve">подача Клиентом в Банк </w:t>
      </w:r>
      <w:r>
        <w:rPr>
          <w:rFonts w:eastAsia="Batang"/>
          <w:color w:val="000000"/>
          <w:highlight w:val="none"/>
        </w:rPr>
        <w:t xml:space="preserve">з</w:t>
      </w:r>
      <w:r>
        <w:rPr>
          <w:rFonts w:eastAsia="Batang"/>
          <w:color w:val="000000"/>
          <w:highlight w:val="none"/>
        </w:rPr>
        <w:t xml:space="preserve">а</w:t>
      </w:r>
      <w:r>
        <w:rPr>
          <w:rFonts w:eastAsia="Batang"/>
          <w:color w:val="000000"/>
          <w:highlight w:val="none"/>
        </w:rPr>
        <w:t xml:space="preserve">я</w:t>
      </w:r>
      <w:r>
        <w:rPr>
          <w:rFonts w:eastAsia="Batang"/>
          <w:color w:val="000000"/>
          <w:highlight w:val="none"/>
        </w:rPr>
        <w:t xml:space="preserve">в</w:t>
      </w:r>
      <w:r>
        <w:rPr>
          <w:rFonts w:eastAsia="Batang"/>
          <w:color w:val="000000"/>
          <w:highlight w:val="none"/>
        </w:rPr>
        <w:t xml:space="preserve">л</w:t>
      </w:r>
      <w:r>
        <w:rPr>
          <w:rFonts w:eastAsia="Batang"/>
          <w:color w:val="000000"/>
          <w:highlight w:val="none"/>
        </w:rPr>
        <w:t xml:space="preserve">е</w:t>
      </w:r>
      <w:r>
        <w:rPr>
          <w:rFonts w:eastAsia="Batang"/>
          <w:color w:val="000000"/>
          <w:highlight w:val="none"/>
        </w:rPr>
        <w:t xml:space="preserve">н</w:t>
      </w:r>
      <w:r>
        <w:rPr>
          <w:rFonts w:eastAsia="Batang"/>
          <w:color w:val="000000"/>
          <w:highlight w:val="none"/>
        </w:rPr>
        <w:t xml:space="preserve">и</w:t>
      </w:r>
      <w:r>
        <w:rPr>
          <w:rFonts w:eastAsia="Batang"/>
          <w:color w:val="000000"/>
          <w:highlight w:val="none"/>
        </w:rPr>
        <w:t xml:space="preserve">я</w:t>
      </w:r>
      <w:r>
        <w:rPr>
          <w:rFonts w:eastAsia="Batang"/>
          <w:color w:val="000000"/>
          <w:highlight w:val="none"/>
        </w:rPr>
        <w:t xml:space="preserve"> </w:t>
      </w:r>
      <w:r>
        <w:rPr>
          <w:rFonts w:eastAsia="Batang"/>
          <w:color w:val="000000"/>
          <w:highlight w:val="none"/>
          <w:lang w:eastAsia="ru-RU"/>
        </w:rPr>
        <w:t xml:space="preserve">об изменении условий взимания комиссионного вознаграждения </w:t>
      </w:r>
      <w:r>
        <w:rPr>
          <w:rFonts w:eastAsia="Batang"/>
          <w:color w:val="000000"/>
          <w:highlight w:val="none"/>
          <w:lang w:eastAsia="ru-RU"/>
        </w:rPr>
        <w:t xml:space="preserve">(</w:t>
      </w:r>
      <w:r>
        <w:rPr>
          <w:rFonts w:eastAsia="Batang"/>
          <w:color w:val="000000"/>
          <w:highlight w:val="none"/>
        </w:rPr>
        <w:t xml:space="preserve">с выбором </w:t>
      </w:r>
      <w:r>
        <w:rPr>
          <w:rFonts w:eastAsia="Batang"/>
          <w:color w:val="000000"/>
          <w:highlight w:val="none"/>
        </w:rPr>
        <w:t xml:space="preserve">ТП и одной из Опции</w:t>
      </w:r>
      <w:r>
        <w:rPr>
          <w:rFonts w:eastAsia="Batang"/>
          <w:color w:val="000000"/>
          <w:highlight w:val="none"/>
        </w:rPr>
        <w:t xml:space="preserve">) </w:t>
      </w:r>
      <w:r>
        <w:rPr>
          <w:rFonts w:eastAsia="Batang"/>
          <w:color w:val="000000"/>
          <w:highlight w:val="none"/>
          <w:lang w:eastAsia="ru-RU"/>
        </w:rPr>
        <w:t xml:space="preserve">и</w:t>
      </w:r>
      <w:r>
        <w:rPr>
          <w:rFonts w:eastAsia="Batang"/>
          <w:color w:val="000000"/>
          <w:highlight w:val="none"/>
        </w:rPr>
        <w:t xml:space="preserve"> </w:t>
      </w:r>
      <w:r>
        <w:rPr>
          <w:rFonts w:eastAsia="Batang"/>
          <w:color w:val="000000"/>
          <w:highlight w:val="none"/>
        </w:rPr>
        <w:t xml:space="preserve">Заявления о присоединении к условиям эквайрингового обслуживания клиентов </w:t>
      </w:r>
      <w:r>
        <w:rPr>
          <w:rFonts w:eastAsia="Batang"/>
          <w:color w:val="000000"/>
          <w:highlight w:val="none"/>
        </w:rPr>
        <w:t xml:space="preserve"> (торговый эквайринг)</w:t>
      </w:r>
      <w:r>
        <w:rPr>
          <w:rFonts w:eastAsia="Batang"/>
          <w:color w:val="000000"/>
          <w:highlight w:val="none"/>
        </w:rPr>
        <w:t xml:space="preserve"> (в зависимости от выбранной Опции)</w:t>
      </w:r>
      <w:r>
        <w:rPr>
          <w:i w:val="0"/>
        </w:rPr>
        <w:t xml:space="preserve">.</w:t>
      </w:r>
      <w:r>
        <w:rPr>
          <w:rFonts w:eastAsia="Batang"/>
          <w:b/>
          <w:color w:val="000000"/>
          <w:sz w:val="24"/>
          <w:szCs w:val="24"/>
          <w:highlight w:val="none"/>
          <w14:ligatures w14:val="none"/>
        </w:rPr>
      </w:r>
      <w:r>
        <w:rPr>
          <w:rFonts w:eastAsia="Batang"/>
          <w:b/>
          <w:color w:val="000000"/>
          <w:sz w:val="24"/>
          <w:szCs w:val="24"/>
          <w:highlight w:val="none"/>
          <w14:ligatures w14:val="none"/>
        </w:rPr>
      </w:r>
    </w:p>
    <w:p>
      <w:pPr>
        <w:pStyle w:val="1264"/>
        <w:numPr>
          <w:ilvl w:val="0"/>
          <w:numId w:val="93"/>
        </w:numPr>
        <w:ind w:left="0" w:right="0" w:firstLine="709"/>
        <w:jc w:val="both"/>
        <w:widowControl w:val="off"/>
        <w:tabs>
          <w:tab w:val="left" w:pos="992" w:leader="none"/>
        </w:tabs>
        <w:rPr>
          <w:rFonts w:eastAsia="Batang"/>
          <w:color w:val="000000"/>
          <w:highlight w:val="none"/>
          <w14:ligatures w14:val="none"/>
        </w:rPr>
      </w:pPr>
      <w:r>
        <w:rPr>
          <w:highlight w:val="none"/>
        </w:rPr>
        <w:t xml:space="preserve">д</w:t>
      </w:r>
      <w:r>
        <w:rPr>
          <w:rFonts w:eastAsia="Batang"/>
          <w:color w:val="000000"/>
          <w:highlight w:val="none"/>
        </w:rPr>
        <w:t xml:space="preserve">ля Действующего клиента </w:t>
      </w:r>
      <w:r>
        <w:rPr>
          <w:rFonts w:eastAsia="Batang"/>
          <w:color w:val="000000"/>
          <w:highlight w:val="none"/>
        </w:rPr>
        <w:t xml:space="preserve">(имеющего в Банке открытые счета и </w:t>
      </w:r>
      <w:r>
        <w:rPr>
          <w:rFonts w:eastAsia="Batang"/>
          <w:color w:val="000000"/>
          <w:highlight w:val="none"/>
        </w:rPr>
        <w:t xml:space="preserve">имеющего</w:t>
      </w:r>
      <w:r>
        <w:rPr>
          <w:rFonts w:eastAsia="Batang"/>
          <w:color w:val="000000"/>
          <w:highlight w:val="none"/>
        </w:rPr>
        <w:t xml:space="preserve"> заключенный с Банком</w:t>
      </w:r>
      <w:r>
        <w:rPr>
          <w:rFonts w:eastAsia="Batang"/>
          <w:color w:val="000000"/>
          <w:highlight w:val="none"/>
        </w:rPr>
        <w:t xml:space="preserve"> </w:t>
      </w:r>
      <w:r>
        <w:rPr>
          <w:rFonts w:eastAsia="Batang"/>
          <w:color w:val="000000"/>
          <w:highlight w:val="none"/>
        </w:rPr>
        <w:t xml:space="preserve">Договор эквайринга</w:t>
      </w:r>
      <w:r>
        <w:rPr>
          <w:rFonts w:eastAsia="Batang"/>
          <w:color w:val="000000"/>
          <w:highlight w:val="none"/>
        </w:rPr>
        <w:t xml:space="preserve">)</w:t>
      </w:r>
      <w:r>
        <w:rPr>
          <w:rFonts w:eastAsia="Batang"/>
          <w:color w:val="000000"/>
          <w:highlight w:val="none"/>
        </w:rPr>
        <w:t xml:space="preserve">: </w:t>
      </w:r>
      <w:r>
        <w:rPr>
          <w:rFonts w:eastAsia="Batang"/>
          <w:color w:val="000000"/>
          <w:highlight w:val="none"/>
        </w:rPr>
        <w:t xml:space="preserve">подача Клиентом в Банк </w:t>
      </w:r>
      <w:r>
        <w:rPr>
          <w:rFonts w:eastAsia="Batang"/>
          <w:color w:val="000000"/>
          <w:highlight w:val="none"/>
        </w:rPr>
        <w:t xml:space="preserve">з</w:t>
      </w:r>
      <w:r>
        <w:rPr>
          <w:rFonts w:eastAsia="Batang"/>
          <w:color w:val="000000"/>
          <w:highlight w:val="none"/>
        </w:rPr>
        <w:t xml:space="preserve">а</w:t>
      </w:r>
      <w:r>
        <w:rPr>
          <w:rFonts w:eastAsia="Batang"/>
          <w:color w:val="000000"/>
          <w:highlight w:val="none"/>
        </w:rPr>
        <w:t xml:space="preserve">я</w:t>
      </w:r>
      <w:r>
        <w:rPr>
          <w:rFonts w:eastAsia="Batang"/>
          <w:color w:val="000000"/>
          <w:highlight w:val="none"/>
        </w:rPr>
        <w:t xml:space="preserve">в</w:t>
      </w:r>
      <w:r>
        <w:rPr>
          <w:rFonts w:eastAsia="Batang"/>
          <w:color w:val="000000"/>
          <w:highlight w:val="none"/>
        </w:rPr>
        <w:t xml:space="preserve">л</w:t>
      </w:r>
      <w:r>
        <w:rPr>
          <w:rFonts w:eastAsia="Batang"/>
          <w:color w:val="000000"/>
          <w:highlight w:val="none"/>
        </w:rPr>
        <w:t xml:space="preserve">е</w:t>
      </w:r>
      <w:r>
        <w:rPr>
          <w:rFonts w:eastAsia="Batang"/>
          <w:color w:val="000000"/>
          <w:highlight w:val="none"/>
        </w:rPr>
        <w:t xml:space="preserve">н</w:t>
      </w:r>
      <w:r>
        <w:rPr>
          <w:rFonts w:eastAsia="Batang"/>
          <w:color w:val="000000"/>
          <w:highlight w:val="none"/>
        </w:rPr>
        <w:t xml:space="preserve">и</w:t>
      </w:r>
      <w:r>
        <w:rPr>
          <w:rFonts w:eastAsia="Batang"/>
          <w:color w:val="000000"/>
          <w:highlight w:val="none"/>
        </w:rPr>
        <w:t xml:space="preserve">я</w:t>
      </w:r>
      <w:r>
        <w:rPr>
          <w:rFonts w:eastAsia="Batang"/>
          <w:color w:val="000000"/>
          <w:highlight w:val="none"/>
        </w:rPr>
        <w:t xml:space="preserve"> </w:t>
      </w:r>
      <w:r>
        <w:rPr>
          <w:rFonts w:eastAsia="Batang"/>
          <w:color w:val="000000"/>
          <w:highlight w:val="none"/>
          <w:lang w:eastAsia="ru-RU"/>
        </w:rPr>
        <w:t xml:space="preserve">об изменении условий взимания комиссионного вознаграждения</w:t>
      </w:r>
      <w:r>
        <w:rPr>
          <w:rFonts w:eastAsia="Batang"/>
          <w:color w:val="000000"/>
          <w:highlight w:val="none"/>
          <w:lang w:eastAsia="ru-RU"/>
        </w:rPr>
        <w:t xml:space="preserve"> (</w:t>
      </w:r>
      <w:r>
        <w:rPr>
          <w:rFonts w:eastAsia="Batang"/>
          <w:color w:val="000000"/>
          <w:highlight w:val="none"/>
        </w:rPr>
        <w:t xml:space="preserve">с выбором </w:t>
      </w:r>
      <w:r>
        <w:rPr>
          <w:rFonts w:eastAsia="Batang"/>
          <w:color w:val="000000"/>
          <w:highlight w:val="none"/>
        </w:rPr>
        <w:t xml:space="preserve">ТП и одной из Опции</w:t>
      </w:r>
      <w:r>
        <w:rPr>
          <w:rFonts w:eastAsia="Batang"/>
          <w:color w:val="000000"/>
          <w:highlight w:val="none"/>
        </w:rPr>
        <w:t xml:space="preserve">).</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t xml:space="preserve">3.3. </w:t>
      </w:r>
      <w:r>
        <w:rPr>
          <w:rFonts w:eastAsia="Batang"/>
          <w:color w:val="000000"/>
          <w:highlight w:val="none"/>
        </w:rPr>
        <w:t xml:space="preserve">ТП</w:t>
      </w:r>
      <w:r>
        <w:rPr>
          <w:rFonts w:eastAsia="Batang"/>
          <w:color w:val="000000"/>
          <w:highlight w:val="none"/>
        </w:rPr>
        <w:t xml:space="preserve"> подключается </w:t>
      </w:r>
      <w:r>
        <w:rPr>
          <w:rFonts w:eastAsia="Batang"/>
          <w:color w:val="000000"/>
          <w:highlight w:val="none"/>
        </w:rPr>
        <w:t xml:space="preserve"> Клиент</w:t>
      </w:r>
      <w:r>
        <w:rPr>
          <w:rFonts w:eastAsia="Batang"/>
          <w:color w:val="000000"/>
          <w:highlight w:val="none"/>
        </w:rPr>
        <w:t xml:space="preserve">ам вид деятельности  </w:t>
      </w:r>
      <w:r>
        <w:rPr>
          <w:lang w:val="ru-RU"/>
        </w:rPr>
        <w:t xml:space="preserve">(основной или дополнительный)</w:t>
      </w:r>
      <w:r>
        <w:rPr>
          <w:rFonts w:eastAsia="Batang"/>
          <w:color w:val="000000"/>
          <w:highlight w:val="none"/>
        </w:rPr>
        <w:t xml:space="preserve"> которого </w:t>
      </w:r>
      <w:r>
        <w:rPr>
          <w:lang w:val="ru-RU"/>
        </w:rPr>
        <w:t xml:space="preserve">соответствует коду </w:t>
      </w:r>
      <w:r>
        <w:rPr>
          <w:rFonts w:eastAsia="Batang"/>
          <w:color w:val="000000"/>
          <w:highlight w:val="none"/>
        </w:rPr>
        <w:t xml:space="preserve">ОКВЭД 56 </w:t>
      </w:r>
      <w:r>
        <w:rPr>
          <w:lang w:val="ru-RU"/>
        </w:rPr>
        <w:t xml:space="preserve">«Деятельность по предоставлению продуктов питания и напитков» (включая все подклассы, группы, подгруппы, виды)</w:t>
      </w:r>
      <w:r>
        <w:rPr>
          <w:rFonts w:ascii="Times New Roman" w:hAnsi="Times New Roman"/>
          <w:sz w:val="24"/>
          <w:szCs w:val="24"/>
        </w:rPr>
        <w:t xml:space="preserve">, </w:t>
      </w:r>
      <w:r>
        <w:rPr>
          <w:rFonts w:ascii="Times New Roman" w:hAnsi="Times New Roman"/>
          <w:sz w:val="24"/>
          <w:szCs w:val="24"/>
        </w:rPr>
        <w:t xml:space="preserve">и </w:t>
      </w:r>
      <w:r>
        <w:rPr>
          <w:rFonts w:ascii="Times New Roman" w:hAnsi="Times New Roman"/>
          <w:sz w:val="24"/>
          <w:szCs w:val="24"/>
          <w:lang w:val="ru-RU"/>
        </w:rPr>
        <w:t xml:space="preserve">деятельность торговых точек которых в рамках договора эквайринга соответствуют </w:t>
      </w:r>
      <w:r>
        <w:rPr>
          <w:rFonts w:ascii="Times New Roman" w:hAnsi="Times New Roman" w:eastAsia="Times New Roman" w:cs="Times New Roman"/>
          <w:sz w:val="24"/>
          <w:szCs w:val="24"/>
        </w:rPr>
        <w:t xml:space="preserve">МСС</w:t>
      </w:r>
      <w:r>
        <w:rPr>
          <w:rStyle w:val="1452"/>
          <w:rFonts w:ascii="Times New Roman" w:hAnsi="Times New Roman" w:eastAsia="Times New Roman" w:cs="Times New Roman"/>
          <w:sz w:val="24"/>
          <w:szCs w:val="24"/>
        </w:rPr>
        <w:footnoteReference w:id="9"/>
      </w:r>
      <w:r>
        <w:rPr>
          <w:rFonts w:ascii="Times New Roman" w:hAnsi="Times New Roman" w:eastAsia="Times New Roman" w:cs="Times New Roman"/>
          <w:sz w:val="24"/>
          <w:szCs w:val="24"/>
        </w:rPr>
        <w:t xml:space="preserve">-код</w:t>
      </w:r>
      <w:r>
        <w:rPr>
          <w:rFonts w:ascii="Times New Roman" w:hAnsi="Times New Roman" w:eastAsia="Times New Roman" w:cs="Times New Roman"/>
          <w:sz w:val="24"/>
          <w:szCs w:val="24"/>
        </w:rPr>
        <w:t xml:space="preserve">ам</w:t>
      </w:r>
      <w:r>
        <w:rPr>
          <w:rFonts w:ascii="Times New Roman" w:hAnsi="Times New Roman"/>
          <w:sz w:val="24"/>
          <w:szCs w:val="24"/>
          <w:lang w:val="ru-RU"/>
        </w:rPr>
        <w:t xml:space="preserve">:</w:t>
      </w:r>
      <w:r>
        <w:rPr>
          <w:rFonts w:ascii="Times New Roman" w:hAnsi="Times New Roman"/>
          <w:sz w:val="24"/>
          <w:szCs w:val="24"/>
          <w:lang w:val="ru-RU"/>
        </w:rPr>
        <w:t xml:space="preserve"> 5811 (</w:t>
      </w:r>
      <w:r>
        <w:rPr>
          <w:rFonts w:ascii="Times New Roman" w:hAnsi="Times New Roman"/>
          <w:sz w:val="24"/>
          <w:szCs w:val="24"/>
          <w:lang w:val="ru-RU"/>
        </w:rPr>
        <w:t xml:space="preserve">кейтеринг</w:t>
      </w:r>
      <w:r>
        <w:rPr>
          <w:rFonts w:ascii="Times New Roman" w:hAnsi="Times New Roman"/>
          <w:sz w:val="24"/>
          <w:szCs w:val="24"/>
          <w:lang w:val="ru-RU"/>
        </w:rPr>
        <w:t xml:space="preserve">), 5812 </w:t>
      </w:r>
      <w:r>
        <w:rPr>
          <w:rFonts w:ascii="Times New Roman" w:hAnsi="Times New Roman"/>
          <w:sz w:val="24"/>
          <w:szCs w:val="24"/>
          <w:lang w:val="ru-RU"/>
        </w:rPr>
        <w:t xml:space="preserve">(рестораны, кафе</w:t>
      </w:r>
      <w:r>
        <w:rPr>
          <w:rFonts w:ascii="Times New Roman" w:hAnsi="Times New Roman"/>
          <w:sz w:val="24"/>
          <w:szCs w:val="24"/>
          <w:lang w:val="ru-RU"/>
        </w:rPr>
        <w:t xml:space="preserve">), 5813 </w:t>
      </w:r>
      <w:r>
        <w:rPr>
          <w:rFonts w:ascii="Times New Roman" w:hAnsi="Times New Roman"/>
          <w:sz w:val="24"/>
          <w:szCs w:val="24"/>
          <w:lang w:val="ru-RU"/>
        </w:rPr>
        <w:t xml:space="preserve">(бары, дискотеки, клубы), </w:t>
      </w:r>
      <w:r>
        <w:rPr>
          <w:rFonts w:ascii="Times New Roman" w:hAnsi="Times New Roman"/>
          <w:sz w:val="24"/>
          <w:szCs w:val="24"/>
          <w:lang w:val="ru-RU"/>
        </w:rPr>
        <w:t xml:space="preserve">5814 </w:t>
      </w:r>
      <w:r>
        <w:rPr>
          <w:rFonts w:ascii="Times New Roman" w:hAnsi="Times New Roman"/>
          <w:sz w:val="24"/>
          <w:szCs w:val="24"/>
          <w:lang w:val="ru-RU"/>
        </w:rPr>
        <w:t xml:space="preserve">(</w:t>
      </w:r>
      <w:r>
        <w:rPr>
          <w:rFonts w:ascii="Times New Roman" w:hAnsi="Times New Roman"/>
          <w:sz w:val="24"/>
          <w:szCs w:val="24"/>
          <w:lang w:val="ru-RU"/>
        </w:rPr>
        <w:t xml:space="preserve">фастфуд</w:t>
      </w:r>
      <w:r>
        <w:rPr>
          <w:rFonts w:ascii="Times New Roman" w:hAnsi="Times New Roman"/>
          <w:sz w:val="24"/>
          <w:szCs w:val="24"/>
          <w:lang w:val="ru-RU"/>
        </w:rPr>
        <w:t xml:space="preserve">), 5462 (булочные), 5441 (кондитерские)</w:t>
      </w:r>
      <w:r>
        <w:rPr>
          <w:rFonts w:ascii="Times New Roman" w:hAnsi="Times New Roman"/>
          <w:sz w:val="24"/>
          <w:szCs w:val="24"/>
          <w:lang w:val="ru-RU"/>
        </w:rPr>
        <w:t xml:space="preserve">,</w:t>
      </w:r>
      <w:r>
        <w:rPr>
          <w:rFonts w:ascii="Times New Roman" w:hAnsi="Times New Roman"/>
          <w:sz w:val="24"/>
          <w:szCs w:val="24"/>
          <w:lang w:val="ru-RU"/>
        </w:rPr>
        <w:t xml:space="preserve"> </w:t>
      </w:r>
      <w:r>
        <w:rPr>
          <w:rFonts w:ascii="Times New Roman" w:hAnsi="Times New Roman"/>
          <w:sz w:val="24"/>
          <w:szCs w:val="24"/>
          <w:lang w:val="ru-RU"/>
        </w:rPr>
        <w:t xml:space="preserve">7011 (отели, мотели)</w:t>
      </w:r>
      <w:r>
        <w:rPr>
          <w:rFonts w:eastAsia="Batang"/>
          <w:color w:val="000000"/>
          <w:highlight w:val="none"/>
        </w:rPr>
        <w:t xml:space="preserve">.</w:t>
      </w:r>
      <w:r>
        <w:rPr>
          <w:rFonts w:eastAsia="Batang"/>
          <w:color w:val="000000"/>
          <w:highlight w:val="none"/>
        </w:rPr>
        <w:t xml:space="preserve"> </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14:ligatures w14:val="none"/>
        </w:rPr>
      </w:r>
      <w:r>
        <w:rPr>
          <w:rFonts w:eastAsia="Batang"/>
          <w:color w:val="000000"/>
          <w:highlight w:val="none"/>
        </w:rPr>
        <w:t xml:space="preserve">3.4. </w:t>
      </w:r>
      <w:r>
        <w:rPr>
          <w:rFonts w:eastAsia="Batang"/>
          <w:color w:val="000000"/>
          <w:highlight w:val="none"/>
        </w:rPr>
        <w:t xml:space="preserve">ТП предоставляется Клиенту на срок действия </w:t>
      </w:r>
      <w:r>
        <w:rPr>
          <w:rFonts w:eastAsia="Batang"/>
          <w:color w:val="000000"/>
          <w:highlight w:val="none"/>
        </w:rPr>
        <w:t xml:space="preserve">условий ТП, указанный в п. 3.1 настоящего ТП</w:t>
      </w:r>
      <w:r>
        <w:rPr>
          <w:rFonts w:eastAsia="Batang"/>
          <w:color w:val="000000"/>
          <w:highlight w:val="none"/>
        </w:rPr>
        <w:t xml:space="preserve">, при этом в течение срока действия </w:t>
      </w:r>
      <w:r>
        <w:rPr>
          <w:rFonts w:eastAsia="Batang"/>
          <w:color w:val="000000"/>
          <w:highlight w:val="none"/>
        </w:rPr>
        <w:t xml:space="preserve">ТП</w:t>
      </w:r>
      <w:r>
        <w:rPr>
          <w:rFonts w:eastAsia="Batang"/>
          <w:color w:val="000000"/>
          <w:highlight w:val="none"/>
        </w:rPr>
        <w:t xml:space="preserve"> Клиент имеет право сменить</w:t>
      </w:r>
      <w:r>
        <w:rPr>
          <w:rFonts w:eastAsia="Batang"/>
          <w:color w:val="000000"/>
          <w:highlight w:val="none"/>
        </w:rPr>
        <w:t xml:space="preserve"> Опцию/</w:t>
      </w:r>
      <w:r>
        <w:rPr>
          <w:rFonts w:eastAsia="Batang"/>
          <w:color w:val="000000"/>
          <w:highlight w:val="none"/>
        </w:rPr>
        <w:t xml:space="preserve">ТП в порядке, установленном </w:t>
      </w:r>
      <w:r>
        <w:rPr>
          <w:rFonts w:eastAsia="Batang"/>
          <w:color w:val="000000"/>
          <w:highlight w:val="none"/>
        </w:rPr>
        <w:t xml:space="preserve">Договором банковского счета</w:t>
      </w:r>
      <w:r>
        <w:rPr>
          <w:rFonts w:eastAsia="Batang"/>
          <w:color w:val="000000"/>
          <w:highlight w:val="none"/>
        </w:rPr>
        <w:t xml:space="preserve">. </w:t>
      </w:r>
      <w:r>
        <w:rPr>
          <w:rFonts w:eastAsia="Batang"/>
          <w:color w:val="000000"/>
          <w:highlight w:val="none"/>
          <w14:ligatures w14:val="none"/>
        </w:rPr>
        <w:t xml:space="preserve">После истечения срока действия ТП</w:t>
      </w:r>
      <w:r>
        <w:rPr>
          <w:rFonts w:eastAsia="Batang"/>
          <w:color w:val="000000"/>
          <w:highlight w:val="none"/>
          <w14:ligatures w14:val="none"/>
        </w:rPr>
        <w:t xml:space="preserve"> или прекращения обслуживания Клиента в рамках Опции/ТП</w:t>
      </w:r>
      <w:r>
        <w:rPr>
          <w:rFonts w:eastAsia="Batang"/>
          <w:color w:val="000000"/>
          <w:highlight w:val="none"/>
          <w14:ligatures w14:val="none"/>
        </w:rPr>
        <w:t xml:space="preserve">, </w:t>
      </w:r>
      <w:r>
        <w:rPr>
          <w:lang w:val="ru-RU"/>
        </w:rPr>
        <w:t xml:space="preserve">обслуживание Клиента </w:t>
      </w:r>
      <w:r>
        <w:rPr>
          <w:lang w:val="ru-RU"/>
        </w:rPr>
        <w:t xml:space="preserve">осуществляется</w:t>
      </w:r>
      <w:r>
        <w:rPr>
          <w:lang w:val="ru-RU"/>
        </w:rPr>
        <w:t xml:space="preserve"> в соответствии с Тарифами</w:t>
      </w:r>
      <w:r>
        <w:rPr>
          <w:lang w:val="ru-RU"/>
        </w:rPr>
        <w:t xml:space="preserve"> Банка</w:t>
      </w:r>
      <w:r>
        <w:rPr>
          <w:lang w:val="ru-RU"/>
        </w:rPr>
        <w:t xml:space="preserve"> по всем услугам, включенным в ТП</w:t>
      </w:r>
      <w:r>
        <w:rPr>
          <w:lang w:val="ru-RU"/>
        </w:rPr>
        <w:t xml:space="preserve">.</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t xml:space="preserve">3.5. </w:t>
      </w:r>
      <w:r>
        <w:rPr>
          <w:rFonts w:eastAsia="Batang"/>
          <w:color w:val="000000"/>
          <w:highlight w:val="none"/>
        </w:rPr>
        <w:t xml:space="preserve">В рамках ТП Клиенту предоставля</w:t>
      </w:r>
      <w:r>
        <w:rPr>
          <w:rFonts w:eastAsia="Batang"/>
          <w:color w:val="000000"/>
          <w:highlight w:val="none"/>
        </w:rPr>
        <w:t xml:space="preserve">ю</w:t>
      </w:r>
      <w:r>
        <w:rPr>
          <w:rFonts w:eastAsia="Batang"/>
          <w:color w:val="000000"/>
          <w:highlight w:val="none"/>
        </w:rPr>
        <w:t xml:space="preserve">тся услуг</w:t>
      </w:r>
      <w:r>
        <w:rPr>
          <w:rFonts w:eastAsia="Batang"/>
          <w:color w:val="000000"/>
          <w:highlight w:val="none"/>
        </w:rPr>
        <w:t xml:space="preserve">и, перечисленные</w:t>
      </w:r>
      <w:r>
        <w:rPr>
          <w:rFonts w:eastAsia="Batang"/>
          <w:color w:val="000000"/>
          <w:highlight w:val="none"/>
        </w:rPr>
        <w:t xml:space="preserve"> в ТП, </w:t>
      </w:r>
      <w:r>
        <w:rPr>
          <w:rFonts w:eastAsia="Batang"/>
          <w:color w:val="000000"/>
          <w:highlight w:val="none"/>
        </w:rPr>
        <w:t xml:space="preserve">в объеме и по тарифам, установленным ТП</w:t>
      </w:r>
      <w:r>
        <w:rPr>
          <w:rFonts w:eastAsia="Batang"/>
          <w:color w:val="000000"/>
          <w:highlight w:val="none"/>
        </w:rPr>
        <w:t xml:space="preserve">.</w:t>
      </w:r>
      <w:r>
        <w:rPr>
          <w:rFonts w:eastAsia="Batang"/>
          <w:color w:val="000000"/>
          <w:highlight w:val="none"/>
        </w:rPr>
        <w:t xml:space="preserve"> </w:t>
      </w:r>
      <w:r>
        <w:rPr>
          <w:rFonts w:eastAsia="Batang"/>
          <w:color w:val="000000"/>
          <w:highlight w:val="none"/>
        </w:rPr>
        <w:t xml:space="preserve">Клиент вправе выбрать только одну из опций, каждая из которых имеет индивидуальные условия тарификации</w:t>
      </w:r>
      <w:r>
        <w:rPr>
          <w:rFonts w:eastAsia="Batang"/>
          <w:color w:val="000000"/>
          <w:highlight w:val="none"/>
        </w:rPr>
        <w:t xml:space="preserve"> по услуге «Торговый эквайринг»</w:t>
      </w:r>
      <w:r>
        <w:rPr>
          <w:rFonts w:eastAsia="Batang"/>
          <w:color w:val="000000"/>
          <w:highlight w:val="none"/>
        </w:rPr>
        <w:t xml:space="preserve">.</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t xml:space="preserve">3.6. Клиент вправе подать в Банк заявление о смене подключенной Клиенту опции </w:t>
      </w:r>
      <w:r>
        <w:rPr>
          <w:rFonts w:eastAsia="Batang"/>
          <w:color w:val="000000"/>
          <w:highlight w:val="none"/>
        </w:rPr>
        <w:t xml:space="preserve"> на иную</w:t>
      </w:r>
      <w:r>
        <w:rPr>
          <w:rFonts w:eastAsia="Batang"/>
          <w:color w:val="000000"/>
          <w:highlight w:val="none"/>
        </w:rPr>
        <w:t xml:space="preserve"> опцию</w:t>
      </w:r>
      <w:r>
        <w:rPr>
          <w:rFonts w:eastAsia="Batang"/>
          <w:color w:val="000000"/>
          <w:highlight w:val="none"/>
        </w:rPr>
        <w:t xml:space="preserve">, действующую</w:t>
      </w:r>
      <w:r>
        <w:rPr>
          <w:rFonts w:eastAsia="Batang"/>
          <w:color w:val="000000"/>
          <w:highlight w:val="none"/>
        </w:rPr>
        <w:t xml:space="preserve"> в рамках ТП</w:t>
      </w:r>
      <w:r>
        <w:rPr>
          <w:rFonts w:eastAsia="Batang"/>
          <w:color w:val="000000"/>
          <w:highlight w:val="none"/>
        </w:rPr>
        <w:t xml:space="preserve"> на дату обращения</w:t>
      </w:r>
      <w:r>
        <w:rPr>
          <w:rFonts w:eastAsia="Batang"/>
          <w:color w:val="000000"/>
          <w:highlight w:val="none"/>
        </w:rPr>
        <w:t xml:space="preserve"> Клиента в Банк</w:t>
      </w:r>
      <w:r>
        <w:rPr>
          <w:rFonts w:eastAsia="Batang"/>
          <w:color w:val="000000"/>
          <w:highlight w:val="none"/>
        </w:rPr>
        <w:t xml:space="preserve">.</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t xml:space="preserve">3.7. Банк вправе отказать в изменении опции в случае:</w:t>
      </w:r>
      <w:r>
        <w:rPr>
          <w:rFonts w:eastAsia="Batang"/>
          <w:color w:val="000000"/>
          <w:highlight w:val="none"/>
          <w14:ligatures w14:val="none"/>
        </w:rPr>
      </w:r>
      <w:r>
        <w:rPr>
          <w:rFonts w:eastAsia="Batang"/>
          <w:color w:val="000000"/>
          <w:highlight w:val="none"/>
          <w14:ligatures w14:val="none"/>
        </w:rPr>
      </w:r>
    </w:p>
    <w:p>
      <w:pPr>
        <w:pStyle w:val="1264"/>
        <w:numPr>
          <w:ilvl w:val="0"/>
          <w:numId w:val="41"/>
        </w:numPr>
        <w:ind w:left="709" w:right="0" w:firstLine="0"/>
        <w:jc w:val="both"/>
        <w:widowControl w:val="off"/>
        <w:tabs>
          <w:tab w:val="left" w:pos="1276" w:leader="none"/>
        </w:tabs>
        <w:rPr>
          <w:rFonts w:eastAsia="Batang"/>
          <w:color w:val="000000"/>
          <w:highlight w:val="none"/>
          <w14:ligatures w14:val="none"/>
        </w:rPr>
      </w:pPr>
      <w:r>
        <w:rPr>
          <w:rFonts w:eastAsia="Batang"/>
          <w:color w:val="000000"/>
          <w:highlight w:val="none"/>
        </w:rPr>
        <w:t xml:space="preserve">е</w:t>
      </w:r>
      <w:r>
        <w:rPr>
          <w:rFonts w:eastAsia="Batang"/>
          <w:color w:val="000000"/>
          <w:highlight w:val="none"/>
        </w:rPr>
        <w:t xml:space="preserve">е недоступности</w:t>
      </w:r>
      <w:r>
        <w:rPr>
          <w:rFonts w:eastAsia="Batang"/>
          <w:color w:val="000000"/>
          <w:highlight w:val="none"/>
        </w:rPr>
        <w:t xml:space="preserve"> в Банке</w:t>
      </w:r>
      <w:r>
        <w:rPr>
          <w:rFonts w:eastAsia="Batang"/>
          <w:color w:val="000000"/>
          <w:highlight w:val="none"/>
        </w:rPr>
        <w:t xml:space="preserve"> на дату обращения;</w:t>
      </w:r>
      <w:r>
        <w:rPr>
          <w:rFonts w:eastAsia="Batang"/>
          <w:color w:val="000000"/>
          <w:highlight w:val="none"/>
          <w14:ligatures w14:val="none"/>
        </w:rPr>
      </w:r>
      <w:r>
        <w:rPr>
          <w:rFonts w:eastAsia="Batang"/>
          <w:color w:val="000000"/>
          <w:highlight w:val="none"/>
          <w14:ligatures w14:val="none"/>
        </w:rPr>
      </w:r>
    </w:p>
    <w:p>
      <w:pPr>
        <w:pStyle w:val="1264"/>
        <w:numPr>
          <w:ilvl w:val="0"/>
          <w:numId w:val="41"/>
        </w:numPr>
        <w:ind w:left="709" w:right="0" w:firstLine="0"/>
        <w:jc w:val="both"/>
        <w:widowControl w:val="off"/>
        <w:tabs>
          <w:tab w:val="left" w:pos="1276" w:leader="none"/>
        </w:tabs>
        <w:rPr>
          <w:rFonts w:eastAsia="Batang"/>
          <w:color w:val="000000"/>
          <w:highlight w:val="none"/>
          <w14:ligatures w14:val="none"/>
        </w:rPr>
      </w:pPr>
      <w:r>
        <w:rPr>
          <w:rFonts w:eastAsia="Batang"/>
          <w:color w:val="000000"/>
          <w:highlight w:val="none"/>
        </w:rPr>
        <w:t xml:space="preserve">н</w:t>
      </w:r>
      <w:r>
        <w:rPr>
          <w:rFonts w:eastAsia="Batang"/>
          <w:color w:val="000000"/>
          <w:highlight w:val="none"/>
        </w:rPr>
        <w:t xml:space="preserve">аличия дебиторской задолженности у Клиента перед Банком</w:t>
      </w:r>
      <w:r>
        <w:rPr>
          <w:rFonts w:eastAsia="Batang"/>
          <w:color w:val="000000"/>
          <w:highlight w:val="none"/>
        </w:rPr>
        <w:t xml:space="preserve">;</w:t>
      </w:r>
      <w:r>
        <w:rPr>
          <w:rFonts w:eastAsia="Batang"/>
          <w:color w:val="000000"/>
          <w:highlight w:val="none"/>
          <w14:ligatures w14:val="none"/>
        </w:rPr>
      </w:r>
      <w:r>
        <w:rPr>
          <w:rFonts w:eastAsia="Batang"/>
          <w:color w:val="000000"/>
          <w:highlight w:val="none"/>
          <w14:ligatures w14:val="none"/>
        </w:rPr>
      </w:r>
    </w:p>
    <w:p>
      <w:pPr>
        <w:pStyle w:val="1264"/>
        <w:numPr>
          <w:ilvl w:val="0"/>
          <w:numId w:val="41"/>
        </w:numPr>
        <w:ind w:left="709" w:right="0" w:firstLine="0"/>
        <w:jc w:val="both"/>
        <w:widowControl w:val="off"/>
        <w:tabs>
          <w:tab w:val="left" w:pos="1276" w:leader="none"/>
        </w:tabs>
        <w:rPr>
          <w:rFonts w:eastAsia="Batang"/>
          <w:color w:val="000000"/>
          <w:highlight w:val="none"/>
          <w14:ligatures w14:val="none"/>
        </w:rPr>
      </w:pPr>
      <w:r>
        <w:rPr>
          <w:rFonts w:eastAsia="Batang"/>
          <w:color w:val="000000"/>
          <w:highlight w:val="none"/>
        </w:rPr>
        <w:t xml:space="preserve">н</w:t>
      </w:r>
      <w:r>
        <w:rPr>
          <w:rFonts w:eastAsia="Batang"/>
          <w:color w:val="000000"/>
          <w:highlight w:val="none"/>
        </w:rPr>
        <w:t xml:space="preserve">есоответствия клиента условиям подключения опции. </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t xml:space="preserve">3.8. С</w:t>
      </w:r>
      <w:r>
        <w:rPr>
          <w:rFonts w:eastAsia="Batang"/>
          <w:color w:val="000000"/>
          <w:highlight w:val="none"/>
        </w:rPr>
        <w:t xml:space="preserve">мена опции возможна не чаще одного раза в три месяца. </w:t>
      </w:r>
      <w:r>
        <w:rPr>
          <w:rFonts w:eastAsia="Batang"/>
          <w:color w:val="000000"/>
          <w:highlight w:val="none"/>
        </w:rPr>
        <w:t xml:space="preserve">Применение новой опции начинается с первого числа</w:t>
      </w:r>
      <w:r>
        <w:rPr>
          <w:rFonts w:eastAsia="Batang"/>
          <w:color w:val="000000"/>
          <w:highlight w:val="none"/>
        </w:rPr>
        <w:t xml:space="preserve"> календарного месяца,</w:t>
      </w:r>
      <w:r>
        <w:rPr>
          <w:rFonts w:eastAsia="Batang"/>
          <w:color w:val="000000"/>
          <w:highlight w:val="none"/>
        </w:rPr>
        <w:t xml:space="preserve"> следующего </w:t>
      </w:r>
      <w:r>
        <w:rPr>
          <w:rFonts w:eastAsia="Batang"/>
          <w:color w:val="000000"/>
          <w:highlight w:val="none"/>
        </w:rPr>
        <w:t xml:space="preserve">за подачей соответствующего заявления Клиента на изменение Опции</w:t>
      </w:r>
      <w:r>
        <w:rPr>
          <w:rFonts w:eastAsia="Batang"/>
          <w:color w:val="000000"/>
          <w:highlight w:val="none"/>
        </w:rPr>
        <w:t xml:space="preserve">.</w:t>
      </w:r>
      <w:r>
        <w:rPr>
          <w:rFonts w:eastAsia="Batang"/>
          <w:color w:val="000000"/>
          <w:highlight w:val="none"/>
        </w:rPr>
        <w:t xml:space="preserve"> </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r>
      <w:r>
        <w:rPr>
          <w:rFonts w:eastAsia="Batang"/>
          <w:color w:val="000000"/>
          <w:highlight w:val="none"/>
        </w:rPr>
        <w:t xml:space="preserve">3.9. Банк вправе п</w:t>
      </w:r>
      <w:r>
        <w:rPr>
          <w:rFonts w:eastAsia="Batang"/>
          <w:color w:val="000000"/>
          <w:highlight w:val="none"/>
        </w:rPr>
        <w:t xml:space="preserve">риостановить или исклю</w:t>
      </w:r>
      <w:r>
        <w:rPr>
          <w:rFonts w:eastAsia="Batang"/>
          <w:color w:val="000000"/>
          <w:highlight w:val="none"/>
        </w:rPr>
        <w:t xml:space="preserve">чить опцию из </w:t>
      </w:r>
      <w:r>
        <w:rPr>
          <w:rFonts w:eastAsia="Batang"/>
          <w:color w:val="000000"/>
          <w:highlight w:val="none"/>
        </w:rPr>
        <w:t xml:space="preserve">ТП</w:t>
      </w:r>
      <w:r>
        <w:rPr>
          <w:rFonts w:eastAsia="Batang"/>
          <w:color w:val="000000"/>
          <w:highlight w:val="none"/>
        </w:rPr>
        <w:t xml:space="preserve">, </w:t>
      </w:r>
      <w:r>
        <w:rPr>
          <w:rFonts w:eastAsia="Batang"/>
          <w:color w:val="000000"/>
          <w:highlight w:val="none"/>
        </w:rPr>
        <w:t xml:space="preserve">у</w:t>
      </w:r>
      <w:r>
        <w:rPr>
          <w:rFonts w:eastAsia="Batang"/>
          <w:color w:val="000000"/>
          <w:highlight w:val="none"/>
        </w:rPr>
        <w:t xml:space="preserve">ведомив</w:t>
      </w:r>
      <w:r>
        <w:rPr>
          <w:rFonts w:eastAsia="Batang"/>
          <w:color w:val="000000"/>
          <w:highlight w:val="none"/>
        </w:rPr>
        <w:t xml:space="preserve"> Клиент</w:t>
      </w:r>
      <w:r>
        <w:rPr>
          <w:rFonts w:eastAsia="Batang"/>
          <w:color w:val="000000"/>
          <w:highlight w:val="none"/>
        </w:rPr>
        <w:t xml:space="preserve">а</w:t>
      </w:r>
      <w:r>
        <w:rPr>
          <w:rFonts w:eastAsia="Batang"/>
          <w:color w:val="000000"/>
          <w:highlight w:val="none"/>
        </w:rPr>
        <w:t xml:space="preserve"> заранее </w:t>
      </w:r>
      <w:r>
        <w:rPr>
          <w:rFonts w:eastAsia="Batang"/>
          <w:color w:val="000000"/>
          <w:highlight w:val="none"/>
        </w:rPr>
        <w:t xml:space="preserve">в порядке, установленном договором</w:t>
      </w:r>
      <w:r>
        <w:rPr>
          <w:rFonts w:eastAsia="Batang"/>
          <w:color w:val="000000"/>
          <w:highlight w:val="none"/>
        </w:rPr>
        <w:t xml:space="preserve"> банковского счета</w:t>
      </w:r>
      <w:r>
        <w:rPr>
          <w:rFonts w:eastAsia="Batang"/>
          <w:color w:val="000000"/>
          <w:highlight w:val="none"/>
        </w:rPr>
        <w:t xml:space="preserve">.</w:t>
      </w:r>
      <w:r>
        <w:rPr>
          <w:rFonts w:eastAsia="Batang"/>
          <w:color w:val="000000"/>
          <w:highlight w:val="none"/>
        </w:rPr>
        <w:t xml:space="preserve"> В этом случае Клиенты, подключенные к </w:t>
      </w:r>
      <w:r>
        <w:rPr>
          <w:rFonts w:eastAsia="Batang"/>
          <w:color w:val="000000"/>
          <w:highlight w:val="none"/>
        </w:rPr>
        <w:t xml:space="preserve">п</w:t>
      </w:r>
      <w:r>
        <w:rPr>
          <w:rFonts w:eastAsia="Batang"/>
          <w:color w:val="000000"/>
          <w:highlight w:val="none"/>
        </w:rPr>
        <w:t xml:space="preserve">риостанавливаемой/исклю</w:t>
      </w:r>
      <w:r>
        <w:rPr>
          <w:rFonts w:eastAsia="Batang"/>
          <w:color w:val="000000"/>
          <w:highlight w:val="none"/>
        </w:rPr>
        <w:t xml:space="preserve">чаемой</w:t>
      </w:r>
      <w:r>
        <w:rPr>
          <w:rFonts w:eastAsia="Batang"/>
          <w:color w:val="000000"/>
          <w:highlight w:val="none"/>
        </w:rPr>
        <w:t xml:space="preserve"> опции переводятся на обслуживание</w:t>
      </w:r>
      <w:r>
        <w:rPr>
          <w:rFonts w:eastAsia="Batang"/>
          <w:color w:val="000000"/>
          <w:highlight w:val="none"/>
        </w:rPr>
        <w:t xml:space="preserve"> с ТП</w:t>
      </w:r>
      <w:r>
        <w:rPr>
          <w:rFonts w:eastAsia="Batang"/>
          <w:color w:val="000000"/>
          <w:highlight w:val="none"/>
        </w:rPr>
        <w:t xml:space="preserve"> </w:t>
      </w:r>
      <w:r>
        <w:rPr>
          <w:rFonts w:eastAsia="Batang"/>
          <w:color w:val="000000"/>
          <w:highlight w:val="none"/>
        </w:rPr>
        <w:t xml:space="preserve">на </w:t>
      </w:r>
      <w:r>
        <w:rPr>
          <w:rFonts w:eastAsia="Batang"/>
          <w:color w:val="000000"/>
          <w:highlight w:val="none"/>
        </w:rPr>
        <w:t xml:space="preserve">Тариф</w:t>
      </w:r>
      <w:r>
        <w:rPr>
          <w:rFonts w:eastAsia="Batang"/>
          <w:color w:val="000000"/>
          <w:highlight w:val="none"/>
        </w:rPr>
        <w:t xml:space="preserve">ы</w:t>
      </w:r>
      <w:r>
        <w:rPr>
          <w:rFonts w:eastAsia="Batang"/>
          <w:color w:val="000000"/>
          <w:highlight w:val="none"/>
        </w:rPr>
        <w:t xml:space="preserve"> Банка. При наличии заявления клиента о смене опции - перевод</w:t>
      </w:r>
      <w:r>
        <w:rPr>
          <w:rFonts w:eastAsia="Batang"/>
          <w:color w:val="000000"/>
          <w:highlight w:val="none"/>
        </w:rPr>
        <w:t xml:space="preserve"> на обслуживание в рамках Опции</w:t>
      </w:r>
      <w:r>
        <w:rPr>
          <w:rFonts w:eastAsia="Batang"/>
          <w:color w:val="000000"/>
          <w:highlight w:val="none"/>
        </w:rPr>
        <w:t xml:space="preserve"> осуществляется в порядке определенном ТП</w:t>
      </w:r>
      <w:r>
        <w:rPr>
          <w:rFonts w:eastAsia="Batang"/>
          <w:color w:val="000000"/>
          <w:highlight w:val="none"/>
        </w:rPr>
        <w:t xml:space="preserve">.</w:t>
      </w:r>
      <w:r>
        <w:rPr>
          <w:rFonts w:eastAsia="Batang"/>
          <w:color w:val="000000"/>
          <w:highlight w:val="none"/>
          <w14:ligatures w14:val="none"/>
        </w:rPr>
      </w:r>
      <w:r>
        <w:rPr>
          <w:rFonts w:eastAsia="Batang"/>
          <w:color w:val="000000"/>
          <w:highlight w:val="none"/>
          <w14:ligatures w14:val="none"/>
        </w:rPr>
      </w:r>
    </w:p>
    <w:p>
      <w:pPr>
        <w:ind w:firstLine="709"/>
        <w:jc w:val="both"/>
        <w:widowControl w:val="off"/>
        <w:tabs>
          <w:tab w:val="left" w:pos="1276" w:leader="none"/>
        </w:tabs>
        <w:rPr>
          <w:rFonts w:eastAsia="Batang"/>
          <w:color w:val="000000"/>
          <w:highlight w:val="none"/>
          <w14:ligatures w14:val="none"/>
        </w:rPr>
      </w:pPr>
      <w:r>
        <w:rPr>
          <w:rFonts w:eastAsia="Batang"/>
          <w:color w:val="000000"/>
          <w:highlight w:val="none"/>
        </w:rPr>
        <w:t xml:space="preserve">3.10</w:t>
      </w:r>
      <w:r>
        <w:rPr>
          <w:rFonts w:eastAsia="Batang"/>
          <w:color w:val="000000"/>
          <w:highlight w:val="none"/>
        </w:rPr>
        <w:t xml:space="preserve">. Комиссионное вознаграждени</w:t>
      </w:r>
      <w:r>
        <w:rPr>
          <w:rFonts w:eastAsia="Batang"/>
          <w:color w:val="000000"/>
          <w:highlight w:val="none"/>
        </w:rPr>
        <w:t xml:space="preserve">е за услуги, не перечисленные в ТП, взимается в соответствии с Тарифами Банка.</w:t>
      </w:r>
      <w:r>
        <w:rPr>
          <w:rFonts w:eastAsia="Batang"/>
          <w:color w:val="000000"/>
          <w:highlight w:val="none"/>
          <w14:ligatures w14:val="none"/>
        </w:rPr>
      </w:r>
      <w:r>
        <w:rPr>
          <w:rFonts w:eastAsia="Batang"/>
          <w:color w:val="000000"/>
          <w:highlight w:val="none"/>
          <w14:ligatures w14:val="none"/>
        </w:rPr>
      </w:r>
    </w:p>
    <w:p>
      <w:pPr>
        <w:ind w:firstLine="0"/>
        <w:jc w:val="both"/>
        <w:widowControl w:val="off"/>
        <w:tabs>
          <w:tab w:val="left" w:pos="1276" w:leader="none"/>
        </w:tabs>
        <w:rPr>
          <w:rFonts w:eastAsia="Batang"/>
          <w:color w:val="000000"/>
          <w:highlight w:val="none"/>
          <w14:ligatures w14:val="none"/>
        </w:rPr>
      </w:pPr>
      <w:r>
        <w:rPr>
          <w:rFonts w:eastAsia="Batang"/>
          <w:color w:val="000000"/>
          <w:highlight w:val="none"/>
          <w14:ligatures w14:val="none"/>
        </w:rPr>
      </w:r>
      <w:r>
        <w:rPr>
          <w:rFonts w:eastAsia="Batang"/>
          <w:color w:val="000000"/>
          <w:highlight w:val="none"/>
          <w14:ligatures w14:val="none"/>
        </w:rPr>
      </w:r>
      <w:r>
        <w:rPr>
          <w:rFonts w:eastAsia="Batang"/>
          <w:color w:val="000000"/>
          <w:highlight w:val="none"/>
          <w14:ligatures w14:val="none"/>
        </w:rPr>
      </w:r>
    </w:p>
    <w:sectPr>
      <w:headerReference w:type="default" r:id="rId9"/>
      <w:headerReference w:type="even" r:id="rId10"/>
      <w:headerReference w:type="first" r:id="rId11"/>
      <w:footerReference w:type="default" r:id="rId12"/>
      <w:footerReference w:type="even" r:id="rId13"/>
      <w:footnotePr/>
      <w:endnotePr/>
      <w:type w:val="nextPage"/>
      <w:pgSz w:w="11906" w:h="16838" w:orient="portrait"/>
      <w:pgMar w:top="1134" w:right="851" w:bottom="993" w:left="1418"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Times New Roman">
    <w:panose1 w:val="02020603050405020304"/>
  </w:font>
  <w:font w:name="Batang">
    <w:panose1 w:val="02010600030101010101"/>
  </w:font>
  <w:font w:name="Calibri">
    <w:panose1 w:val="020F0502020204030204"/>
  </w:font>
  <w:font w:name="Tahoma">
    <w:panose1 w:val="020B060403050404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35"/>
      <w:rPr>
        <w:rStyle w:val="1436"/>
      </w:rPr>
      <w:framePr w:wrap="around" w:vAnchor="text" w:hAnchor="margin" w:xAlign="right" w:y="1"/>
    </w:pPr>
    <w:r>
      <w:rPr>
        <w:rStyle w:val="1436"/>
      </w:rPr>
    </w:r>
    <w:r>
      <w:rPr>
        <w:rStyle w:val="1436"/>
      </w:rPr>
    </w:r>
    <w:r>
      <w:rPr>
        <w:rStyle w:val="1436"/>
      </w:rPr>
    </w:r>
  </w:p>
  <w:p>
    <w:pPr>
      <w:pStyle w:val="1435"/>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35"/>
      <w:rPr>
        <w:rStyle w:val="1436"/>
      </w:rPr>
      <w:framePr w:wrap="around" w:vAnchor="text" w:hAnchor="margin" w:xAlign="right" w:y="1"/>
    </w:pPr>
    <w:r>
      <w:rPr>
        <w:rStyle w:val="1436"/>
      </w:rPr>
      <w:fldChar w:fldCharType="begin"/>
    </w:r>
    <w:r>
      <w:rPr>
        <w:rStyle w:val="1436"/>
      </w:rPr>
      <w:instrText xml:space="preserve">PAGE  </w:instrText>
    </w:r>
    <w:r>
      <w:rPr>
        <w:rStyle w:val="1436"/>
      </w:rPr>
      <w:fldChar w:fldCharType="separate"/>
    </w:r>
    <w:r>
      <w:rPr>
        <w:rStyle w:val="1436"/>
      </w:rPr>
      <w:t xml:space="preserve">8</w:t>
    </w:r>
    <w:r>
      <w:rPr>
        <w:rStyle w:val="1436"/>
      </w:rPr>
      <w:fldChar w:fldCharType="end"/>
    </w:r>
    <w:r>
      <w:rPr>
        <w:rStyle w:val="1436"/>
      </w:rPr>
    </w:r>
    <w:r>
      <w:rPr>
        <w:rStyle w:val="1436"/>
      </w:rPr>
    </w:r>
  </w:p>
  <w:p>
    <w:pPr>
      <w:pStyle w:val="1435"/>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432"/>
        <w:jc w:val="both"/>
      </w:pPr>
      <w:r>
        <w:rPr>
          <w:rStyle w:val="1433"/>
        </w:rPr>
        <w:footnoteRef/>
      </w:r>
      <w:r>
        <w:t xml:space="preserve"> </w:t>
      </w:r>
      <w:r>
        <w:t xml:space="preserve">Счет </w:t>
      </w:r>
      <w:r>
        <w:t xml:space="preserve">б</w:t>
      </w:r>
      <w:r>
        <w:t xml:space="preserve">изнес-карты – банковский счет в валюте Российской Федерации, открываемый Клиенту Банком на основании Договора о выпуске и обслуживании Бизнес-карты к отдельному счету, заключенного между Банком и Клиентом, и предназначенный для отражения операци</w:t>
      </w:r>
      <w:r>
        <w:t xml:space="preserve">й, совершенных с использованием</w:t>
        <w:br w:type="textWrapping" w:clear="all"/>
      </w:r>
      <w:r>
        <w:t xml:space="preserve">Бизнес-карт/реквизитов Бизнес-карт, в соответствии с законодательством Российской Федерации и Договором о выпуске и обслуживании Бизнес-карты к отдельному счету. </w:t>
      </w:r>
      <w:r/>
    </w:p>
  </w:footnote>
  <w:footnote w:id="3">
    <w:p>
      <w:pPr>
        <w:pStyle w:val="1432"/>
        <w:jc w:val="both"/>
        <w:rPr>
          <w:sz w:val="18"/>
          <w:szCs w:val="18"/>
        </w:rPr>
      </w:pPr>
      <w:r>
        <w:rPr>
          <w:rStyle w:val="1433"/>
          <w:sz w:val="18"/>
          <w:szCs w:val="18"/>
        </w:rPr>
        <w:footnoteRef/>
      </w:r>
      <w:r>
        <w:rPr>
          <w:sz w:val="18"/>
          <w:szCs w:val="18"/>
        </w:rPr>
        <w:t xml:space="preserve"> Использование Мобильного приложения «Свой Бизнес Мобайл» возможно только при условии подключения «Свой Бизнес».</w:t>
      </w:r>
      <w:r>
        <w:rPr>
          <w:sz w:val="18"/>
          <w:szCs w:val="18"/>
        </w:rPr>
      </w:r>
      <w:r>
        <w:rPr>
          <w:sz w:val="18"/>
          <w:szCs w:val="18"/>
        </w:rPr>
      </w:r>
    </w:p>
  </w:footnote>
  <w:footnote w:id="4">
    <w:p>
      <w:pPr>
        <w:pStyle w:val="1449"/>
        <w:jc w:val="both"/>
        <w:rPr>
          <w:rFonts w:ascii="Times New Roman" w:hAnsi="Times New Roman"/>
          <w:sz w:val="18"/>
          <w:szCs w:val="18"/>
        </w:rPr>
      </w:pPr>
      <w:r>
        <w:rPr>
          <w:rStyle w:val="1450"/>
          <w:rFonts w:ascii="Times New Roman" w:hAnsi="Times New Roman"/>
          <w:sz w:val="18"/>
          <w:szCs w:val="18"/>
        </w:rPr>
        <w:footnoteRef/>
      </w:r>
      <w:r>
        <w:rPr>
          <w:rFonts w:ascii="Times New Roman" w:hAnsi="Times New Roman"/>
          <w:sz w:val="18"/>
          <w:szCs w:val="18"/>
        </w:rPr>
        <w:t xml:space="preserve"> В соответствии с Федеральным законом от 10</w:t>
      </w:r>
      <w:r>
        <w:rPr>
          <w:rFonts w:ascii="Times New Roman" w:hAnsi="Times New Roman"/>
          <w:sz w:val="18"/>
          <w:szCs w:val="18"/>
        </w:rPr>
        <w:t xml:space="preserve">.07.</w:t>
      </w:r>
      <w:r>
        <w:rPr>
          <w:rFonts w:ascii="Times New Roman" w:hAnsi="Times New Roman"/>
          <w:sz w:val="18"/>
          <w:szCs w:val="18"/>
        </w:rPr>
        <w:t xml:space="preserve">2023 № 304-ФЗ «О внесении изменения в статью 13.1 Федерального закона «Об отходах производства и потребления», начиная с 01</w:t>
      </w:r>
      <w:r>
        <w:rPr>
          <w:rFonts w:ascii="Times New Roman" w:hAnsi="Times New Roman"/>
          <w:sz w:val="18"/>
          <w:szCs w:val="18"/>
        </w:rPr>
        <w:t xml:space="preserve">.10.</w:t>
      </w:r>
      <w:r>
        <w:rPr>
          <w:rFonts w:ascii="Times New Roman" w:hAnsi="Times New Roman"/>
          <w:sz w:val="18"/>
          <w:szCs w:val="18"/>
        </w:rPr>
        <w:t xml:space="preserve">2023 Банк не осуществляет выдачу денежной наличности на цели, связанные с покупкой лома и отходов цветных и (и</w:t>
      </w:r>
      <w:r>
        <w:rPr>
          <w:rFonts w:ascii="Times New Roman" w:hAnsi="Times New Roman"/>
          <w:sz w:val="18"/>
          <w:szCs w:val="18"/>
        </w:rPr>
        <w:t xml:space="preserve">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ascii="Times New Roman" w:hAnsi="Times New Roman"/>
          <w:sz w:val="18"/>
          <w:szCs w:val="18"/>
        </w:rPr>
      </w:r>
      <w:r>
        <w:rPr>
          <w:rFonts w:ascii="Times New Roman" w:hAnsi="Times New Roman"/>
          <w:sz w:val="18"/>
          <w:szCs w:val="18"/>
        </w:rPr>
      </w:r>
    </w:p>
  </w:footnote>
  <w:footnote w:id="5">
    <w:p>
      <w:pPr>
        <w:pStyle w:val="1432"/>
        <w:jc w:val="both"/>
      </w:pPr>
      <w:r>
        <w:rPr>
          <w:rStyle w:val="1433"/>
        </w:rPr>
        <w:footnoteRef/>
      </w:r>
      <w:r>
        <w:t xml:space="preserve"> </w:t>
      </w:r>
      <w:r>
        <w:t xml:space="preserve">За исключением бизнес-карт категории Business Preferred.</w:t>
      </w:r>
      <w:r/>
    </w:p>
  </w:footnote>
  <w:footnote w:id="6">
    <w:p>
      <w:pPr>
        <w:pStyle w:val="1407"/>
      </w:pPr>
      <w:r>
        <w:rPr>
          <w:rStyle w:val="1409"/>
        </w:rPr>
        <w:footnoteRef/>
      </w:r>
      <w:r>
        <w:t xml:space="preserve"> По выбору клиента.</w:t>
      </w:r>
      <w:r/>
    </w:p>
  </w:footnote>
  <w:footnote w:id="7">
    <w:p>
      <w:pPr>
        <w:pStyle w:val="1407"/>
        <w:jc w:val="both"/>
        <w:rPr>
          <w:sz w:val="18"/>
          <w:szCs w:val="18"/>
          <w:highlight w:val="none"/>
        </w:rPr>
      </w:pPr>
      <w:r>
        <w:rPr>
          <w:rStyle w:val="1409"/>
          <w:sz w:val="18"/>
          <w:szCs w:val="18"/>
        </w:rPr>
        <w:footnoteRef/>
      </w:r>
      <w:r>
        <w:rPr>
          <w:sz w:val="18"/>
          <w:szCs w:val="18"/>
        </w:rPr>
        <w:t xml:space="preserve"> Оборудование – кассовое оборудование с предустановленным програмным обеспечением «МТС Касса», являющимся адаптированной версией ПО «LiteBox», принадлежащее П</w:t>
      </w:r>
      <w:r>
        <w:rPr>
          <w:sz w:val="18"/>
          <w:szCs w:val="18"/>
        </w:rPr>
        <w:t xml:space="preserve">АО «МТС», место нахождения: 109147, город Москва, улица Марксистская, дом 4. МТС Касса обладает всеми необходимыми правами на реализацию ПО на основании Лицензионного соглашения с правообладателем (ПАО «МТС»). Собственником оборудования является ПАО «МТС».</w:t>
      </w:r>
      <w:r>
        <w:rPr>
          <w:sz w:val="18"/>
          <w:szCs w:val="18"/>
          <w:highlight w:val="none"/>
        </w:rPr>
      </w:r>
      <w:r>
        <w:rPr>
          <w:sz w:val="18"/>
          <w:szCs w:val="18"/>
          <w:highlight w:val="none"/>
        </w:rPr>
      </w:r>
    </w:p>
  </w:footnote>
  <w:footnote w:id="8">
    <w:p>
      <w:pPr>
        <w:pStyle w:val="1407"/>
        <w:jc w:val="both"/>
        <w:rPr>
          <w:sz w:val="18"/>
          <w:szCs w:val="18"/>
        </w:rPr>
      </w:pPr>
      <w:r>
        <w:rPr>
          <w:rStyle w:val="1409"/>
          <w:sz w:val="18"/>
          <w:szCs w:val="18"/>
        </w:rPr>
        <w:footnoteRef/>
      </w:r>
      <w:r>
        <w:rPr>
          <w:sz w:val="18"/>
          <w:szCs w:val="18"/>
        </w:rPr>
        <w:t xml:space="preserve"> Партнер – ПАО «МТС». Адрес: 109147, город Москва, улица Марксистская, дом 4, тел. 8 800-250-19-79</w:t>
      </w:r>
      <w:r>
        <w:rPr>
          <w:sz w:val="18"/>
          <w:szCs w:val="18"/>
        </w:rPr>
      </w:r>
      <w:r>
        <w:rPr>
          <w:sz w:val="18"/>
          <w:szCs w:val="18"/>
        </w:rPr>
      </w:r>
    </w:p>
  </w:footnote>
  <w:footnote w:id="9">
    <w:p>
      <w:pPr>
        <w:pStyle w:val="1451"/>
        <w:jc w:val="both"/>
        <w:rPr>
          <w:sz w:val="18"/>
          <w:szCs w:val="18"/>
        </w:rPr>
      </w:pPr>
      <w:r>
        <w:rPr>
          <w:rStyle w:val="1452"/>
          <w:sz w:val="18"/>
          <w:szCs w:val="18"/>
        </w:rPr>
        <w:footnoteRef/>
      </w:r>
      <w:r>
        <w:rPr>
          <w:sz w:val="18"/>
          <w:szCs w:val="18"/>
        </w:rPr>
        <w:t xml:space="preserve"> МСС-код - (Merchant Category Code) - номер из четырех цифр, который обозначает вид деятельности компании при безналичной оплате банковскими картами товаров и услуг.</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34"/>
      <w:jc w:val="center"/>
    </w:pPr>
    <w:r>
      <w:fldChar w:fldCharType="begin"/>
    </w:r>
    <w:r>
      <w:instrText xml:space="preserve">PAGE   \* MERGEFORMAT</w:instrText>
    </w:r>
    <w:r>
      <w:fldChar w:fldCharType="separate"/>
    </w:r>
    <w:r>
      <w:t xml:space="preserve">5</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34"/>
      <w:rPr>
        <w:rStyle w:val="1436"/>
      </w:rPr>
      <w:framePr w:wrap="around" w:vAnchor="text" w:hAnchor="margin" w:xAlign="center" w:y="1"/>
    </w:pPr>
    <w:r>
      <w:rPr>
        <w:rStyle w:val="1436"/>
      </w:rPr>
      <w:fldChar w:fldCharType="begin"/>
    </w:r>
    <w:r>
      <w:rPr>
        <w:rStyle w:val="1436"/>
      </w:rPr>
      <w:instrText xml:space="preserve">PAGE  </w:instrText>
    </w:r>
    <w:r>
      <w:rPr>
        <w:rStyle w:val="1436"/>
      </w:rPr>
      <w:fldChar w:fldCharType="separate"/>
    </w:r>
    <w:r>
      <w:rPr>
        <w:rStyle w:val="1436"/>
      </w:rPr>
      <w:t xml:space="preserve">8</w:t>
    </w:r>
    <w:r>
      <w:rPr>
        <w:rStyle w:val="1436"/>
      </w:rPr>
      <w:fldChar w:fldCharType="end"/>
    </w:r>
    <w:r>
      <w:rPr>
        <w:rStyle w:val="1436"/>
      </w:rPr>
    </w:r>
    <w:r>
      <w:rPr>
        <w:rStyle w:val="1436"/>
      </w:rPr>
    </w:r>
  </w:p>
  <w:p>
    <w:pPr>
      <w:pStyle w:val="1434"/>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34"/>
      <w:jc w:val="right"/>
      <w:rPr>
        <w:i/>
        <w:sz w:val="20"/>
        <w:szCs w:val="20"/>
      </w:rPr>
    </w:pPr>
    <w:r>
      <w:rPr>
        <w:i/>
        <w:sz w:val="20"/>
        <w:szCs w:val="20"/>
      </w:rPr>
    </w:r>
    <w:r>
      <w:rPr>
        <w:i/>
        <w:sz w:val="20"/>
        <w:szCs w:val="20"/>
      </w:rPr>
    </w:r>
    <w:r>
      <w:rPr>
        <w:i/>
        <w:sz w:val="20"/>
        <w:szCs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
    <w:multiLevelType w:val="hybridMultilevel"/>
    <w:lvl w:ilvl="0">
      <w:start w:val="1"/>
      <w:numFmt w:val="decimal"/>
      <w:isLgl w:val="false"/>
      <w:suff w:val="tab"/>
      <w:lvlText w:val="%1."/>
      <w:lvlJc w:val="left"/>
      <w:pPr>
        <w:ind w:left="720" w:hanging="360"/>
      </w:pPr>
    </w:lvl>
    <w:lvl w:ilvl="1">
      <w:start w:val="2"/>
      <w:numFmt w:val="decimal"/>
      <w:isLgl w:val="false"/>
      <w:suff w:val="tab"/>
      <w:lvlText w:val="%1.%2."/>
      <w:lvlJc w:val="left"/>
      <w:pPr>
        <w:ind w:left="720" w:hanging="360"/>
      </w:p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440" w:hanging="108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1800" w:hanging="1440"/>
      </w:p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0" w:firstLine="0"/>
      </w:pPr>
      <w:rPr>
        <w:b w:val="0"/>
      </w:rPr>
    </w:lvl>
    <w:lvl w:ilvl="2">
      <w:start w:val="1"/>
      <w:numFmt w:val="decimal"/>
      <w:isLgl w:val="false"/>
      <w:suff w:val="tab"/>
      <w:lvlText w:val="%1.%2.%3."/>
      <w:lvlJc w:val="left"/>
      <w:pPr>
        <w:ind w:left="720" w:hanging="360"/>
      </w:pPr>
      <w:rPr>
        <w:b w:val="0"/>
      </w:rPr>
    </w:lvl>
    <w:lvl w:ilvl="3">
      <w:start w:val="1"/>
      <w:numFmt w:val="decimal"/>
      <w:isLgl w:val="false"/>
      <w:suff w:val="tab"/>
      <w:lvlText w:val="%1.%2.%3.%4."/>
      <w:lvlJc w:val="left"/>
      <w:pPr>
        <w:ind w:left="720" w:hanging="360"/>
      </w:pPr>
      <w:rPr>
        <w:b w:val="0"/>
      </w:rPr>
    </w:lvl>
    <w:lvl w:ilvl="4">
      <w:start w:val="1"/>
      <w:numFmt w:val="decimal"/>
      <w:isLgl w:val="false"/>
      <w:suff w:val="tab"/>
      <w:lvlText w:val="%1.%2.%3.%4.%5."/>
      <w:lvlJc w:val="left"/>
      <w:pPr>
        <w:ind w:left="1080" w:hanging="720"/>
      </w:pPr>
      <w:rPr>
        <w:b w:val="0"/>
      </w:rPr>
    </w:lvl>
    <w:lvl w:ilvl="5">
      <w:start w:val="1"/>
      <w:numFmt w:val="decimal"/>
      <w:isLgl w:val="false"/>
      <w:suff w:val="tab"/>
      <w:lvlText w:val="%1.%2.%3.%4.%5.%6."/>
      <w:lvlJc w:val="left"/>
      <w:pPr>
        <w:ind w:left="1080" w:hanging="720"/>
      </w:pPr>
      <w:rPr>
        <w:b w:val="0"/>
      </w:rPr>
    </w:lvl>
    <w:lvl w:ilvl="6">
      <w:start w:val="1"/>
      <w:numFmt w:val="decimal"/>
      <w:isLgl w:val="false"/>
      <w:suff w:val="tab"/>
      <w:lvlText w:val="%1.%2.%3.%4.%5.%6.%7."/>
      <w:lvlJc w:val="left"/>
      <w:pPr>
        <w:ind w:left="1080" w:hanging="720"/>
      </w:pPr>
      <w:rPr>
        <w:b w:val="0"/>
      </w:rPr>
    </w:lvl>
    <w:lvl w:ilvl="7">
      <w:start w:val="1"/>
      <w:numFmt w:val="decimal"/>
      <w:isLgl w:val="false"/>
      <w:suff w:val="tab"/>
      <w:lvlText w:val="%1.%2.%3.%4.%5.%6.%7.%8."/>
      <w:lvlJc w:val="left"/>
      <w:pPr>
        <w:ind w:left="1440" w:hanging="1080"/>
      </w:pPr>
      <w:rPr>
        <w:b w:val="0"/>
      </w:rPr>
    </w:lvl>
    <w:lvl w:ilvl="8">
      <w:start w:val="1"/>
      <w:numFmt w:val="decimal"/>
      <w:isLgl w:val="false"/>
      <w:suff w:val="tab"/>
      <w:lvlText w:val="%1.%2.%3.%4.%5.%6.%7.%8.%9."/>
      <w:lvlJc w:val="left"/>
      <w:pPr>
        <w:ind w:left="1440" w:hanging="1080"/>
      </w:pPr>
      <w:rPr>
        <w:b w:val="0"/>
      </w:rPr>
    </w:lvl>
  </w:abstractNum>
  <w:abstractNum w:abstractNumId="4">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
    <w:multiLevelType w:val="hybridMultilevel"/>
    <w:lvl w:ilvl="0">
      <w:start w:val="1"/>
      <w:numFmt w:val="bullet"/>
      <w:isLgl w:val="false"/>
      <w:suff w:val="tab"/>
      <w:lvlText w:val=""/>
      <w:lvlJc w:val="left"/>
      <w:pPr>
        <w:ind w:left="1088" w:hanging="360"/>
        <w:tabs>
          <w:tab w:val="num" w:pos="1088" w:leader="none"/>
        </w:tabs>
      </w:pPr>
      <w:rPr>
        <w:rFonts w:ascii="Symbol" w:hAnsi="Symbol"/>
      </w:rPr>
    </w:lvl>
    <w:lvl w:ilvl="1">
      <w:start w:val="1"/>
      <w:numFmt w:val="bullet"/>
      <w:isLgl w:val="false"/>
      <w:suff w:val="tab"/>
      <w:lvlText w:val="o"/>
      <w:lvlJc w:val="left"/>
      <w:pPr>
        <w:ind w:left="1808" w:hanging="360"/>
        <w:tabs>
          <w:tab w:val="num" w:pos="1808" w:leader="none"/>
        </w:tabs>
      </w:pPr>
      <w:rPr>
        <w:rFonts w:ascii="Courier New" w:hAnsi="Courier New" w:cs="Courier New"/>
      </w:rPr>
    </w:lvl>
    <w:lvl w:ilvl="2">
      <w:start w:val="1"/>
      <w:numFmt w:val="bullet"/>
      <w:isLgl w:val="false"/>
      <w:suff w:val="tab"/>
      <w:lvlText w:val=""/>
      <w:lvlJc w:val="left"/>
      <w:pPr>
        <w:ind w:left="2528" w:hanging="360"/>
        <w:tabs>
          <w:tab w:val="num" w:pos="2528" w:leader="none"/>
        </w:tabs>
      </w:pPr>
      <w:rPr>
        <w:rFonts w:ascii="Wingdings" w:hAnsi="Wingdings"/>
      </w:rPr>
    </w:lvl>
    <w:lvl w:ilvl="3">
      <w:start w:val="1"/>
      <w:numFmt w:val="bullet"/>
      <w:isLgl w:val="false"/>
      <w:suff w:val="tab"/>
      <w:lvlText w:val=""/>
      <w:lvlJc w:val="left"/>
      <w:pPr>
        <w:ind w:left="3248" w:hanging="360"/>
        <w:tabs>
          <w:tab w:val="num" w:pos="3248" w:leader="none"/>
        </w:tabs>
      </w:pPr>
      <w:rPr>
        <w:rFonts w:ascii="Symbol" w:hAnsi="Symbol"/>
      </w:rPr>
    </w:lvl>
    <w:lvl w:ilvl="4">
      <w:start w:val="1"/>
      <w:numFmt w:val="bullet"/>
      <w:isLgl w:val="false"/>
      <w:suff w:val="tab"/>
      <w:lvlText w:val="o"/>
      <w:lvlJc w:val="left"/>
      <w:pPr>
        <w:ind w:left="3968" w:hanging="360"/>
        <w:tabs>
          <w:tab w:val="num" w:pos="3968" w:leader="none"/>
        </w:tabs>
      </w:pPr>
      <w:rPr>
        <w:rFonts w:ascii="Courier New" w:hAnsi="Courier New" w:cs="Courier New"/>
      </w:rPr>
    </w:lvl>
    <w:lvl w:ilvl="5">
      <w:start w:val="1"/>
      <w:numFmt w:val="bullet"/>
      <w:isLgl w:val="false"/>
      <w:suff w:val="tab"/>
      <w:lvlText w:val=""/>
      <w:lvlJc w:val="left"/>
      <w:pPr>
        <w:ind w:left="4688" w:hanging="360"/>
        <w:tabs>
          <w:tab w:val="num" w:pos="4688" w:leader="none"/>
        </w:tabs>
      </w:pPr>
      <w:rPr>
        <w:rFonts w:ascii="Wingdings" w:hAnsi="Wingdings"/>
      </w:rPr>
    </w:lvl>
    <w:lvl w:ilvl="6">
      <w:start w:val="1"/>
      <w:numFmt w:val="bullet"/>
      <w:isLgl w:val="false"/>
      <w:suff w:val="tab"/>
      <w:lvlText w:val=""/>
      <w:lvlJc w:val="left"/>
      <w:pPr>
        <w:ind w:left="5408" w:hanging="360"/>
        <w:tabs>
          <w:tab w:val="num" w:pos="5408" w:leader="none"/>
        </w:tabs>
      </w:pPr>
      <w:rPr>
        <w:rFonts w:ascii="Symbol" w:hAnsi="Symbol"/>
      </w:rPr>
    </w:lvl>
    <w:lvl w:ilvl="7">
      <w:start w:val="1"/>
      <w:numFmt w:val="bullet"/>
      <w:isLgl w:val="false"/>
      <w:suff w:val="tab"/>
      <w:lvlText w:val="o"/>
      <w:lvlJc w:val="left"/>
      <w:pPr>
        <w:ind w:left="6128" w:hanging="360"/>
        <w:tabs>
          <w:tab w:val="num" w:pos="6128" w:leader="none"/>
        </w:tabs>
      </w:pPr>
      <w:rPr>
        <w:rFonts w:ascii="Courier New" w:hAnsi="Courier New" w:cs="Courier New"/>
      </w:rPr>
    </w:lvl>
    <w:lvl w:ilvl="8">
      <w:start w:val="1"/>
      <w:numFmt w:val="bullet"/>
      <w:isLgl w:val="false"/>
      <w:suff w:val="tab"/>
      <w:lvlText w:val=""/>
      <w:lvlJc w:val="left"/>
      <w:pPr>
        <w:ind w:left="6848" w:hanging="360"/>
        <w:tabs>
          <w:tab w:val="num" w:pos="6848" w:leader="none"/>
        </w:tabs>
      </w:pPr>
      <w:rPr>
        <w:rFonts w:ascii="Wingdings" w:hAnsi="Wingdings"/>
      </w:rPr>
    </w:lvl>
  </w:abstractNum>
  <w:abstractNum w:abstractNumId="6">
    <w:multiLevelType w:val="hybridMultilevel"/>
    <w:lvl w:ilvl="0">
      <w:start w:val="1"/>
      <w:numFmt w:val="bullet"/>
      <w:isLgl w:val="false"/>
      <w:suff w:val="tab"/>
      <w:lvlText w:val=""/>
      <w:lvlJc w:val="left"/>
      <w:pPr>
        <w:ind w:left="900" w:hanging="360"/>
        <w:tabs>
          <w:tab w:val="num" w:pos="900" w:leader="none"/>
        </w:tabs>
      </w:pPr>
      <w:rPr>
        <w:rFonts w:ascii="Wingdings" w:hAnsi="Wingdings"/>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1211" w:hanging="360"/>
      </w:pPr>
    </w:lvl>
    <w:lvl w:ilvl="2">
      <w:start w:val="1"/>
      <w:numFmt w:val="decimal"/>
      <w:isLgl w:val="false"/>
      <w:suff w:val="tab"/>
      <w:lvlText w:val="%1.%2.%3."/>
      <w:lvlJc w:val="left"/>
      <w:pPr>
        <w:ind w:left="2062" w:hanging="720"/>
      </w:pPr>
    </w:lvl>
    <w:lvl w:ilvl="3">
      <w:start w:val="1"/>
      <w:numFmt w:val="decimal"/>
      <w:isLgl w:val="false"/>
      <w:suff w:val="tab"/>
      <w:lvlText w:val="%1.%2.%3.%4."/>
      <w:lvlJc w:val="left"/>
      <w:pPr>
        <w:ind w:left="2553" w:hanging="720"/>
      </w:pPr>
    </w:lvl>
    <w:lvl w:ilvl="4">
      <w:start w:val="1"/>
      <w:numFmt w:val="decimal"/>
      <w:isLgl w:val="false"/>
      <w:suff w:val="tab"/>
      <w:lvlText w:val="%1.%2.%3.%4.%5."/>
      <w:lvlJc w:val="left"/>
      <w:pPr>
        <w:ind w:left="3404" w:hanging="1080"/>
      </w:pPr>
    </w:lvl>
    <w:lvl w:ilvl="5">
      <w:start w:val="1"/>
      <w:numFmt w:val="decimal"/>
      <w:isLgl w:val="false"/>
      <w:suff w:val="tab"/>
      <w:lvlText w:val="%1.%2.%3.%4.%5.%6."/>
      <w:lvlJc w:val="left"/>
      <w:pPr>
        <w:ind w:left="3895" w:hanging="1080"/>
      </w:pPr>
    </w:lvl>
    <w:lvl w:ilvl="6">
      <w:start w:val="1"/>
      <w:numFmt w:val="decimal"/>
      <w:isLgl w:val="false"/>
      <w:suff w:val="tab"/>
      <w:lvlText w:val="%1.%2.%3.%4.%5.%6.%7."/>
      <w:lvlJc w:val="left"/>
      <w:pPr>
        <w:ind w:left="4746" w:hanging="1440"/>
      </w:pPr>
    </w:lvl>
    <w:lvl w:ilvl="7">
      <w:start w:val="1"/>
      <w:numFmt w:val="decimal"/>
      <w:isLgl w:val="false"/>
      <w:suff w:val="tab"/>
      <w:lvlText w:val="%1.%2.%3.%4.%5.%6.%7.%8."/>
      <w:lvlJc w:val="left"/>
      <w:pPr>
        <w:ind w:left="5237" w:hanging="1440"/>
      </w:pPr>
    </w:lvl>
    <w:lvl w:ilvl="8">
      <w:start w:val="1"/>
      <w:numFmt w:val="decimal"/>
      <w:isLgl w:val="false"/>
      <w:suff w:val="tab"/>
      <w:lvlText w:val="%1.%2.%3.%4.%5.%6.%7.%8.%9."/>
      <w:lvlJc w:val="left"/>
      <w:pPr>
        <w:ind w:left="6088" w:hanging="1800"/>
      </w:pPr>
    </w:lvl>
  </w:abstractNum>
  <w:abstractNum w:abstractNumId="9">
    <w:multiLevelType w:val="hybridMultilevel"/>
    <w:lvl w:ilvl="0">
      <w:start w:val="1"/>
      <w:numFmt w:val="decimal"/>
      <w:isLgl w:val="false"/>
      <w:suff w:val="tab"/>
      <w:lvlText w:val="%1."/>
      <w:lvlJc w:val="left"/>
      <w:pPr>
        <w:ind w:left="1080" w:hanging="360"/>
      </w:pPr>
    </w:lvl>
    <w:lvl w:ilvl="1">
      <w:start w:val="1"/>
      <w:numFmt w:val="decimal"/>
      <w:isLgl w:val="false"/>
      <w:suff w:val="tab"/>
      <w:lvlText w:val="%1.%2."/>
      <w:lvlJc w:val="left"/>
      <w:pPr>
        <w:ind w:left="1080" w:hanging="360"/>
      </w:p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440" w:hanging="720"/>
      </w:pPr>
    </w:lvl>
    <w:lvl w:ilvl="4">
      <w:start w:val="1"/>
      <w:numFmt w:val="decimal"/>
      <w:isLgl w:val="false"/>
      <w:suff w:val="tab"/>
      <w:lvlText w:val="%1.%2.%3.%4.%5."/>
      <w:lvlJc w:val="left"/>
      <w:pPr>
        <w:ind w:left="1800" w:hanging="1080"/>
      </w:pPr>
    </w:lvl>
    <w:lvl w:ilvl="5">
      <w:start w:val="1"/>
      <w:numFmt w:val="decimal"/>
      <w:isLgl w:val="false"/>
      <w:suff w:val="tab"/>
      <w:lvlText w:val="%1.%2.%3.%4.%5.%6."/>
      <w:lvlJc w:val="left"/>
      <w:pPr>
        <w:ind w:left="1800" w:hanging="1080"/>
      </w:pPr>
    </w:lvl>
    <w:lvl w:ilvl="6">
      <w:start w:val="1"/>
      <w:numFmt w:val="decimal"/>
      <w:isLgl w:val="false"/>
      <w:suff w:val="tab"/>
      <w:lvlText w:val="%1.%2.%3.%4.%5.%6.%7."/>
      <w:lvlJc w:val="left"/>
      <w:pPr>
        <w:ind w:left="2160" w:hanging="1440"/>
      </w:pPr>
    </w:lvl>
    <w:lvl w:ilvl="7">
      <w:start w:val="1"/>
      <w:numFmt w:val="decimal"/>
      <w:isLgl w:val="false"/>
      <w:suff w:val="tab"/>
      <w:lvlText w:val="%1.%2.%3.%4.%5.%6.%7.%8."/>
      <w:lvlJc w:val="left"/>
      <w:pPr>
        <w:ind w:left="2160" w:hanging="1440"/>
      </w:pPr>
    </w:lvl>
    <w:lvl w:ilvl="8">
      <w:start w:val="1"/>
      <w:numFmt w:val="decimal"/>
      <w:isLgl w:val="false"/>
      <w:suff w:val="tab"/>
      <w:lvlText w:val="%1.%2.%3.%4.%5.%6.%7.%8.%9."/>
      <w:lvlJc w:val="left"/>
      <w:pPr>
        <w:ind w:left="2520" w:hanging="1800"/>
      </w:pPr>
    </w:lvl>
  </w:abstractNum>
  <w:abstractNum w:abstractNumId="10">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720" w:hanging="360"/>
      </w:p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800" w:hanging="144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2160" w:hanging="1800"/>
      </w:pPr>
    </w:lvl>
  </w:abstractNum>
  <w:abstractNum w:abstractNumId="11">
    <w:multiLevelType w:val="hybridMultilevel"/>
    <w:lvl w:ilvl="0">
      <w:start w:val="1"/>
      <w:numFmt w:val="bullet"/>
      <w:isLgl w:val="false"/>
      <w:suff w:val="tab"/>
      <w:lvlText w:val=""/>
      <w:lvlJc w:val="left"/>
      <w:pPr>
        <w:ind w:left="787" w:hanging="360"/>
        <w:tabs>
          <w:tab w:val="num" w:pos="787" w:leader="none"/>
        </w:tabs>
      </w:pPr>
      <w:rPr>
        <w:rFonts w:ascii="Symbol" w:hAnsi="Symbol"/>
      </w:rPr>
    </w:lvl>
    <w:lvl w:ilvl="1">
      <w:start w:val="1"/>
      <w:numFmt w:val="bullet"/>
      <w:isLgl w:val="false"/>
      <w:suff w:val="tab"/>
      <w:lvlText w:val="o"/>
      <w:lvlJc w:val="left"/>
      <w:pPr>
        <w:ind w:left="1507" w:hanging="360"/>
        <w:tabs>
          <w:tab w:val="num" w:pos="1507" w:leader="none"/>
        </w:tabs>
      </w:pPr>
      <w:rPr>
        <w:rFonts w:ascii="Courier New" w:hAnsi="Courier New" w:cs="Courier New"/>
      </w:rPr>
    </w:lvl>
    <w:lvl w:ilvl="2">
      <w:start w:val="1"/>
      <w:numFmt w:val="bullet"/>
      <w:isLgl w:val="false"/>
      <w:suff w:val="tab"/>
      <w:lvlText w:val=""/>
      <w:lvlJc w:val="left"/>
      <w:pPr>
        <w:ind w:left="2227" w:hanging="360"/>
        <w:tabs>
          <w:tab w:val="num" w:pos="2227" w:leader="none"/>
        </w:tabs>
      </w:pPr>
      <w:rPr>
        <w:rFonts w:ascii="Wingdings" w:hAnsi="Wingdings"/>
      </w:rPr>
    </w:lvl>
    <w:lvl w:ilvl="3">
      <w:start w:val="1"/>
      <w:numFmt w:val="bullet"/>
      <w:isLgl w:val="false"/>
      <w:suff w:val="tab"/>
      <w:lvlText w:val=""/>
      <w:lvlJc w:val="left"/>
      <w:pPr>
        <w:ind w:left="2947" w:hanging="360"/>
        <w:tabs>
          <w:tab w:val="num" w:pos="2947" w:leader="none"/>
        </w:tabs>
      </w:pPr>
      <w:rPr>
        <w:rFonts w:ascii="Symbol" w:hAnsi="Symbol"/>
      </w:rPr>
    </w:lvl>
    <w:lvl w:ilvl="4">
      <w:start w:val="1"/>
      <w:numFmt w:val="bullet"/>
      <w:isLgl w:val="false"/>
      <w:suff w:val="tab"/>
      <w:lvlText w:val="o"/>
      <w:lvlJc w:val="left"/>
      <w:pPr>
        <w:ind w:left="3667" w:hanging="360"/>
        <w:tabs>
          <w:tab w:val="num" w:pos="3667" w:leader="none"/>
        </w:tabs>
      </w:pPr>
      <w:rPr>
        <w:rFonts w:ascii="Courier New" w:hAnsi="Courier New" w:cs="Courier New"/>
      </w:rPr>
    </w:lvl>
    <w:lvl w:ilvl="5">
      <w:start w:val="1"/>
      <w:numFmt w:val="bullet"/>
      <w:isLgl w:val="false"/>
      <w:suff w:val="tab"/>
      <w:lvlText w:val=""/>
      <w:lvlJc w:val="left"/>
      <w:pPr>
        <w:ind w:left="4387" w:hanging="360"/>
        <w:tabs>
          <w:tab w:val="num" w:pos="4387" w:leader="none"/>
        </w:tabs>
      </w:pPr>
      <w:rPr>
        <w:rFonts w:ascii="Wingdings" w:hAnsi="Wingdings"/>
      </w:rPr>
    </w:lvl>
    <w:lvl w:ilvl="6">
      <w:start w:val="1"/>
      <w:numFmt w:val="bullet"/>
      <w:isLgl w:val="false"/>
      <w:suff w:val="tab"/>
      <w:lvlText w:val=""/>
      <w:lvlJc w:val="left"/>
      <w:pPr>
        <w:ind w:left="5107" w:hanging="360"/>
        <w:tabs>
          <w:tab w:val="num" w:pos="5107" w:leader="none"/>
        </w:tabs>
      </w:pPr>
      <w:rPr>
        <w:rFonts w:ascii="Symbol" w:hAnsi="Symbol"/>
      </w:rPr>
    </w:lvl>
    <w:lvl w:ilvl="7">
      <w:start w:val="1"/>
      <w:numFmt w:val="bullet"/>
      <w:isLgl w:val="false"/>
      <w:suff w:val="tab"/>
      <w:lvlText w:val="o"/>
      <w:lvlJc w:val="left"/>
      <w:pPr>
        <w:ind w:left="5827" w:hanging="360"/>
        <w:tabs>
          <w:tab w:val="num" w:pos="5827" w:leader="none"/>
        </w:tabs>
      </w:pPr>
      <w:rPr>
        <w:rFonts w:ascii="Courier New" w:hAnsi="Courier New" w:cs="Courier New"/>
      </w:rPr>
    </w:lvl>
    <w:lvl w:ilvl="8">
      <w:start w:val="1"/>
      <w:numFmt w:val="bullet"/>
      <w:isLgl w:val="false"/>
      <w:suff w:val="tab"/>
      <w:lvlText w:val=""/>
      <w:lvlJc w:val="left"/>
      <w:pPr>
        <w:ind w:left="6547" w:hanging="360"/>
        <w:tabs>
          <w:tab w:val="num" w:pos="6547" w:leader="none"/>
        </w:tabs>
      </w:pPr>
      <w:rPr>
        <w:rFonts w:ascii="Wingdings" w:hAnsi="Wingdings"/>
      </w:rPr>
    </w:lvl>
  </w:abstractNum>
  <w:abstractNum w:abstractNumId="12">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9">
    <w:multiLevelType w:val="hybridMultilevel"/>
    <w:lvl w:ilvl="0">
      <w:start w:val="1"/>
      <w:numFmt w:val="bullet"/>
      <w:isLgl w:val="false"/>
      <w:suff w:val="tab"/>
      <w:lvlText w:val=""/>
      <w:lvlJc w:val="left"/>
      <w:pPr>
        <w:ind w:left="1080" w:hanging="360"/>
        <w:tabs>
          <w:tab w:val="num" w:pos="1080" w:leader="none"/>
        </w:tabs>
      </w:pPr>
      <w:rPr>
        <w:rFonts w:ascii="Symbol" w:hAnsi="Symbol"/>
      </w:rPr>
    </w:lvl>
    <w:lvl w:ilvl="1">
      <w:start w:val="1"/>
      <w:numFmt w:val="bullet"/>
      <w:isLgl w:val="false"/>
      <w:suff w:val="tab"/>
      <w:lvlText w:val="o"/>
      <w:lvlJc w:val="left"/>
      <w:pPr>
        <w:ind w:left="1800" w:hanging="360"/>
        <w:tabs>
          <w:tab w:val="num" w:pos="1800" w:leader="none"/>
        </w:tabs>
      </w:pPr>
      <w:rPr>
        <w:rFonts w:ascii="Courier New" w:hAnsi="Courier New" w:cs="Courier New"/>
      </w:rPr>
    </w:lvl>
    <w:lvl w:ilvl="2">
      <w:start w:val="1"/>
      <w:numFmt w:val="bullet"/>
      <w:isLgl w:val="false"/>
      <w:suff w:val="tab"/>
      <w:lvlText w:val=""/>
      <w:lvlJc w:val="left"/>
      <w:pPr>
        <w:ind w:left="2520" w:hanging="360"/>
        <w:tabs>
          <w:tab w:val="num" w:pos="2520" w:leader="none"/>
        </w:tabs>
      </w:pPr>
      <w:rPr>
        <w:rFonts w:ascii="Wingdings" w:hAnsi="Wingdings"/>
      </w:rPr>
    </w:lvl>
    <w:lvl w:ilvl="3">
      <w:start w:val="1"/>
      <w:numFmt w:val="bullet"/>
      <w:isLgl w:val="false"/>
      <w:suff w:val="tab"/>
      <w:lvlText w:val=""/>
      <w:lvlJc w:val="left"/>
      <w:pPr>
        <w:ind w:left="3240" w:hanging="360"/>
        <w:tabs>
          <w:tab w:val="num" w:pos="3240" w:leader="none"/>
        </w:tabs>
      </w:pPr>
      <w:rPr>
        <w:rFonts w:ascii="Symbol" w:hAnsi="Symbol"/>
      </w:rPr>
    </w:lvl>
    <w:lvl w:ilvl="4">
      <w:start w:val="1"/>
      <w:numFmt w:val="bullet"/>
      <w:isLgl w:val="false"/>
      <w:suff w:val="tab"/>
      <w:lvlText w:val="o"/>
      <w:lvlJc w:val="left"/>
      <w:pPr>
        <w:ind w:left="3960" w:hanging="360"/>
        <w:tabs>
          <w:tab w:val="num" w:pos="3960" w:leader="none"/>
        </w:tabs>
      </w:pPr>
      <w:rPr>
        <w:rFonts w:ascii="Courier New" w:hAnsi="Courier New" w:cs="Courier New"/>
      </w:rPr>
    </w:lvl>
    <w:lvl w:ilvl="5">
      <w:start w:val="1"/>
      <w:numFmt w:val="bullet"/>
      <w:isLgl w:val="false"/>
      <w:suff w:val="tab"/>
      <w:lvlText w:val=""/>
      <w:lvlJc w:val="left"/>
      <w:pPr>
        <w:ind w:left="4680" w:hanging="360"/>
        <w:tabs>
          <w:tab w:val="num" w:pos="4680" w:leader="none"/>
        </w:tabs>
      </w:pPr>
      <w:rPr>
        <w:rFonts w:ascii="Wingdings" w:hAnsi="Wingdings"/>
      </w:rPr>
    </w:lvl>
    <w:lvl w:ilvl="6">
      <w:start w:val="1"/>
      <w:numFmt w:val="bullet"/>
      <w:isLgl w:val="false"/>
      <w:suff w:val="tab"/>
      <w:lvlText w:val=""/>
      <w:lvlJc w:val="left"/>
      <w:pPr>
        <w:ind w:left="5400" w:hanging="360"/>
        <w:tabs>
          <w:tab w:val="num" w:pos="5400" w:leader="none"/>
        </w:tabs>
      </w:pPr>
      <w:rPr>
        <w:rFonts w:ascii="Symbol" w:hAnsi="Symbol"/>
      </w:rPr>
    </w:lvl>
    <w:lvl w:ilvl="7">
      <w:start w:val="1"/>
      <w:numFmt w:val="bullet"/>
      <w:isLgl w:val="false"/>
      <w:suff w:val="tab"/>
      <w:lvlText w:val="o"/>
      <w:lvlJc w:val="left"/>
      <w:pPr>
        <w:ind w:left="6120" w:hanging="360"/>
        <w:tabs>
          <w:tab w:val="num" w:pos="6120" w:leader="none"/>
        </w:tabs>
      </w:pPr>
      <w:rPr>
        <w:rFonts w:ascii="Courier New" w:hAnsi="Courier New" w:cs="Courier New"/>
      </w:rPr>
    </w:lvl>
    <w:lvl w:ilvl="8">
      <w:start w:val="1"/>
      <w:numFmt w:val="bullet"/>
      <w:isLgl w:val="false"/>
      <w:suff w:val="tab"/>
      <w:lvlText w:val=""/>
      <w:lvlJc w:val="left"/>
      <w:pPr>
        <w:ind w:left="6840" w:hanging="360"/>
        <w:tabs>
          <w:tab w:val="num" w:pos="6840" w:leader="none"/>
        </w:tabs>
      </w:pPr>
      <w:rPr>
        <w:rFonts w:ascii="Wingdings" w:hAnsi="Wingdings"/>
      </w:rPr>
    </w:lvl>
  </w:abstractNum>
  <w:abstractNum w:abstractNumId="20">
    <w:multiLevelType w:val="hybridMultilevel"/>
    <w:lvl w:ilvl="0">
      <w:start w:val="3"/>
      <w:numFmt w:val="decimal"/>
      <w:isLgl w:val="false"/>
      <w:suff w:val="tab"/>
      <w:lvlText w:val="%1."/>
      <w:lvlJc w:val="left"/>
      <w:pPr>
        <w:ind w:left="540" w:hanging="540"/>
        <w:tabs>
          <w:tab w:val="num" w:pos="540" w:leader="none"/>
        </w:tabs>
      </w:pPr>
      <w:rPr>
        <w:rFonts w:cs="Times New Roman"/>
      </w:rPr>
    </w:lvl>
    <w:lvl w:ilvl="1">
      <w:start w:val="1"/>
      <w:numFmt w:val="decimal"/>
      <w:isLgl w:val="false"/>
      <w:suff w:val="tab"/>
      <w:lvlText w:val="%1.%2."/>
      <w:lvlJc w:val="left"/>
      <w:pPr>
        <w:ind w:left="540" w:hanging="540"/>
        <w:tabs>
          <w:tab w:val="num" w:pos="540" w:leader="none"/>
        </w:tabs>
      </w:pPr>
      <w:rPr>
        <w:rFonts w:cs="Times New Roman"/>
      </w:rPr>
    </w:lvl>
    <w:lvl w:ilvl="2">
      <w:start w:val="7"/>
      <w:numFmt w:val="decimal"/>
      <w:isLgl w:val="false"/>
      <w:suff w:val="tab"/>
      <w:lvlText w:val="%1.%2.%3."/>
      <w:lvlJc w:val="left"/>
      <w:pPr>
        <w:ind w:left="720" w:hanging="720"/>
        <w:tabs>
          <w:tab w:val="num" w:pos="720" w:leader="none"/>
        </w:tabs>
      </w:pPr>
      <w:rPr>
        <w:rFonts w:cs="Times New Roman"/>
      </w:rPr>
    </w:lvl>
    <w:lvl w:ilvl="3">
      <w:start w:val="1"/>
      <w:numFmt w:val="decimal"/>
      <w:isLgl w:val="false"/>
      <w:suff w:val="tab"/>
      <w:lvlText w:val="%1.%2.%3.%4."/>
      <w:lvlJc w:val="left"/>
      <w:pPr>
        <w:ind w:left="720" w:hanging="720"/>
        <w:tabs>
          <w:tab w:val="num" w:pos="720" w:leader="none"/>
        </w:tabs>
      </w:pPr>
      <w:rPr>
        <w:rFonts w:cs="Times New Roman"/>
      </w:rPr>
    </w:lvl>
    <w:lvl w:ilvl="4">
      <w:start w:val="1"/>
      <w:numFmt w:val="decimal"/>
      <w:isLgl w:val="false"/>
      <w:suff w:val="tab"/>
      <w:lvlText w:val="%1.%2.%3.%4.%5."/>
      <w:lvlJc w:val="left"/>
      <w:pPr>
        <w:ind w:left="1080" w:hanging="1080"/>
        <w:tabs>
          <w:tab w:val="num" w:pos="1080" w:leader="none"/>
        </w:tabs>
      </w:pPr>
      <w:rPr>
        <w:rFonts w:cs="Times New Roman"/>
      </w:rPr>
    </w:lvl>
    <w:lvl w:ilvl="5">
      <w:start w:val="1"/>
      <w:numFmt w:val="decimal"/>
      <w:isLgl w:val="false"/>
      <w:suff w:val="tab"/>
      <w:lvlText w:val="%1.%2.%3.%4.%5.%6."/>
      <w:lvlJc w:val="left"/>
      <w:pPr>
        <w:ind w:left="1080" w:hanging="1080"/>
        <w:tabs>
          <w:tab w:val="num" w:pos="1080" w:leader="none"/>
        </w:tabs>
      </w:pPr>
      <w:rPr>
        <w:rFonts w:cs="Times New Roman"/>
      </w:rPr>
    </w:lvl>
    <w:lvl w:ilvl="6">
      <w:start w:val="1"/>
      <w:numFmt w:val="decimal"/>
      <w:isLgl w:val="false"/>
      <w:suff w:val="tab"/>
      <w:lvlText w:val="%1.%2.%3.%4.%5.%6.%7."/>
      <w:lvlJc w:val="left"/>
      <w:pPr>
        <w:ind w:left="1440" w:hanging="1440"/>
        <w:tabs>
          <w:tab w:val="num" w:pos="1440" w:leader="none"/>
        </w:tabs>
      </w:pPr>
      <w:rPr>
        <w:rFonts w:cs="Times New Roman"/>
      </w:rPr>
    </w:lvl>
    <w:lvl w:ilvl="7">
      <w:start w:val="1"/>
      <w:numFmt w:val="decimal"/>
      <w:isLgl w:val="false"/>
      <w:suff w:val="tab"/>
      <w:lvlText w:val="%1.%2.%3.%4.%5.%6.%7.%8."/>
      <w:lvlJc w:val="left"/>
      <w:pPr>
        <w:ind w:left="1440" w:hanging="1440"/>
        <w:tabs>
          <w:tab w:val="num" w:pos="1440" w:leader="none"/>
        </w:tabs>
      </w:pPr>
      <w:rPr>
        <w:rFonts w:cs="Times New Roman"/>
      </w:rPr>
    </w:lvl>
    <w:lvl w:ilvl="8">
      <w:start w:val="1"/>
      <w:numFmt w:val="decimal"/>
      <w:isLgl w:val="false"/>
      <w:suff w:val="tab"/>
      <w:lvlText w:val="%1.%2.%3.%4.%5.%6.%7.%8.%9."/>
      <w:lvlJc w:val="left"/>
      <w:pPr>
        <w:ind w:left="1800" w:hanging="1800"/>
        <w:tabs>
          <w:tab w:val="num" w:pos="1800" w:leader="none"/>
        </w:tabs>
      </w:pPr>
      <w:rPr>
        <w:rFonts w:cs="Times New Roman"/>
      </w:rPr>
    </w:lvl>
  </w:abstractNum>
  <w:abstractNum w:abstractNumId="21">
    <w:multiLevelType w:val="hybridMultilevel"/>
    <w:lvl w:ilvl="0">
      <w:start w:val="1"/>
      <w:numFmt w:val="decimal"/>
      <w:isLgl w:val="false"/>
      <w:suff w:val="tab"/>
      <w:lvlText w:val="%1."/>
      <w:lvlJc w:val="left"/>
      <w:pPr>
        <w:ind w:left="1778" w:hanging="360"/>
      </w:pPr>
    </w:lvl>
    <w:lvl w:ilvl="1">
      <w:start w:val="1"/>
      <w:numFmt w:val="decimal"/>
      <w:isLgl w:val="false"/>
      <w:suff w:val="tab"/>
      <w:lvlText w:val="%1.%2."/>
      <w:lvlJc w:val="left"/>
      <w:pPr>
        <w:ind w:left="1211" w:hanging="360"/>
      </w:pPr>
    </w:lvl>
    <w:lvl w:ilvl="2">
      <w:start w:val="1"/>
      <w:numFmt w:val="decimal"/>
      <w:isLgl w:val="false"/>
      <w:suff w:val="tab"/>
      <w:lvlText w:val="%1.%2.%3."/>
      <w:lvlJc w:val="left"/>
      <w:pPr>
        <w:ind w:left="2062" w:hanging="720"/>
      </w:pPr>
    </w:lvl>
    <w:lvl w:ilvl="3">
      <w:start w:val="1"/>
      <w:numFmt w:val="decimal"/>
      <w:isLgl w:val="false"/>
      <w:suff w:val="tab"/>
      <w:lvlText w:val="%1.%2.%3.%4."/>
      <w:lvlJc w:val="left"/>
      <w:pPr>
        <w:ind w:left="2553" w:hanging="720"/>
      </w:pPr>
    </w:lvl>
    <w:lvl w:ilvl="4">
      <w:start w:val="1"/>
      <w:numFmt w:val="decimal"/>
      <w:isLgl w:val="false"/>
      <w:suff w:val="tab"/>
      <w:lvlText w:val="%1.%2.%3.%4.%5."/>
      <w:lvlJc w:val="left"/>
      <w:pPr>
        <w:ind w:left="3404" w:hanging="1080"/>
      </w:pPr>
    </w:lvl>
    <w:lvl w:ilvl="5">
      <w:start w:val="1"/>
      <w:numFmt w:val="decimal"/>
      <w:isLgl w:val="false"/>
      <w:suff w:val="tab"/>
      <w:lvlText w:val="%1.%2.%3.%4.%5.%6."/>
      <w:lvlJc w:val="left"/>
      <w:pPr>
        <w:ind w:left="3895" w:hanging="1080"/>
      </w:pPr>
    </w:lvl>
    <w:lvl w:ilvl="6">
      <w:start w:val="1"/>
      <w:numFmt w:val="decimal"/>
      <w:isLgl w:val="false"/>
      <w:suff w:val="tab"/>
      <w:lvlText w:val="%1.%2.%3.%4.%5.%6.%7."/>
      <w:lvlJc w:val="left"/>
      <w:pPr>
        <w:ind w:left="4746" w:hanging="1440"/>
      </w:pPr>
    </w:lvl>
    <w:lvl w:ilvl="7">
      <w:start w:val="1"/>
      <w:numFmt w:val="decimal"/>
      <w:isLgl w:val="false"/>
      <w:suff w:val="tab"/>
      <w:lvlText w:val="%1.%2.%3.%4.%5.%6.%7.%8."/>
      <w:lvlJc w:val="left"/>
      <w:pPr>
        <w:ind w:left="5237" w:hanging="1440"/>
      </w:pPr>
    </w:lvl>
    <w:lvl w:ilvl="8">
      <w:start w:val="1"/>
      <w:numFmt w:val="decimal"/>
      <w:isLgl w:val="false"/>
      <w:suff w:val="tab"/>
      <w:lvlText w:val="%1.%2.%3.%4.%5.%6.%7.%8.%9."/>
      <w:lvlJc w:val="left"/>
      <w:pPr>
        <w:ind w:left="6088" w:hanging="1800"/>
      </w:pPr>
    </w:lvl>
  </w:abstractNum>
  <w:abstractNum w:abstractNumId="22">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31">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32">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33">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34">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35">
    <w:multiLevelType w:val="hybridMultilevel"/>
    <w:lvl w:ilvl="0">
      <w:start w:val="1"/>
      <w:numFmt w:val="bullet"/>
      <w:isLgl w:val="false"/>
      <w:suff w:val="tab"/>
      <w:lvlText w:val="·"/>
      <w:lvlJc w:val="left"/>
      <w:pPr>
        <w:ind w:left="1418" w:hanging="360"/>
      </w:pPr>
      <w:rPr>
        <w:rFonts w:hint="default" w:ascii="Symbol" w:hAnsi="Symbol" w:eastAsia="Symbol" w:cs="Symbo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3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7">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38">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39">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4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41">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42">
    <w:multiLevelType w:val="hybridMultilevel"/>
    <w:lvl w:ilvl="0">
      <w:start w:val="1"/>
      <w:numFmt w:val="bullet"/>
      <w:isLgl w:val="false"/>
      <w:suff w:val="tab"/>
      <w:lvlText w:val=""/>
      <w:lvlJc w:val="left"/>
      <w:pPr>
        <w:ind w:left="1088" w:hanging="360"/>
        <w:tabs>
          <w:tab w:val="num" w:pos="1088" w:leader="none"/>
        </w:tabs>
      </w:pPr>
      <w:rPr>
        <w:rFonts w:ascii="Symbol" w:hAnsi="Symbol"/>
      </w:rPr>
    </w:lvl>
    <w:lvl w:ilvl="1">
      <w:start w:val="1"/>
      <w:numFmt w:val="bullet"/>
      <w:isLgl w:val="false"/>
      <w:suff w:val="tab"/>
      <w:lvlText w:val="o"/>
      <w:lvlJc w:val="left"/>
      <w:pPr>
        <w:ind w:left="1808" w:hanging="360"/>
        <w:tabs>
          <w:tab w:val="num" w:pos="1808" w:leader="none"/>
        </w:tabs>
      </w:pPr>
      <w:rPr>
        <w:rFonts w:ascii="Courier New" w:hAnsi="Courier New" w:cs="Courier New"/>
      </w:rPr>
    </w:lvl>
    <w:lvl w:ilvl="2">
      <w:start w:val="1"/>
      <w:numFmt w:val="bullet"/>
      <w:isLgl w:val="false"/>
      <w:suff w:val="tab"/>
      <w:lvlText w:val=""/>
      <w:lvlJc w:val="left"/>
      <w:pPr>
        <w:ind w:left="2528" w:hanging="360"/>
        <w:tabs>
          <w:tab w:val="num" w:pos="2528" w:leader="none"/>
        </w:tabs>
      </w:pPr>
      <w:rPr>
        <w:rFonts w:ascii="Wingdings" w:hAnsi="Wingdings"/>
      </w:rPr>
    </w:lvl>
    <w:lvl w:ilvl="3">
      <w:start w:val="1"/>
      <w:numFmt w:val="bullet"/>
      <w:isLgl w:val="false"/>
      <w:suff w:val="tab"/>
      <w:lvlText w:val=""/>
      <w:lvlJc w:val="left"/>
      <w:pPr>
        <w:ind w:left="3248" w:hanging="360"/>
        <w:tabs>
          <w:tab w:val="num" w:pos="3248" w:leader="none"/>
        </w:tabs>
      </w:pPr>
      <w:rPr>
        <w:rFonts w:ascii="Symbol" w:hAnsi="Symbol"/>
      </w:rPr>
    </w:lvl>
    <w:lvl w:ilvl="4">
      <w:start w:val="1"/>
      <w:numFmt w:val="bullet"/>
      <w:isLgl w:val="false"/>
      <w:suff w:val="tab"/>
      <w:lvlText w:val="o"/>
      <w:lvlJc w:val="left"/>
      <w:pPr>
        <w:ind w:left="3968" w:hanging="360"/>
        <w:tabs>
          <w:tab w:val="num" w:pos="3968" w:leader="none"/>
        </w:tabs>
      </w:pPr>
      <w:rPr>
        <w:rFonts w:ascii="Courier New" w:hAnsi="Courier New" w:cs="Courier New"/>
      </w:rPr>
    </w:lvl>
    <w:lvl w:ilvl="5">
      <w:start w:val="1"/>
      <w:numFmt w:val="bullet"/>
      <w:isLgl w:val="false"/>
      <w:suff w:val="tab"/>
      <w:lvlText w:val=""/>
      <w:lvlJc w:val="left"/>
      <w:pPr>
        <w:ind w:left="4688" w:hanging="360"/>
        <w:tabs>
          <w:tab w:val="num" w:pos="4688" w:leader="none"/>
        </w:tabs>
      </w:pPr>
      <w:rPr>
        <w:rFonts w:ascii="Wingdings" w:hAnsi="Wingdings"/>
      </w:rPr>
    </w:lvl>
    <w:lvl w:ilvl="6">
      <w:start w:val="1"/>
      <w:numFmt w:val="bullet"/>
      <w:isLgl w:val="false"/>
      <w:suff w:val="tab"/>
      <w:lvlText w:val=""/>
      <w:lvlJc w:val="left"/>
      <w:pPr>
        <w:ind w:left="5408" w:hanging="360"/>
        <w:tabs>
          <w:tab w:val="num" w:pos="5408" w:leader="none"/>
        </w:tabs>
      </w:pPr>
      <w:rPr>
        <w:rFonts w:ascii="Symbol" w:hAnsi="Symbol"/>
      </w:rPr>
    </w:lvl>
    <w:lvl w:ilvl="7">
      <w:start w:val="1"/>
      <w:numFmt w:val="bullet"/>
      <w:isLgl w:val="false"/>
      <w:suff w:val="tab"/>
      <w:lvlText w:val="o"/>
      <w:lvlJc w:val="left"/>
      <w:pPr>
        <w:ind w:left="6128" w:hanging="360"/>
        <w:tabs>
          <w:tab w:val="num" w:pos="6128" w:leader="none"/>
        </w:tabs>
      </w:pPr>
      <w:rPr>
        <w:rFonts w:ascii="Courier New" w:hAnsi="Courier New" w:cs="Courier New"/>
      </w:rPr>
    </w:lvl>
    <w:lvl w:ilvl="8">
      <w:start w:val="1"/>
      <w:numFmt w:val="bullet"/>
      <w:isLgl w:val="false"/>
      <w:suff w:val="tab"/>
      <w:lvlText w:val=""/>
      <w:lvlJc w:val="left"/>
      <w:pPr>
        <w:ind w:left="6848" w:hanging="360"/>
        <w:tabs>
          <w:tab w:val="num" w:pos="6848" w:leader="none"/>
        </w:tabs>
      </w:pPr>
      <w:rPr>
        <w:rFonts w:ascii="Wingdings" w:hAnsi="Wingdings"/>
      </w:rPr>
    </w:lvl>
  </w:abstractNum>
  <w:abstractNum w:abstractNumId="43">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44">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45">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46">
    <w:multiLevelType w:val="hybridMultilevel"/>
    <w:lvl w:ilvl="0">
      <w:start w:val="1"/>
      <w:numFmt w:val="bullet"/>
      <w:isLgl w:val="false"/>
      <w:suff w:val="tab"/>
      <w:lvlText w:val=""/>
      <w:lvlJc w:val="left"/>
      <w:pPr>
        <w:ind w:left="787" w:hanging="360"/>
        <w:tabs>
          <w:tab w:val="num" w:pos="787" w:leader="none"/>
        </w:tabs>
      </w:pPr>
      <w:rPr>
        <w:rFonts w:ascii="Symbol" w:hAnsi="Symbol"/>
      </w:rPr>
    </w:lvl>
    <w:lvl w:ilvl="1">
      <w:start w:val="1"/>
      <w:numFmt w:val="bullet"/>
      <w:isLgl w:val="false"/>
      <w:suff w:val="tab"/>
      <w:lvlText w:val="o"/>
      <w:lvlJc w:val="left"/>
      <w:pPr>
        <w:ind w:left="1507" w:hanging="360"/>
        <w:tabs>
          <w:tab w:val="num" w:pos="1507" w:leader="none"/>
        </w:tabs>
      </w:pPr>
      <w:rPr>
        <w:rFonts w:ascii="Courier New" w:hAnsi="Courier New" w:cs="Courier New"/>
      </w:rPr>
    </w:lvl>
    <w:lvl w:ilvl="2">
      <w:start w:val="1"/>
      <w:numFmt w:val="bullet"/>
      <w:isLgl w:val="false"/>
      <w:suff w:val="tab"/>
      <w:lvlText w:val=""/>
      <w:lvlJc w:val="left"/>
      <w:pPr>
        <w:ind w:left="2227" w:hanging="360"/>
        <w:tabs>
          <w:tab w:val="num" w:pos="2227" w:leader="none"/>
        </w:tabs>
      </w:pPr>
      <w:rPr>
        <w:rFonts w:ascii="Wingdings" w:hAnsi="Wingdings"/>
      </w:rPr>
    </w:lvl>
    <w:lvl w:ilvl="3">
      <w:start w:val="1"/>
      <w:numFmt w:val="bullet"/>
      <w:isLgl w:val="false"/>
      <w:suff w:val="tab"/>
      <w:lvlText w:val=""/>
      <w:lvlJc w:val="left"/>
      <w:pPr>
        <w:ind w:left="2947" w:hanging="360"/>
        <w:tabs>
          <w:tab w:val="num" w:pos="2947" w:leader="none"/>
        </w:tabs>
      </w:pPr>
      <w:rPr>
        <w:rFonts w:ascii="Symbol" w:hAnsi="Symbol"/>
      </w:rPr>
    </w:lvl>
    <w:lvl w:ilvl="4">
      <w:start w:val="1"/>
      <w:numFmt w:val="bullet"/>
      <w:isLgl w:val="false"/>
      <w:suff w:val="tab"/>
      <w:lvlText w:val="o"/>
      <w:lvlJc w:val="left"/>
      <w:pPr>
        <w:ind w:left="3667" w:hanging="360"/>
        <w:tabs>
          <w:tab w:val="num" w:pos="3667" w:leader="none"/>
        </w:tabs>
      </w:pPr>
      <w:rPr>
        <w:rFonts w:ascii="Courier New" w:hAnsi="Courier New" w:cs="Courier New"/>
      </w:rPr>
    </w:lvl>
    <w:lvl w:ilvl="5">
      <w:start w:val="1"/>
      <w:numFmt w:val="bullet"/>
      <w:isLgl w:val="false"/>
      <w:suff w:val="tab"/>
      <w:lvlText w:val=""/>
      <w:lvlJc w:val="left"/>
      <w:pPr>
        <w:ind w:left="4387" w:hanging="360"/>
        <w:tabs>
          <w:tab w:val="num" w:pos="4387" w:leader="none"/>
        </w:tabs>
      </w:pPr>
      <w:rPr>
        <w:rFonts w:ascii="Wingdings" w:hAnsi="Wingdings"/>
      </w:rPr>
    </w:lvl>
    <w:lvl w:ilvl="6">
      <w:start w:val="1"/>
      <w:numFmt w:val="bullet"/>
      <w:isLgl w:val="false"/>
      <w:suff w:val="tab"/>
      <w:lvlText w:val=""/>
      <w:lvlJc w:val="left"/>
      <w:pPr>
        <w:ind w:left="5107" w:hanging="360"/>
        <w:tabs>
          <w:tab w:val="num" w:pos="5107" w:leader="none"/>
        </w:tabs>
      </w:pPr>
      <w:rPr>
        <w:rFonts w:ascii="Symbol" w:hAnsi="Symbol"/>
      </w:rPr>
    </w:lvl>
    <w:lvl w:ilvl="7">
      <w:start w:val="1"/>
      <w:numFmt w:val="bullet"/>
      <w:isLgl w:val="false"/>
      <w:suff w:val="tab"/>
      <w:lvlText w:val="o"/>
      <w:lvlJc w:val="left"/>
      <w:pPr>
        <w:ind w:left="5827" w:hanging="360"/>
        <w:tabs>
          <w:tab w:val="num" w:pos="5827" w:leader="none"/>
        </w:tabs>
      </w:pPr>
      <w:rPr>
        <w:rFonts w:ascii="Courier New" w:hAnsi="Courier New" w:cs="Courier New"/>
      </w:rPr>
    </w:lvl>
    <w:lvl w:ilvl="8">
      <w:start w:val="1"/>
      <w:numFmt w:val="bullet"/>
      <w:isLgl w:val="false"/>
      <w:suff w:val="tab"/>
      <w:lvlText w:val=""/>
      <w:lvlJc w:val="left"/>
      <w:pPr>
        <w:ind w:left="6547" w:hanging="360"/>
        <w:tabs>
          <w:tab w:val="num" w:pos="6547" w:leader="none"/>
        </w:tabs>
      </w:pPr>
      <w:rPr>
        <w:rFonts w:ascii="Wingdings" w:hAnsi="Wingdings"/>
      </w:rPr>
    </w:lvl>
  </w:abstractNum>
  <w:abstractNum w:abstractNumId="47">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4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49">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50">
    <w:multiLevelType w:val="hybridMultilevel"/>
    <w:lvl w:ilvl="0">
      <w:start w:val="1"/>
      <w:numFmt w:val="bullet"/>
      <w:isLgl w:val="false"/>
      <w:suff w:val="tab"/>
      <w:lvlText w:val=""/>
      <w:lvlJc w:val="left"/>
      <w:pPr>
        <w:ind w:left="1080" w:hanging="360"/>
        <w:tabs>
          <w:tab w:val="num" w:pos="1080" w:leader="none"/>
        </w:tabs>
      </w:pPr>
      <w:rPr>
        <w:rFonts w:ascii="Symbol" w:hAnsi="Symbol"/>
      </w:rPr>
    </w:lvl>
    <w:lvl w:ilvl="1">
      <w:start w:val="1"/>
      <w:numFmt w:val="bullet"/>
      <w:isLgl w:val="false"/>
      <w:suff w:val="tab"/>
      <w:lvlText w:val="o"/>
      <w:lvlJc w:val="left"/>
      <w:pPr>
        <w:ind w:left="1800" w:hanging="360"/>
        <w:tabs>
          <w:tab w:val="num" w:pos="1800" w:leader="none"/>
        </w:tabs>
      </w:pPr>
      <w:rPr>
        <w:rFonts w:ascii="Courier New" w:hAnsi="Courier New" w:cs="Courier New"/>
      </w:rPr>
    </w:lvl>
    <w:lvl w:ilvl="2">
      <w:start w:val="1"/>
      <w:numFmt w:val="bullet"/>
      <w:isLgl w:val="false"/>
      <w:suff w:val="tab"/>
      <w:lvlText w:val=""/>
      <w:lvlJc w:val="left"/>
      <w:pPr>
        <w:ind w:left="2520" w:hanging="360"/>
        <w:tabs>
          <w:tab w:val="num" w:pos="2520" w:leader="none"/>
        </w:tabs>
      </w:pPr>
      <w:rPr>
        <w:rFonts w:ascii="Wingdings" w:hAnsi="Wingdings"/>
      </w:rPr>
    </w:lvl>
    <w:lvl w:ilvl="3">
      <w:start w:val="1"/>
      <w:numFmt w:val="bullet"/>
      <w:isLgl w:val="false"/>
      <w:suff w:val="tab"/>
      <w:lvlText w:val=""/>
      <w:lvlJc w:val="left"/>
      <w:pPr>
        <w:ind w:left="3240" w:hanging="360"/>
        <w:tabs>
          <w:tab w:val="num" w:pos="3240" w:leader="none"/>
        </w:tabs>
      </w:pPr>
      <w:rPr>
        <w:rFonts w:ascii="Symbol" w:hAnsi="Symbol"/>
      </w:rPr>
    </w:lvl>
    <w:lvl w:ilvl="4">
      <w:start w:val="1"/>
      <w:numFmt w:val="bullet"/>
      <w:isLgl w:val="false"/>
      <w:suff w:val="tab"/>
      <w:lvlText w:val="o"/>
      <w:lvlJc w:val="left"/>
      <w:pPr>
        <w:ind w:left="3960" w:hanging="360"/>
        <w:tabs>
          <w:tab w:val="num" w:pos="3960" w:leader="none"/>
        </w:tabs>
      </w:pPr>
      <w:rPr>
        <w:rFonts w:ascii="Courier New" w:hAnsi="Courier New" w:cs="Courier New"/>
      </w:rPr>
    </w:lvl>
    <w:lvl w:ilvl="5">
      <w:start w:val="1"/>
      <w:numFmt w:val="bullet"/>
      <w:isLgl w:val="false"/>
      <w:suff w:val="tab"/>
      <w:lvlText w:val=""/>
      <w:lvlJc w:val="left"/>
      <w:pPr>
        <w:ind w:left="4680" w:hanging="360"/>
        <w:tabs>
          <w:tab w:val="num" w:pos="4680" w:leader="none"/>
        </w:tabs>
      </w:pPr>
      <w:rPr>
        <w:rFonts w:ascii="Wingdings" w:hAnsi="Wingdings"/>
      </w:rPr>
    </w:lvl>
    <w:lvl w:ilvl="6">
      <w:start w:val="1"/>
      <w:numFmt w:val="bullet"/>
      <w:isLgl w:val="false"/>
      <w:suff w:val="tab"/>
      <w:lvlText w:val=""/>
      <w:lvlJc w:val="left"/>
      <w:pPr>
        <w:ind w:left="5400" w:hanging="360"/>
        <w:tabs>
          <w:tab w:val="num" w:pos="5400" w:leader="none"/>
        </w:tabs>
      </w:pPr>
      <w:rPr>
        <w:rFonts w:ascii="Symbol" w:hAnsi="Symbol"/>
      </w:rPr>
    </w:lvl>
    <w:lvl w:ilvl="7">
      <w:start w:val="1"/>
      <w:numFmt w:val="bullet"/>
      <w:isLgl w:val="false"/>
      <w:suff w:val="tab"/>
      <w:lvlText w:val="o"/>
      <w:lvlJc w:val="left"/>
      <w:pPr>
        <w:ind w:left="6120" w:hanging="360"/>
        <w:tabs>
          <w:tab w:val="num" w:pos="6120" w:leader="none"/>
        </w:tabs>
      </w:pPr>
      <w:rPr>
        <w:rFonts w:ascii="Courier New" w:hAnsi="Courier New" w:cs="Courier New"/>
      </w:rPr>
    </w:lvl>
    <w:lvl w:ilvl="8">
      <w:start w:val="1"/>
      <w:numFmt w:val="bullet"/>
      <w:isLgl w:val="false"/>
      <w:suff w:val="tab"/>
      <w:lvlText w:val=""/>
      <w:lvlJc w:val="left"/>
      <w:pPr>
        <w:ind w:left="6840" w:hanging="360"/>
        <w:tabs>
          <w:tab w:val="num" w:pos="6840" w:leader="none"/>
        </w:tabs>
      </w:pPr>
      <w:rPr>
        <w:rFonts w:ascii="Wingdings" w:hAnsi="Wingdings"/>
      </w:rPr>
    </w:lvl>
  </w:abstractNum>
  <w:abstractNum w:abstractNumId="51">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52">
    <w:multiLevelType w:val="hybridMultilevel"/>
    <w:lvl w:ilvl="0">
      <w:start w:val="1"/>
      <w:numFmt w:val="bullet"/>
      <w:isLgl w:val="false"/>
      <w:suff w:val="tab"/>
      <w:lvlText w:val=""/>
      <w:lvlJc w:val="left"/>
      <w:pPr>
        <w:ind w:left="900" w:hanging="360"/>
        <w:tabs>
          <w:tab w:val="num" w:pos="900" w:leader="none"/>
        </w:tabs>
      </w:pPr>
      <w:rPr>
        <w:rFonts w:ascii="Wingdings" w:hAnsi="Wingdings"/>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53">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5">
    <w:multiLevelType w:val="hybridMultilevel"/>
    <w:lvl w:ilvl="0">
      <w:start w:val="3"/>
      <w:numFmt w:val="decimal"/>
      <w:isLgl w:val="false"/>
      <w:suff w:val="tab"/>
      <w:lvlText w:val="%1."/>
      <w:lvlJc w:val="left"/>
      <w:pPr>
        <w:ind w:left="540" w:hanging="540"/>
        <w:tabs>
          <w:tab w:val="num" w:pos="540" w:leader="none"/>
        </w:tabs>
      </w:pPr>
      <w:rPr>
        <w:rFonts w:cs="Times New Roman"/>
      </w:rPr>
    </w:lvl>
    <w:lvl w:ilvl="1">
      <w:start w:val="1"/>
      <w:numFmt w:val="decimal"/>
      <w:isLgl w:val="false"/>
      <w:suff w:val="tab"/>
      <w:lvlText w:val="%1.%2."/>
      <w:lvlJc w:val="left"/>
      <w:pPr>
        <w:ind w:left="540" w:hanging="540"/>
        <w:tabs>
          <w:tab w:val="num" w:pos="540" w:leader="none"/>
        </w:tabs>
      </w:pPr>
      <w:rPr>
        <w:rFonts w:cs="Times New Roman"/>
      </w:rPr>
    </w:lvl>
    <w:lvl w:ilvl="2">
      <w:start w:val="7"/>
      <w:numFmt w:val="decimal"/>
      <w:isLgl w:val="false"/>
      <w:suff w:val="tab"/>
      <w:lvlText w:val="%1.%2.%3."/>
      <w:lvlJc w:val="left"/>
      <w:pPr>
        <w:ind w:left="720" w:hanging="720"/>
        <w:tabs>
          <w:tab w:val="num" w:pos="720" w:leader="none"/>
        </w:tabs>
      </w:pPr>
      <w:rPr>
        <w:rFonts w:cs="Times New Roman"/>
      </w:rPr>
    </w:lvl>
    <w:lvl w:ilvl="3">
      <w:start w:val="1"/>
      <w:numFmt w:val="decimal"/>
      <w:isLgl w:val="false"/>
      <w:suff w:val="tab"/>
      <w:lvlText w:val="%1.%2.%3.%4."/>
      <w:lvlJc w:val="left"/>
      <w:pPr>
        <w:ind w:left="720" w:hanging="720"/>
        <w:tabs>
          <w:tab w:val="num" w:pos="720" w:leader="none"/>
        </w:tabs>
      </w:pPr>
      <w:rPr>
        <w:rFonts w:cs="Times New Roman"/>
      </w:rPr>
    </w:lvl>
    <w:lvl w:ilvl="4">
      <w:start w:val="1"/>
      <w:numFmt w:val="decimal"/>
      <w:isLgl w:val="false"/>
      <w:suff w:val="tab"/>
      <w:lvlText w:val="%1.%2.%3.%4.%5."/>
      <w:lvlJc w:val="left"/>
      <w:pPr>
        <w:ind w:left="1080" w:hanging="1080"/>
        <w:tabs>
          <w:tab w:val="num" w:pos="1080" w:leader="none"/>
        </w:tabs>
      </w:pPr>
      <w:rPr>
        <w:rFonts w:cs="Times New Roman"/>
      </w:rPr>
    </w:lvl>
    <w:lvl w:ilvl="5">
      <w:start w:val="1"/>
      <w:numFmt w:val="decimal"/>
      <w:isLgl w:val="false"/>
      <w:suff w:val="tab"/>
      <w:lvlText w:val="%1.%2.%3.%4.%5.%6."/>
      <w:lvlJc w:val="left"/>
      <w:pPr>
        <w:ind w:left="1080" w:hanging="1080"/>
        <w:tabs>
          <w:tab w:val="num" w:pos="1080" w:leader="none"/>
        </w:tabs>
      </w:pPr>
      <w:rPr>
        <w:rFonts w:cs="Times New Roman"/>
      </w:rPr>
    </w:lvl>
    <w:lvl w:ilvl="6">
      <w:start w:val="1"/>
      <w:numFmt w:val="decimal"/>
      <w:isLgl w:val="false"/>
      <w:suff w:val="tab"/>
      <w:lvlText w:val="%1.%2.%3.%4.%5.%6.%7."/>
      <w:lvlJc w:val="left"/>
      <w:pPr>
        <w:ind w:left="1440" w:hanging="1440"/>
        <w:tabs>
          <w:tab w:val="num" w:pos="1440" w:leader="none"/>
        </w:tabs>
      </w:pPr>
      <w:rPr>
        <w:rFonts w:cs="Times New Roman"/>
      </w:rPr>
    </w:lvl>
    <w:lvl w:ilvl="7">
      <w:start w:val="1"/>
      <w:numFmt w:val="decimal"/>
      <w:isLgl w:val="false"/>
      <w:suff w:val="tab"/>
      <w:lvlText w:val="%1.%2.%3.%4.%5.%6.%7.%8."/>
      <w:lvlJc w:val="left"/>
      <w:pPr>
        <w:ind w:left="1440" w:hanging="1440"/>
        <w:tabs>
          <w:tab w:val="num" w:pos="1440" w:leader="none"/>
        </w:tabs>
      </w:pPr>
      <w:rPr>
        <w:rFonts w:cs="Times New Roman"/>
      </w:rPr>
    </w:lvl>
    <w:lvl w:ilvl="8">
      <w:start w:val="1"/>
      <w:numFmt w:val="decimal"/>
      <w:isLgl w:val="false"/>
      <w:suff w:val="tab"/>
      <w:lvlText w:val="%1.%2.%3.%4.%5.%6.%7.%8.%9."/>
      <w:lvlJc w:val="left"/>
      <w:pPr>
        <w:ind w:left="1800" w:hanging="1800"/>
        <w:tabs>
          <w:tab w:val="num" w:pos="1800" w:leader="none"/>
        </w:tabs>
      </w:pPr>
      <w:rPr>
        <w:rFonts w:cs="Times New Roman"/>
      </w:rPr>
    </w:lvl>
  </w:abstractNum>
  <w:abstractNum w:abstractNumId="5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7">
    <w:multiLevelType w:val="hybridMultilevel"/>
    <w:lvl w:ilvl="0">
      <w:start w:val="1"/>
      <w:numFmt w:val="decimal"/>
      <w:isLgl w:val="false"/>
      <w:suff w:val="tab"/>
      <w:lvlText w:val="%1."/>
      <w:lvlJc w:val="left"/>
      <w:pPr>
        <w:ind w:left="1080" w:hanging="360"/>
      </w:pPr>
    </w:lvl>
    <w:lvl w:ilvl="1">
      <w:start w:val="1"/>
      <w:numFmt w:val="decimal"/>
      <w:isLgl w:val="false"/>
      <w:suff w:val="tab"/>
      <w:lvlText w:val="%1.%2."/>
      <w:lvlJc w:val="left"/>
      <w:pPr>
        <w:ind w:left="1080" w:hanging="360"/>
      </w:p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440" w:hanging="720"/>
      </w:pPr>
    </w:lvl>
    <w:lvl w:ilvl="4">
      <w:start w:val="1"/>
      <w:numFmt w:val="decimal"/>
      <w:isLgl w:val="false"/>
      <w:suff w:val="tab"/>
      <w:lvlText w:val="%1.%2.%3.%4.%5."/>
      <w:lvlJc w:val="left"/>
      <w:pPr>
        <w:ind w:left="1800" w:hanging="1080"/>
      </w:pPr>
    </w:lvl>
    <w:lvl w:ilvl="5">
      <w:start w:val="1"/>
      <w:numFmt w:val="decimal"/>
      <w:isLgl w:val="false"/>
      <w:suff w:val="tab"/>
      <w:lvlText w:val="%1.%2.%3.%4.%5.%6."/>
      <w:lvlJc w:val="left"/>
      <w:pPr>
        <w:ind w:left="1800" w:hanging="1080"/>
      </w:pPr>
    </w:lvl>
    <w:lvl w:ilvl="6">
      <w:start w:val="1"/>
      <w:numFmt w:val="decimal"/>
      <w:isLgl w:val="false"/>
      <w:suff w:val="tab"/>
      <w:lvlText w:val="%1.%2.%3.%4.%5.%6.%7."/>
      <w:lvlJc w:val="left"/>
      <w:pPr>
        <w:ind w:left="2160" w:hanging="1440"/>
      </w:pPr>
    </w:lvl>
    <w:lvl w:ilvl="7">
      <w:start w:val="1"/>
      <w:numFmt w:val="decimal"/>
      <w:isLgl w:val="false"/>
      <w:suff w:val="tab"/>
      <w:lvlText w:val="%1.%2.%3.%4.%5.%6.%7.%8."/>
      <w:lvlJc w:val="left"/>
      <w:pPr>
        <w:ind w:left="2160" w:hanging="1440"/>
      </w:pPr>
    </w:lvl>
    <w:lvl w:ilvl="8">
      <w:start w:val="1"/>
      <w:numFmt w:val="decimal"/>
      <w:isLgl w:val="false"/>
      <w:suff w:val="tab"/>
      <w:lvlText w:val="%1.%2.%3.%4.%5.%6.%7.%8.%9."/>
      <w:lvlJc w:val="left"/>
      <w:pPr>
        <w:ind w:left="2520" w:hanging="1800"/>
      </w:pPr>
    </w:lvl>
  </w:abstractNum>
  <w:abstractNum w:abstractNumId="58">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59">
    <w:multiLevelType w:val="hybridMultilevel"/>
    <w:lvl w:ilvl="0">
      <w:start w:val="1"/>
      <w:numFmt w:val="decimal"/>
      <w:isLgl w:val="false"/>
      <w:suff w:val="tab"/>
      <w:lvlText w:val="%1."/>
      <w:lvlJc w:val="left"/>
      <w:pPr>
        <w:ind w:left="720" w:hanging="360"/>
      </w:pPr>
    </w:lvl>
    <w:lvl w:ilvl="1">
      <w:start w:val="2"/>
      <w:numFmt w:val="decimal"/>
      <w:isLgl w:val="false"/>
      <w:suff w:val="tab"/>
      <w:lvlText w:val="%1.%2."/>
      <w:lvlJc w:val="left"/>
      <w:pPr>
        <w:ind w:left="720" w:hanging="360"/>
      </w:p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440" w:hanging="108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1800" w:hanging="1440"/>
      </w:pPr>
    </w:lvl>
  </w:abstractNum>
  <w:abstractNum w:abstractNumId="60">
    <w:multiLevelType w:val="hybridMultilevel"/>
    <w:lvl w:ilvl="0">
      <w:start w:val="1"/>
      <w:numFmt w:val="decimal"/>
      <w:isLgl w:val="false"/>
      <w:suff w:val="tab"/>
      <w:lvlText w:val="%1."/>
      <w:lvlJc w:val="left"/>
      <w:pPr>
        <w:ind w:left="1778" w:hanging="360"/>
      </w:pPr>
    </w:lvl>
    <w:lvl w:ilvl="1">
      <w:start w:val="1"/>
      <w:numFmt w:val="decimal"/>
      <w:isLgl w:val="false"/>
      <w:suff w:val="tab"/>
      <w:lvlText w:val="%1.%2."/>
      <w:lvlJc w:val="left"/>
      <w:pPr>
        <w:ind w:left="1211" w:hanging="360"/>
      </w:pPr>
    </w:lvl>
    <w:lvl w:ilvl="2">
      <w:start w:val="1"/>
      <w:numFmt w:val="decimal"/>
      <w:isLgl w:val="false"/>
      <w:suff w:val="tab"/>
      <w:lvlText w:val="%1.%2.%3."/>
      <w:lvlJc w:val="left"/>
      <w:pPr>
        <w:ind w:left="2062" w:hanging="720"/>
      </w:pPr>
    </w:lvl>
    <w:lvl w:ilvl="3">
      <w:start w:val="1"/>
      <w:numFmt w:val="decimal"/>
      <w:isLgl w:val="false"/>
      <w:suff w:val="tab"/>
      <w:lvlText w:val="%1.%2.%3.%4."/>
      <w:lvlJc w:val="left"/>
      <w:pPr>
        <w:ind w:left="2553" w:hanging="720"/>
      </w:pPr>
    </w:lvl>
    <w:lvl w:ilvl="4">
      <w:start w:val="1"/>
      <w:numFmt w:val="decimal"/>
      <w:isLgl w:val="false"/>
      <w:suff w:val="tab"/>
      <w:lvlText w:val="%1.%2.%3.%4.%5."/>
      <w:lvlJc w:val="left"/>
      <w:pPr>
        <w:ind w:left="3404" w:hanging="1080"/>
      </w:pPr>
    </w:lvl>
    <w:lvl w:ilvl="5">
      <w:start w:val="1"/>
      <w:numFmt w:val="decimal"/>
      <w:isLgl w:val="false"/>
      <w:suff w:val="tab"/>
      <w:lvlText w:val="%1.%2.%3.%4.%5.%6."/>
      <w:lvlJc w:val="left"/>
      <w:pPr>
        <w:ind w:left="3895" w:hanging="1080"/>
      </w:pPr>
    </w:lvl>
    <w:lvl w:ilvl="6">
      <w:start w:val="1"/>
      <w:numFmt w:val="decimal"/>
      <w:isLgl w:val="false"/>
      <w:suff w:val="tab"/>
      <w:lvlText w:val="%1.%2.%3.%4.%5.%6.%7."/>
      <w:lvlJc w:val="left"/>
      <w:pPr>
        <w:ind w:left="4746" w:hanging="1440"/>
      </w:pPr>
    </w:lvl>
    <w:lvl w:ilvl="7">
      <w:start w:val="1"/>
      <w:numFmt w:val="decimal"/>
      <w:isLgl w:val="false"/>
      <w:suff w:val="tab"/>
      <w:lvlText w:val="%1.%2.%3.%4.%5.%6.%7.%8."/>
      <w:lvlJc w:val="left"/>
      <w:pPr>
        <w:ind w:left="5237" w:hanging="1440"/>
      </w:pPr>
    </w:lvl>
    <w:lvl w:ilvl="8">
      <w:start w:val="1"/>
      <w:numFmt w:val="decimal"/>
      <w:isLgl w:val="false"/>
      <w:suff w:val="tab"/>
      <w:lvlText w:val="%1.%2.%3.%4.%5.%6.%7.%8.%9."/>
      <w:lvlJc w:val="left"/>
      <w:pPr>
        <w:ind w:left="6088" w:hanging="1800"/>
      </w:pPr>
    </w:lvl>
  </w:abstractNum>
  <w:abstractNum w:abstractNumId="61">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1211" w:hanging="360"/>
      </w:pPr>
    </w:lvl>
    <w:lvl w:ilvl="2">
      <w:start w:val="1"/>
      <w:numFmt w:val="decimal"/>
      <w:isLgl w:val="false"/>
      <w:suff w:val="tab"/>
      <w:lvlText w:val="%1.%2.%3."/>
      <w:lvlJc w:val="left"/>
      <w:pPr>
        <w:ind w:left="2062" w:hanging="720"/>
      </w:pPr>
    </w:lvl>
    <w:lvl w:ilvl="3">
      <w:start w:val="1"/>
      <w:numFmt w:val="decimal"/>
      <w:isLgl w:val="false"/>
      <w:suff w:val="tab"/>
      <w:lvlText w:val="%1.%2.%3.%4."/>
      <w:lvlJc w:val="left"/>
      <w:pPr>
        <w:ind w:left="2553" w:hanging="720"/>
      </w:pPr>
    </w:lvl>
    <w:lvl w:ilvl="4">
      <w:start w:val="1"/>
      <w:numFmt w:val="decimal"/>
      <w:isLgl w:val="false"/>
      <w:suff w:val="tab"/>
      <w:lvlText w:val="%1.%2.%3.%4.%5."/>
      <w:lvlJc w:val="left"/>
      <w:pPr>
        <w:ind w:left="3404" w:hanging="1080"/>
      </w:pPr>
    </w:lvl>
    <w:lvl w:ilvl="5">
      <w:start w:val="1"/>
      <w:numFmt w:val="decimal"/>
      <w:isLgl w:val="false"/>
      <w:suff w:val="tab"/>
      <w:lvlText w:val="%1.%2.%3.%4.%5.%6."/>
      <w:lvlJc w:val="left"/>
      <w:pPr>
        <w:ind w:left="3895" w:hanging="1080"/>
      </w:pPr>
    </w:lvl>
    <w:lvl w:ilvl="6">
      <w:start w:val="1"/>
      <w:numFmt w:val="decimal"/>
      <w:isLgl w:val="false"/>
      <w:suff w:val="tab"/>
      <w:lvlText w:val="%1.%2.%3.%4.%5.%6.%7."/>
      <w:lvlJc w:val="left"/>
      <w:pPr>
        <w:ind w:left="4746" w:hanging="1440"/>
      </w:pPr>
    </w:lvl>
    <w:lvl w:ilvl="7">
      <w:start w:val="1"/>
      <w:numFmt w:val="decimal"/>
      <w:isLgl w:val="false"/>
      <w:suff w:val="tab"/>
      <w:lvlText w:val="%1.%2.%3.%4.%5.%6.%7.%8."/>
      <w:lvlJc w:val="left"/>
      <w:pPr>
        <w:ind w:left="5237" w:hanging="1440"/>
      </w:pPr>
    </w:lvl>
    <w:lvl w:ilvl="8">
      <w:start w:val="1"/>
      <w:numFmt w:val="decimal"/>
      <w:isLgl w:val="false"/>
      <w:suff w:val="tab"/>
      <w:lvlText w:val="%1.%2.%3.%4.%5.%6.%7.%8.%9."/>
      <w:lvlJc w:val="left"/>
      <w:pPr>
        <w:ind w:left="6088" w:hanging="1800"/>
      </w:pPr>
    </w:lvl>
  </w:abstractNum>
  <w:abstractNum w:abstractNumId="6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63">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720" w:hanging="360"/>
      </w:p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800" w:hanging="144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2160" w:hanging="1800"/>
      </w:pPr>
    </w:lvl>
  </w:abstractNum>
  <w:abstractNum w:abstractNumId="64">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0" w:firstLine="0"/>
      </w:pPr>
      <w:rPr>
        <w:b w:val="0"/>
      </w:rPr>
    </w:lvl>
    <w:lvl w:ilvl="2">
      <w:start w:val="1"/>
      <w:numFmt w:val="decimal"/>
      <w:isLgl w:val="false"/>
      <w:suff w:val="tab"/>
      <w:lvlText w:val="%1.%2.%3."/>
      <w:lvlJc w:val="left"/>
      <w:pPr>
        <w:ind w:left="720" w:hanging="360"/>
      </w:pPr>
      <w:rPr>
        <w:b w:val="0"/>
      </w:rPr>
    </w:lvl>
    <w:lvl w:ilvl="3">
      <w:start w:val="1"/>
      <w:numFmt w:val="decimal"/>
      <w:isLgl w:val="false"/>
      <w:suff w:val="tab"/>
      <w:lvlText w:val="%1.%2.%3.%4."/>
      <w:lvlJc w:val="left"/>
      <w:pPr>
        <w:ind w:left="720" w:hanging="360"/>
      </w:pPr>
      <w:rPr>
        <w:b w:val="0"/>
      </w:rPr>
    </w:lvl>
    <w:lvl w:ilvl="4">
      <w:start w:val="1"/>
      <w:numFmt w:val="decimal"/>
      <w:isLgl w:val="false"/>
      <w:suff w:val="tab"/>
      <w:lvlText w:val="%1.%2.%3.%4.%5."/>
      <w:lvlJc w:val="left"/>
      <w:pPr>
        <w:ind w:left="1080" w:hanging="720"/>
      </w:pPr>
      <w:rPr>
        <w:b w:val="0"/>
      </w:rPr>
    </w:lvl>
    <w:lvl w:ilvl="5">
      <w:start w:val="1"/>
      <w:numFmt w:val="decimal"/>
      <w:isLgl w:val="false"/>
      <w:suff w:val="tab"/>
      <w:lvlText w:val="%1.%2.%3.%4.%5.%6."/>
      <w:lvlJc w:val="left"/>
      <w:pPr>
        <w:ind w:left="1080" w:hanging="720"/>
      </w:pPr>
      <w:rPr>
        <w:b w:val="0"/>
      </w:rPr>
    </w:lvl>
    <w:lvl w:ilvl="6">
      <w:start w:val="1"/>
      <w:numFmt w:val="decimal"/>
      <w:isLgl w:val="false"/>
      <w:suff w:val="tab"/>
      <w:lvlText w:val="%1.%2.%3.%4.%5.%6.%7."/>
      <w:lvlJc w:val="left"/>
      <w:pPr>
        <w:ind w:left="1080" w:hanging="720"/>
      </w:pPr>
      <w:rPr>
        <w:b w:val="0"/>
      </w:rPr>
    </w:lvl>
    <w:lvl w:ilvl="7">
      <w:start w:val="1"/>
      <w:numFmt w:val="decimal"/>
      <w:isLgl w:val="false"/>
      <w:suff w:val="tab"/>
      <w:lvlText w:val="%1.%2.%3.%4.%5.%6.%7.%8."/>
      <w:lvlJc w:val="left"/>
      <w:pPr>
        <w:ind w:left="1440" w:hanging="1080"/>
      </w:pPr>
      <w:rPr>
        <w:b w:val="0"/>
      </w:rPr>
    </w:lvl>
    <w:lvl w:ilvl="8">
      <w:start w:val="1"/>
      <w:numFmt w:val="decimal"/>
      <w:isLgl w:val="false"/>
      <w:suff w:val="tab"/>
      <w:lvlText w:val="%1.%2.%3.%4.%5.%6.%7.%8.%9."/>
      <w:lvlJc w:val="left"/>
      <w:pPr>
        <w:ind w:left="1440" w:hanging="1080"/>
      </w:pPr>
      <w:rPr>
        <w:b w:val="0"/>
      </w:rPr>
    </w:lvl>
  </w:abstractNum>
  <w:abstractNum w:abstractNumId="6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6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6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6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6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0">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2">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73">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74">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75">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76">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77">
    <w:multiLevelType w:val="hybridMultilevel"/>
    <w:lvl w:ilvl="0">
      <w:start w:val="1"/>
      <w:numFmt w:val="bullet"/>
      <w:isLgl w:val="false"/>
      <w:suff w:val="tab"/>
      <w:lvlText w:val="·"/>
      <w:lvlJc w:val="left"/>
      <w:pPr>
        <w:ind w:left="1418" w:hanging="360"/>
      </w:pPr>
      <w:rPr>
        <w:rFonts w:hint="default" w:ascii="Symbol" w:hAnsi="Symbol" w:eastAsia="Symbol" w:cs="Symbo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7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9">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8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81">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82">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83">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8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8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8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8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8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8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9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91">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92">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93">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94">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95">
    <w:multiLevelType w:val="hybridMultilevel"/>
    <w:lvl w:ilvl="0">
      <w:start w:val="1"/>
      <w:numFmt w:val="bullet"/>
      <w:isLgl w:val="false"/>
      <w:suff w:val="tab"/>
      <w:lvlText w:val="–"/>
      <w:lvlJc w:val="left"/>
      <w:pPr>
        <w:ind w:left="1778" w:hanging="360"/>
      </w:pPr>
      <w:rPr>
        <w:rFonts w:ascii="Arial" w:hAnsi="Arial" w:eastAsia="Arial" w:cs="Arial"/>
      </w:rPr>
    </w:lvl>
    <w:lvl w:ilvl="1">
      <w:start w:val="1"/>
      <w:numFmt w:val="bullet"/>
      <w:isLgl w:val="false"/>
      <w:suff w:val="tab"/>
      <w:lvlText w:val="o"/>
      <w:lvlJc w:val="left"/>
      <w:pPr>
        <w:ind w:left="2498" w:hanging="360"/>
      </w:pPr>
      <w:rPr>
        <w:rFonts w:hint="default" w:ascii="Courier New" w:hAnsi="Courier New" w:eastAsia="Courier New" w:cs="Courier New"/>
      </w:rPr>
    </w:lvl>
    <w:lvl w:ilvl="2">
      <w:start w:val="1"/>
      <w:numFmt w:val="bullet"/>
      <w:isLgl w:val="false"/>
      <w:suff w:val="tab"/>
      <w:lvlText w:val="§"/>
      <w:lvlJc w:val="left"/>
      <w:pPr>
        <w:ind w:left="3218" w:hanging="360"/>
      </w:pPr>
      <w:rPr>
        <w:rFonts w:hint="default" w:ascii="Wingdings" w:hAnsi="Wingdings" w:eastAsia="Wingdings" w:cs="Wingdings"/>
      </w:rPr>
    </w:lvl>
    <w:lvl w:ilvl="3">
      <w:start w:val="1"/>
      <w:numFmt w:val="bullet"/>
      <w:isLgl w:val="false"/>
      <w:suff w:val="tab"/>
      <w:lvlText w:val="·"/>
      <w:lvlJc w:val="left"/>
      <w:pPr>
        <w:ind w:left="3938" w:hanging="360"/>
      </w:pPr>
      <w:rPr>
        <w:rFonts w:hint="default" w:ascii="Symbol" w:hAnsi="Symbol" w:eastAsia="Symbol" w:cs="Symbol"/>
      </w:rPr>
    </w:lvl>
    <w:lvl w:ilvl="4">
      <w:start w:val="1"/>
      <w:numFmt w:val="bullet"/>
      <w:isLgl w:val="false"/>
      <w:suff w:val="tab"/>
      <w:lvlText w:val="o"/>
      <w:lvlJc w:val="left"/>
      <w:pPr>
        <w:ind w:left="4658" w:hanging="360"/>
      </w:pPr>
      <w:rPr>
        <w:rFonts w:hint="default" w:ascii="Courier New" w:hAnsi="Courier New" w:eastAsia="Courier New" w:cs="Courier New"/>
      </w:rPr>
    </w:lvl>
    <w:lvl w:ilvl="5">
      <w:start w:val="1"/>
      <w:numFmt w:val="bullet"/>
      <w:isLgl w:val="false"/>
      <w:suff w:val="tab"/>
      <w:lvlText w:val="§"/>
      <w:lvlJc w:val="left"/>
      <w:pPr>
        <w:ind w:left="5378" w:hanging="360"/>
      </w:pPr>
      <w:rPr>
        <w:rFonts w:hint="default" w:ascii="Wingdings" w:hAnsi="Wingdings" w:eastAsia="Wingdings" w:cs="Wingdings"/>
      </w:rPr>
    </w:lvl>
    <w:lvl w:ilvl="6">
      <w:start w:val="1"/>
      <w:numFmt w:val="bullet"/>
      <w:isLgl w:val="false"/>
      <w:suff w:val="tab"/>
      <w:lvlText w:val="·"/>
      <w:lvlJc w:val="left"/>
      <w:pPr>
        <w:ind w:left="6098" w:hanging="360"/>
      </w:pPr>
      <w:rPr>
        <w:rFonts w:hint="default" w:ascii="Symbol" w:hAnsi="Symbol" w:eastAsia="Symbol" w:cs="Symbol"/>
      </w:rPr>
    </w:lvl>
    <w:lvl w:ilvl="7">
      <w:start w:val="1"/>
      <w:numFmt w:val="bullet"/>
      <w:isLgl w:val="false"/>
      <w:suff w:val="tab"/>
      <w:lvlText w:val="o"/>
      <w:lvlJc w:val="left"/>
      <w:pPr>
        <w:ind w:left="6818" w:hanging="360"/>
      </w:pPr>
      <w:rPr>
        <w:rFonts w:hint="default" w:ascii="Courier New" w:hAnsi="Courier New" w:eastAsia="Courier New" w:cs="Courier New"/>
      </w:rPr>
    </w:lvl>
    <w:lvl w:ilvl="8">
      <w:start w:val="1"/>
      <w:numFmt w:val="bullet"/>
      <w:isLgl w:val="false"/>
      <w:suff w:val="tab"/>
      <w:lvlText w:val="§"/>
      <w:lvlJc w:val="left"/>
      <w:pPr>
        <w:ind w:left="7538" w:hanging="360"/>
      </w:pPr>
      <w:rPr>
        <w:rFonts w:hint="default" w:ascii="Wingdings" w:hAnsi="Wingdings" w:eastAsia="Wingdings" w:cs="Wingdings"/>
      </w:rPr>
    </w:lvl>
  </w:abstractNum>
  <w:abstractNum w:abstractNumId="96">
    <w:multiLevelType w:val="hybridMultilevel"/>
    <w:lvl w:ilvl="0">
      <w:start w:val="1"/>
      <w:numFmt w:val="bullet"/>
      <w:isLgl w:val="false"/>
      <w:suff w:val="tab"/>
      <w:lvlText w:val=""/>
      <w:lvlJc w:val="left"/>
      <w:pPr>
        <w:ind w:left="1088" w:hanging="360"/>
        <w:tabs>
          <w:tab w:val="num" w:pos="1088" w:leader="none"/>
        </w:tabs>
      </w:pPr>
      <w:rPr>
        <w:rFonts w:ascii="Symbol" w:hAnsi="Symbol"/>
      </w:rPr>
    </w:lvl>
    <w:lvl w:ilvl="1">
      <w:start w:val="1"/>
      <w:numFmt w:val="bullet"/>
      <w:isLgl w:val="false"/>
      <w:suff w:val="tab"/>
      <w:lvlText w:val="o"/>
      <w:lvlJc w:val="left"/>
      <w:pPr>
        <w:ind w:left="1808" w:hanging="360"/>
        <w:tabs>
          <w:tab w:val="num" w:pos="1808" w:leader="none"/>
        </w:tabs>
      </w:pPr>
      <w:rPr>
        <w:rFonts w:ascii="Courier New" w:hAnsi="Courier New" w:cs="Courier New"/>
      </w:rPr>
    </w:lvl>
    <w:lvl w:ilvl="2">
      <w:start w:val="1"/>
      <w:numFmt w:val="bullet"/>
      <w:isLgl w:val="false"/>
      <w:suff w:val="tab"/>
      <w:lvlText w:val=""/>
      <w:lvlJc w:val="left"/>
      <w:pPr>
        <w:ind w:left="2528" w:hanging="360"/>
        <w:tabs>
          <w:tab w:val="num" w:pos="2528" w:leader="none"/>
        </w:tabs>
      </w:pPr>
      <w:rPr>
        <w:rFonts w:ascii="Wingdings" w:hAnsi="Wingdings"/>
      </w:rPr>
    </w:lvl>
    <w:lvl w:ilvl="3">
      <w:start w:val="1"/>
      <w:numFmt w:val="bullet"/>
      <w:isLgl w:val="false"/>
      <w:suff w:val="tab"/>
      <w:lvlText w:val=""/>
      <w:lvlJc w:val="left"/>
      <w:pPr>
        <w:ind w:left="3248" w:hanging="360"/>
        <w:tabs>
          <w:tab w:val="num" w:pos="3248" w:leader="none"/>
        </w:tabs>
      </w:pPr>
      <w:rPr>
        <w:rFonts w:ascii="Symbol" w:hAnsi="Symbol"/>
      </w:rPr>
    </w:lvl>
    <w:lvl w:ilvl="4">
      <w:start w:val="1"/>
      <w:numFmt w:val="bullet"/>
      <w:isLgl w:val="false"/>
      <w:suff w:val="tab"/>
      <w:lvlText w:val="o"/>
      <w:lvlJc w:val="left"/>
      <w:pPr>
        <w:ind w:left="3968" w:hanging="360"/>
        <w:tabs>
          <w:tab w:val="num" w:pos="3968" w:leader="none"/>
        </w:tabs>
      </w:pPr>
      <w:rPr>
        <w:rFonts w:ascii="Courier New" w:hAnsi="Courier New" w:cs="Courier New"/>
      </w:rPr>
    </w:lvl>
    <w:lvl w:ilvl="5">
      <w:start w:val="1"/>
      <w:numFmt w:val="bullet"/>
      <w:isLgl w:val="false"/>
      <w:suff w:val="tab"/>
      <w:lvlText w:val=""/>
      <w:lvlJc w:val="left"/>
      <w:pPr>
        <w:ind w:left="4688" w:hanging="360"/>
        <w:tabs>
          <w:tab w:val="num" w:pos="4688" w:leader="none"/>
        </w:tabs>
      </w:pPr>
      <w:rPr>
        <w:rFonts w:ascii="Wingdings" w:hAnsi="Wingdings"/>
      </w:rPr>
    </w:lvl>
    <w:lvl w:ilvl="6">
      <w:start w:val="1"/>
      <w:numFmt w:val="bullet"/>
      <w:isLgl w:val="false"/>
      <w:suff w:val="tab"/>
      <w:lvlText w:val=""/>
      <w:lvlJc w:val="left"/>
      <w:pPr>
        <w:ind w:left="5408" w:hanging="360"/>
        <w:tabs>
          <w:tab w:val="num" w:pos="5408" w:leader="none"/>
        </w:tabs>
      </w:pPr>
      <w:rPr>
        <w:rFonts w:ascii="Symbol" w:hAnsi="Symbol"/>
      </w:rPr>
    </w:lvl>
    <w:lvl w:ilvl="7">
      <w:start w:val="1"/>
      <w:numFmt w:val="bullet"/>
      <w:isLgl w:val="false"/>
      <w:suff w:val="tab"/>
      <w:lvlText w:val="o"/>
      <w:lvlJc w:val="left"/>
      <w:pPr>
        <w:ind w:left="6128" w:hanging="360"/>
        <w:tabs>
          <w:tab w:val="num" w:pos="6128" w:leader="none"/>
        </w:tabs>
      </w:pPr>
      <w:rPr>
        <w:rFonts w:ascii="Courier New" w:hAnsi="Courier New" w:cs="Courier New"/>
      </w:rPr>
    </w:lvl>
    <w:lvl w:ilvl="8">
      <w:start w:val="1"/>
      <w:numFmt w:val="bullet"/>
      <w:isLgl w:val="false"/>
      <w:suff w:val="tab"/>
      <w:lvlText w:val=""/>
      <w:lvlJc w:val="left"/>
      <w:pPr>
        <w:ind w:left="6848" w:hanging="360"/>
        <w:tabs>
          <w:tab w:val="num" w:pos="6848" w:leader="none"/>
        </w:tabs>
      </w:pPr>
      <w:rPr>
        <w:rFonts w:ascii="Wingdings" w:hAnsi="Wingdings"/>
      </w:rPr>
    </w:lvl>
  </w:abstractNum>
  <w:abstractNum w:abstractNumId="97">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9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99">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0">
    <w:multiLevelType w:val="hybridMultilevel"/>
    <w:lvl w:ilvl="0">
      <w:start w:val="1"/>
      <w:numFmt w:val="bullet"/>
      <w:isLgl w:val="false"/>
      <w:suff w:val="tab"/>
      <w:lvlText w:val=""/>
      <w:lvlJc w:val="left"/>
      <w:pPr>
        <w:ind w:left="787" w:hanging="360"/>
        <w:tabs>
          <w:tab w:val="num" w:pos="787" w:leader="none"/>
        </w:tabs>
      </w:pPr>
      <w:rPr>
        <w:rFonts w:ascii="Symbol" w:hAnsi="Symbol"/>
      </w:rPr>
    </w:lvl>
    <w:lvl w:ilvl="1">
      <w:start w:val="1"/>
      <w:numFmt w:val="bullet"/>
      <w:isLgl w:val="false"/>
      <w:suff w:val="tab"/>
      <w:lvlText w:val="o"/>
      <w:lvlJc w:val="left"/>
      <w:pPr>
        <w:ind w:left="1507" w:hanging="360"/>
        <w:tabs>
          <w:tab w:val="num" w:pos="1507" w:leader="none"/>
        </w:tabs>
      </w:pPr>
      <w:rPr>
        <w:rFonts w:ascii="Courier New" w:hAnsi="Courier New" w:cs="Courier New"/>
      </w:rPr>
    </w:lvl>
    <w:lvl w:ilvl="2">
      <w:start w:val="1"/>
      <w:numFmt w:val="bullet"/>
      <w:isLgl w:val="false"/>
      <w:suff w:val="tab"/>
      <w:lvlText w:val=""/>
      <w:lvlJc w:val="left"/>
      <w:pPr>
        <w:ind w:left="2227" w:hanging="360"/>
        <w:tabs>
          <w:tab w:val="num" w:pos="2227" w:leader="none"/>
        </w:tabs>
      </w:pPr>
      <w:rPr>
        <w:rFonts w:ascii="Wingdings" w:hAnsi="Wingdings"/>
      </w:rPr>
    </w:lvl>
    <w:lvl w:ilvl="3">
      <w:start w:val="1"/>
      <w:numFmt w:val="bullet"/>
      <w:isLgl w:val="false"/>
      <w:suff w:val="tab"/>
      <w:lvlText w:val=""/>
      <w:lvlJc w:val="left"/>
      <w:pPr>
        <w:ind w:left="2947" w:hanging="360"/>
        <w:tabs>
          <w:tab w:val="num" w:pos="2947" w:leader="none"/>
        </w:tabs>
      </w:pPr>
      <w:rPr>
        <w:rFonts w:ascii="Symbol" w:hAnsi="Symbol"/>
      </w:rPr>
    </w:lvl>
    <w:lvl w:ilvl="4">
      <w:start w:val="1"/>
      <w:numFmt w:val="bullet"/>
      <w:isLgl w:val="false"/>
      <w:suff w:val="tab"/>
      <w:lvlText w:val="o"/>
      <w:lvlJc w:val="left"/>
      <w:pPr>
        <w:ind w:left="3667" w:hanging="360"/>
        <w:tabs>
          <w:tab w:val="num" w:pos="3667" w:leader="none"/>
        </w:tabs>
      </w:pPr>
      <w:rPr>
        <w:rFonts w:ascii="Courier New" w:hAnsi="Courier New" w:cs="Courier New"/>
      </w:rPr>
    </w:lvl>
    <w:lvl w:ilvl="5">
      <w:start w:val="1"/>
      <w:numFmt w:val="bullet"/>
      <w:isLgl w:val="false"/>
      <w:suff w:val="tab"/>
      <w:lvlText w:val=""/>
      <w:lvlJc w:val="left"/>
      <w:pPr>
        <w:ind w:left="4387" w:hanging="360"/>
        <w:tabs>
          <w:tab w:val="num" w:pos="4387" w:leader="none"/>
        </w:tabs>
      </w:pPr>
      <w:rPr>
        <w:rFonts w:ascii="Wingdings" w:hAnsi="Wingdings"/>
      </w:rPr>
    </w:lvl>
    <w:lvl w:ilvl="6">
      <w:start w:val="1"/>
      <w:numFmt w:val="bullet"/>
      <w:isLgl w:val="false"/>
      <w:suff w:val="tab"/>
      <w:lvlText w:val=""/>
      <w:lvlJc w:val="left"/>
      <w:pPr>
        <w:ind w:left="5107" w:hanging="360"/>
        <w:tabs>
          <w:tab w:val="num" w:pos="5107" w:leader="none"/>
        </w:tabs>
      </w:pPr>
      <w:rPr>
        <w:rFonts w:ascii="Symbol" w:hAnsi="Symbol"/>
      </w:rPr>
    </w:lvl>
    <w:lvl w:ilvl="7">
      <w:start w:val="1"/>
      <w:numFmt w:val="bullet"/>
      <w:isLgl w:val="false"/>
      <w:suff w:val="tab"/>
      <w:lvlText w:val="o"/>
      <w:lvlJc w:val="left"/>
      <w:pPr>
        <w:ind w:left="5827" w:hanging="360"/>
        <w:tabs>
          <w:tab w:val="num" w:pos="5827" w:leader="none"/>
        </w:tabs>
      </w:pPr>
      <w:rPr>
        <w:rFonts w:ascii="Courier New" w:hAnsi="Courier New" w:cs="Courier New"/>
      </w:rPr>
    </w:lvl>
    <w:lvl w:ilvl="8">
      <w:start w:val="1"/>
      <w:numFmt w:val="bullet"/>
      <w:isLgl w:val="false"/>
      <w:suff w:val="tab"/>
      <w:lvlText w:val=""/>
      <w:lvlJc w:val="left"/>
      <w:pPr>
        <w:ind w:left="6547" w:hanging="360"/>
        <w:tabs>
          <w:tab w:val="num" w:pos="6547" w:leader="none"/>
        </w:tabs>
      </w:pPr>
      <w:rPr>
        <w:rFonts w:ascii="Wingdings" w:hAnsi="Wingdings"/>
      </w:rPr>
    </w:lvl>
  </w:abstractNum>
  <w:abstractNum w:abstractNumId="101">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2">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3">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4">
    <w:multiLevelType w:val="hybridMultilevel"/>
    <w:lvl w:ilvl="0">
      <w:start w:val="1"/>
      <w:numFmt w:val="bullet"/>
      <w:isLgl w:val="false"/>
      <w:suff w:val="tab"/>
      <w:lvlText w:val=""/>
      <w:lvlJc w:val="left"/>
      <w:pPr>
        <w:ind w:left="1080" w:hanging="360"/>
        <w:tabs>
          <w:tab w:val="num" w:pos="1080" w:leader="none"/>
        </w:tabs>
      </w:pPr>
      <w:rPr>
        <w:rFonts w:ascii="Symbol" w:hAnsi="Symbol"/>
      </w:rPr>
    </w:lvl>
    <w:lvl w:ilvl="1">
      <w:start w:val="1"/>
      <w:numFmt w:val="bullet"/>
      <w:isLgl w:val="false"/>
      <w:suff w:val="tab"/>
      <w:lvlText w:val="o"/>
      <w:lvlJc w:val="left"/>
      <w:pPr>
        <w:ind w:left="1800" w:hanging="360"/>
        <w:tabs>
          <w:tab w:val="num" w:pos="1800" w:leader="none"/>
        </w:tabs>
      </w:pPr>
      <w:rPr>
        <w:rFonts w:ascii="Courier New" w:hAnsi="Courier New" w:cs="Courier New"/>
      </w:rPr>
    </w:lvl>
    <w:lvl w:ilvl="2">
      <w:start w:val="1"/>
      <w:numFmt w:val="bullet"/>
      <w:isLgl w:val="false"/>
      <w:suff w:val="tab"/>
      <w:lvlText w:val=""/>
      <w:lvlJc w:val="left"/>
      <w:pPr>
        <w:ind w:left="2520" w:hanging="360"/>
        <w:tabs>
          <w:tab w:val="num" w:pos="2520" w:leader="none"/>
        </w:tabs>
      </w:pPr>
      <w:rPr>
        <w:rFonts w:ascii="Wingdings" w:hAnsi="Wingdings"/>
      </w:rPr>
    </w:lvl>
    <w:lvl w:ilvl="3">
      <w:start w:val="1"/>
      <w:numFmt w:val="bullet"/>
      <w:isLgl w:val="false"/>
      <w:suff w:val="tab"/>
      <w:lvlText w:val=""/>
      <w:lvlJc w:val="left"/>
      <w:pPr>
        <w:ind w:left="3240" w:hanging="360"/>
        <w:tabs>
          <w:tab w:val="num" w:pos="3240" w:leader="none"/>
        </w:tabs>
      </w:pPr>
      <w:rPr>
        <w:rFonts w:ascii="Symbol" w:hAnsi="Symbol"/>
      </w:rPr>
    </w:lvl>
    <w:lvl w:ilvl="4">
      <w:start w:val="1"/>
      <w:numFmt w:val="bullet"/>
      <w:isLgl w:val="false"/>
      <w:suff w:val="tab"/>
      <w:lvlText w:val="o"/>
      <w:lvlJc w:val="left"/>
      <w:pPr>
        <w:ind w:left="3960" w:hanging="360"/>
        <w:tabs>
          <w:tab w:val="num" w:pos="3960" w:leader="none"/>
        </w:tabs>
      </w:pPr>
      <w:rPr>
        <w:rFonts w:ascii="Courier New" w:hAnsi="Courier New" w:cs="Courier New"/>
      </w:rPr>
    </w:lvl>
    <w:lvl w:ilvl="5">
      <w:start w:val="1"/>
      <w:numFmt w:val="bullet"/>
      <w:isLgl w:val="false"/>
      <w:suff w:val="tab"/>
      <w:lvlText w:val=""/>
      <w:lvlJc w:val="left"/>
      <w:pPr>
        <w:ind w:left="4680" w:hanging="360"/>
        <w:tabs>
          <w:tab w:val="num" w:pos="4680" w:leader="none"/>
        </w:tabs>
      </w:pPr>
      <w:rPr>
        <w:rFonts w:ascii="Wingdings" w:hAnsi="Wingdings"/>
      </w:rPr>
    </w:lvl>
    <w:lvl w:ilvl="6">
      <w:start w:val="1"/>
      <w:numFmt w:val="bullet"/>
      <w:isLgl w:val="false"/>
      <w:suff w:val="tab"/>
      <w:lvlText w:val=""/>
      <w:lvlJc w:val="left"/>
      <w:pPr>
        <w:ind w:left="5400" w:hanging="360"/>
        <w:tabs>
          <w:tab w:val="num" w:pos="5400" w:leader="none"/>
        </w:tabs>
      </w:pPr>
      <w:rPr>
        <w:rFonts w:ascii="Symbol" w:hAnsi="Symbol"/>
      </w:rPr>
    </w:lvl>
    <w:lvl w:ilvl="7">
      <w:start w:val="1"/>
      <w:numFmt w:val="bullet"/>
      <w:isLgl w:val="false"/>
      <w:suff w:val="tab"/>
      <w:lvlText w:val="o"/>
      <w:lvlJc w:val="left"/>
      <w:pPr>
        <w:ind w:left="6120" w:hanging="360"/>
        <w:tabs>
          <w:tab w:val="num" w:pos="6120" w:leader="none"/>
        </w:tabs>
      </w:pPr>
      <w:rPr>
        <w:rFonts w:ascii="Courier New" w:hAnsi="Courier New" w:cs="Courier New"/>
      </w:rPr>
    </w:lvl>
    <w:lvl w:ilvl="8">
      <w:start w:val="1"/>
      <w:numFmt w:val="bullet"/>
      <w:isLgl w:val="false"/>
      <w:suff w:val="tab"/>
      <w:lvlText w:val=""/>
      <w:lvlJc w:val="left"/>
      <w:pPr>
        <w:ind w:left="6840" w:hanging="360"/>
        <w:tabs>
          <w:tab w:val="num" w:pos="6840" w:leader="none"/>
        </w:tabs>
      </w:pPr>
      <w:rPr>
        <w:rFonts w:ascii="Wingdings" w:hAnsi="Wingdings"/>
      </w:rPr>
    </w:lvl>
  </w:abstractNum>
  <w:abstractNum w:abstractNumId="105">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6">
    <w:multiLevelType w:val="hybridMultilevel"/>
    <w:lvl w:ilvl="0">
      <w:start w:val="1"/>
      <w:numFmt w:val="bullet"/>
      <w:isLgl w:val="false"/>
      <w:suff w:val="tab"/>
      <w:lvlText w:val=""/>
      <w:lvlJc w:val="left"/>
      <w:pPr>
        <w:ind w:left="900" w:hanging="360"/>
        <w:tabs>
          <w:tab w:val="num" w:pos="900" w:leader="none"/>
        </w:tabs>
      </w:pPr>
      <w:rPr>
        <w:rFonts w:ascii="Wingdings" w:hAnsi="Wingdings"/>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7">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0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9">
    <w:multiLevelType w:val="hybridMultilevel"/>
    <w:lvl w:ilvl="0">
      <w:start w:val="3"/>
      <w:numFmt w:val="decimal"/>
      <w:isLgl w:val="false"/>
      <w:suff w:val="tab"/>
      <w:lvlText w:val="%1."/>
      <w:lvlJc w:val="left"/>
      <w:pPr>
        <w:ind w:left="540" w:hanging="540"/>
        <w:tabs>
          <w:tab w:val="num" w:pos="540" w:leader="none"/>
        </w:tabs>
      </w:pPr>
      <w:rPr>
        <w:rFonts w:cs="Times New Roman"/>
      </w:rPr>
    </w:lvl>
    <w:lvl w:ilvl="1">
      <w:start w:val="1"/>
      <w:numFmt w:val="decimal"/>
      <w:isLgl w:val="false"/>
      <w:suff w:val="tab"/>
      <w:lvlText w:val="%1.%2."/>
      <w:lvlJc w:val="left"/>
      <w:pPr>
        <w:ind w:left="540" w:hanging="540"/>
        <w:tabs>
          <w:tab w:val="num" w:pos="540" w:leader="none"/>
        </w:tabs>
      </w:pPr>
      <w:rPr>
        <w:rFonts w:cs="Times New Roman"/>
      </w:rPr>
    </w:lvl>
    <w:lvl w:ilvl="2">
      <w:start w:val="7"/>
      <w:numFmt w:val="decimal"/>
      <w:isLgl w:val="false"/>
      <w:suff w:val="tab"/>
      <w:lvlText w:val="%1.%2.%3."/>
      <w:lvlJc w:val="left"/>
      <w:pPr>
        <w:ind w:left="720" w:hanging="720"/>
        <w:tabs>
          <w:tab w:val="num" w:pos="720" w:leader="none"/>
        </w:tabs>
      </w:pPr>
      <w:rPr>
        <w:rFonts w:cs="Times New Roman"/>
      </w:rPr>
    </w:lvl>
    <w:lvl w:ilvl="3">
      <w:start w:val="1"/>
      <w:numFmt w:val="decimal"/>
      <w:isLgl w:val="false"/>
      <w:suff w:val="tab"/>
      <w:lvlText w:val="%1.%2.%3.%4."/>
      <w:lvlJc w:val="left"/>
      <w:pPr>
        <w:ind w:left="720" w:hanging="720"/>
        <w:tabs>
          <w:tab w:val="num" w:pos="720" w:leader="none"/>
        </w:tabs>
      </w:pPr>
      <w:rPr>
        <w:rFonts w:cs="Times New Roman"/>
      </w:rPr>
    </w:lvl>
    <w:lvl w:ilvl="4">
      <w:start w:val="1"/>
      <w:numFmt w:val="decimal"/>
      <w:isLgl w:val="false"/>
      <w:suff w:val="tab"/>
      <w:lvlText w:val="%1.%2.%3.%4.%5."/>
      <w:lvlJc w:val="left"/>
      <w:pPr>
        <w:ind w:left="1080" w:hanging="1080"/>
        <w:tabs>
          <w:tab w:val="num" w:pos="1080" w:leader="none"/>
        </w:tabs>
      </w:pPr>
      <w:rPr>
        <w:rFonts w:cs="Times New Roman"/>
      </w:rPr>
    </w:lvl>
    <w:lvl w:ilvl="5">
      <w:start w:val="1"/>
      <w:numFmt w:val="decimal"/>
      <w:isLgl w:val="false"/>
      <w:suff w:val="tab"/>
      <w:lvlText w:val="%1.%2.%3.%4.%5.%6."/>
      <w:lvlJc w:val="left"/>
      <w:pPr>
        <w:ind w:left="1080" w:hanging="1080"/>
        <w:tabs>
          <w:tab w:val="num" w:pos="1080" w:leader="none"/>
        </w:tabs>
      </w:pPr>
      <w:rPr>
        <w:rFonts w:cs="Times New Roman"/>
      </w:rPr>
    </w:lvl>
    <w:lvl w:ilvl="6">
      <w:start w:val="1"/>
      <w:numFmt w:val="decimal"/>
      <w:isLgl w:val="false"/>
      <w:suff w:val="tab"/>
      <w:lvlText w:val="%1.%2.%3.%4.%5.%6.%7."/>
      <w:lvlJc w:val="left"/>
      <w:pPr>
        <w:ind w:left="1440" w:hanging="1440"/>
        <w:tabs>
          <w:tab w:val="num" w:pos="1440" w:leader="none"/>
        </w:tabs>
      </w:pPr>
      <w:rPr>
        <w:rFonts w:cs="Times New Roman"/>
      </w:rPr>
    </w:lvl>
    <w:lvl w:ilvl="7">
      <w:start w:val="1"/>
      <w:numFmt w:val="decimal"/>
      <w:isLgl w:val="false"/>
      <w:suff w:val="tab"/>
      <w:lvlText w:val="%1.%2.%3.%4.%5.%6.%7.%8."/>
      <w:lvlJc w:val="left"/>
      <w:pPr>
        <w:ind w:left="1440" w:hanging="1440"/>
        <w:tabs>
          <w:tab w:val="num" w:pos="1440" w:leader="none"/>
        </w:tabs>
      </w:pPr>
      <w:rPr>
        <w:rFonts w:cs="Times New Roman"/>
      </w:rPr>
    </w:lvl>
    <w:lvl w:ilvl="8">
      <w:start w:val="1"/>
      <w:numFmt w:val="decimal"/>
      <w:isLgl w:val="false"/>
      <w:suff w:val="tab"/>
      <w:lvlText w:val="%1.%2.%3.%4.%5.%6.%7.%8.%9."/>
      <w:lvlJc w:val="left"/>
      <w:pPr>
        <w:ind w:left="1800" w:hanging="1800"/>
        <w:tabs>
          <w:tab w:val="num" w:pos="1800" w:leader="none"/>
        </w:tabs>
      </w:pPr>
      <w:rPr>
        <w:rFonts w:cs="Times New Roman"/>
      </w:rPr>
    </w:lvl>
  </w:abstractNum>
  <w:abstractNum w:abstractNumId="1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1">
    <w:multiLevelType w:val="hybridMultilevel"/>
    <w:lvl w:ilvl="0">
      <w:start w:val="1"/>
      <w:numFmt w:val="decimal"/>
      <w:isLgl w:val="false"/>
      <w:suff w:val="tab"/>
      <w:lvlText w:val="%1."/>
      <w:lvlJc w:val="left"/>
      <w:pPr>
        <w:ind w:left="1080" w:hanging="360"/>
      </w:pPr>
    </w:lvl>
    <w:lvl w:ilvl="1">
      <w:start w:val="1"/>
      <w:numFmt w:val="decimal"/>
      <w:isLgl w:val="false"/>
      <w:suff w:val="tab"/>
      <w:lvlText w:val="%1.%2."/>
      <w:lvlJc w:val="left"/>
      <w:pPr>
        <w:ind w:left="1080" w:hanging="360"/>
      </w:p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440" w:hanging="720"/>
      </w:pPr>
    </w:lvl>
    <w:lvl w:ilvl="4">
      <w:start w:val="1"/>
      <w:numFmt w:val="decimal"/>
      <w:isLgl w:val="false"/>
      <w:suff w:val="tab"/>
      <w:lvlText w:val="%1.%2.%3.%4.%5."/>
      <w:lvlJc w:val="left"/>
      <w:pPr>
        <w:ind w:left="1800" w:hanging="1080"/>
      </w:pPr>
    </w:lvl>
    <w:lvl w:ilvl="5">
      <w:start w:val="1"/>
      <w:numFmt w:val="decimal"/>
      <w:isLgl w:val="false"/>
      <w:suff w:val="tab"/>
      <w:lvlText w:val="%1.%2.%3.%4.%5.%6."/>
      <w:lvlJc w:val="left"/>
      <w:pPr>
        <w:ind w:left="1800" w:hanging="1080"/>
      </w:pPr>
    </w:lvl>
    <w:lvl w:ilvl="6">
      <w:start w:val="1"/>
      <w:numFmt w:val="decimal"/>
      <w:isLgl w:val="false"/>
      <w:suff w:val="tab"/>
      <w:lvlText w:val="%1.%2.%3.%4.%5.%6.%7."/>
      <w:lvlJc w:val="left"/>
      <w:pPr>
        <w:ind w:left="2160" w:hanging="1440"/>
      </w:pPr>
    </w:lvl>
    <w:lvl w:ilvl="7">
      <w:start w:val="1"/>
      <w:numFmt w:val="decimal"/>
      <w:isLgl w:val="false"/>
      <w:suff w:val="tab"/>
      <w:lvlText w:val="%1.%2.%3.%4.%5.%6.%7.%8."/>
      <w:lvlJc w:val="left"/>
      <w:pPr>
        <w:ind w:left="2160" w:hanging="1440"/>
      </w:pPr>
    </w:lvl>
    <w:lvl w:ilvl="8">
      <w:start w:val="1"/>
      <w:numFmt w:val="decimal"/>
      <w:isLgl w:val="false"/>
      <w:suff w:val="tab"/>
      <w:lvlText w:val="%1.%2.%3.%4.%5.%6.%7.%8.%9."/>
      <w:lvlJc w:val="left"/>
      <w:pPr>
        <w:ind w:left="2520" w:hanging="1800"/>
      </w:pPr>
    </w:lvl>
  </w:abstractNum>
  <w:abstractNum w:abstractNumId="112">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13">
    <w:multiLevelType w:val="hybridMultilevel"/>
    <w:lvl w:ilvl="0">
      <w:start w:val="1"/>
      <w:numFmt w:val="decimal"/>
      <w:isLgl w:val="false"/>
      <w:suff w:val="tab"/>
      <w:lvlText w:val="%1."/>
      <w:lvlJc w:val="left"/>
      <w:pPr>
        <w:ind w:left="720" w:hanging="360"/>
      </w:pPr>
    </w:lvl>
    <w:lvl w:ilvl="1">
      <w:start w:val="2"/>
      <w:numFmt w:val="decimal"/>
      <w:isLgl w:val="false"/>
      <w:suff w:val="tab"/>
      <w:lvlText w:val="%1.%2."/>
      <w:lvlJc w:val="left"/>
      <w:pPr>
        <w:ind w:left="720" w:hanging="360"/>
      </w:p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440" w:hanging="108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1800" w:hanging="1440"/>
      </w:pPr>
    </w:lvl>
  </w:abstractNum>
  <w:abstractNum w:abstractNumId="114">
    <w:multiLevelType w:val="hybridMultilevel"/>
    <w:lvl w:ilvl="0">
      <w:start w:val="1"/>
      <w:numFmt w:val="decimal"/>
      <w:isLgl w:val="false"/>
      <w:suff w:val="tab"/>
      <w:lvlText w:val="%1."/>
      <w:lvlJc w:val="left"/>
      <w:pPr>
        <w:ind w:left="1778" w:hanging="360"/>
      </w:pPr>
    </w:lvl>
    <w:lvl w:ilvl="1">
      <w:start w:val="1"/>
      <w:numFmt w:val="decimal"/>
      <w:isLgl w:val="false"/>
      <w:suff w:val="tab"/>
      <w:lvlText w:val="%1.%2."/>
      <w:lvlJc w:val="left"/>
      <w:pPr>
        <w:ind w:left="1211" w:hanging="360"/>
      </w:pPr>
    </w:lvl>
    <w:lvl w:ilvl="2">
      <w:start w:val="1"/>
      <w:numFmt w:val="decimal"/>
      <w:isLgl w:val="false"/>
      <w:suff w:val="tab"/>
      <w:lvlText w:val="%1.%2.%3."/>
      <w:lvlJc w:val="left"/>
      <w:pPr>
        <w:ind w:left="2062" w:hanging="720"/>
      </w:pPr>
    </w:lvl>
    <w:lvl w:ilvl="3">
      <w:start w:val="1"/>
      <w:numFmt w:val="decimal"/>
      <w:isLgl w:val="false"/>
      <w:suff w:val="tab"/>
      <w:lvlText w:val="%1.%2.%3.%4."/>
      <w:lvlJc w:val="left"/>
      <w:pPr>
        <w:ind w:left="2553" w:hanging="720"/>
      </w:pPr>
    </w:lvl>
    <w:lvl w:ilvl="4">
      <w:start w:val="1"/>
      <w:numFmt w:val="decimal"/>
      <w:isLgl w:val="false"/>
      <w:suff w:val="tab"/>
      <w:lvlText w:val="%1.%2.%3.%4.%5."/>
      <w:lvlJc w:val="left"/>
      <w:pPr>
        <w:ind w:left="3404" w:hanging="1080"/>
      </w:pPr>
    </w:lvl>
    <w:lvl w:ilvl="5">
      <w:start w:val="1"/>
      <w:numFmt w:val="decimal"/>
      <w:isLgl w:val="false"/>
      <w:suff w:val="tab"/>
      <w:lvlText w:val="%1.%2.%3.%4.%5.%6."/>
      <w:lvlJc w:val="left"/>
      <w:pPr>
        <w:ind w:left="3895" w:hanging="1080"/>
      </w:pPr>
    </w:lvl>
    <w:lvl w:ilvl="6">
      <w:start w:val="1"/>
      <w:numFmt w:val="decimal"/>
      <w:isLgl w:val="false"/>
      <w:suff w:val="tab"/>
      <w:lvlText w:val="%1.%2.%3.%4.%5.%6.%7."/>
      <w:lvlJc w:val="left"/>
      <w:pPr>
        <w:ind w:left="4746" w:hanging="1440"/>
      </w:pPr>
    </w:lvl>
    <w:lvl w:ilvl="7">
      <w:start w:val="1"/>
      <w:numFmt w:val="decimal"/>
      <w:isLgl w:val="false"/>
      <w:suff w:val="tab"/>
      <w:lvlText w:val="%1.%2.%3.%4.%5.%6.%7.%8."/>
      <w:lvlJc w:val="left"/>
      <w:pPr>
        <w:ind w:left="5237" w:hanging="1440"/>
      </w:pPr>
    </w:lvl>
    <w:lvl w:ilvl="8">
      <w:start w:val="1"/>
      <w:numFmt w:val="decimal"/>
      <w:isLgl w:val="false"/>
      <w:suff w:val="tab"/>
      <w:lvlText w:val="%1.%2.%3.%4.%5.%6.%7.%8.%9."/>
      <w:lvlJc w:val="left"/>
      <w:pPr>
        <w:ind w:left="6088" w:hanging="1800"/>
      </w:pPr>
    </w:lvl>
  </w:abstractNum>
  <w:abstractNum w:abstractNumId="115">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1211" w:hanging="360"/>
      </w:pPr>
    </w:lvl>
    <w:lvl w:ilvl="2">
      <w:start w:val="1"/>
      <w:numFmt w:val="decimal"/>
      <w:isLgl w:val="false"/>
      <w:suff w:val="tab"/>
      <w:lvlText w:val="%1.%2.%3."/>
      <w:lvlJc w:val="left"/>
      <w:pPr>
        <w:ind w:left="2062" w:hanging="720"/>
      </w:pPr>
    </w:lvl>
    <w:lvl w:ilvl="3">
      <w:start w:val="1"/>
      <w:numFmt w:val="decimal"/>
      <w:isLgl w:val="false"/>
      <w:suff w:val="tab"/>
      <w:lvlText w:val="%1.%2.%3.%4."/>
      <w:lvlJc w:val="left"/>
      <w:pPr>
        <w:ind w:left="2553" w:hanging="720"/>
      </w:pPr>
    </w:lvl>
    <w:lvl w:ilvl="4">
      <w:start w:val="1"/>
      <w:numFmt w:val="decimal"/>
      <w:isLgl w:val="false"/>
      <w:suff w:val="tab"/>
      <w:lvlText w:val="%1.%2.%3.%4.%5."/>
      <w:lvlJc w:val="left"/>
      <w:pPr>
        <w:ind w:left="3404" w:hanging="1080"/>
      </w:pPr>
    </w:lvl>
    <w:lvl w:ilvl="5">
      <w:start w:val="1"/>
      <w:numFmt w:val="decimal"/>
      <w:isLgl w:val="false"/>
      <w:suff w:val="tab"/>
      <w:lvlText w:val="%1.%2.%3.%4.%5.%6."/>
      <w:lvlJc w:val="left"/>
      <w:pPr>
        <w:ind w:left="3895" w:hanging="1080"/>
      </w:pPr>
    </w:lvl>
    <w:lvl w:ilvl="6">
      <w:start w:val="1"/>
      <w:numFmt w:val="decimal"/>
      <w:isLgl w:val="false"/>
      <w:suff w:val="tab"/>
      <w:lvlText w:val="%1.%2.%3.%4.%5.%6.%7."/>
      <w:lvlJc w:val="left"/>
      <w:pPr>
        <w:ind w:left="4746" w:hanging="1440"/>
      </w:pPr>
    </w:lvl>
    <w:lvl w:ilvl="7">
      <w:start w:val="1"/>
      <w:numFmt w:val="decimal"/>
      <w:isLgl w:val="false"/>
      <w:suff w:val="tab"/>
      <w:lvlText w:val="%1.%2.%3.%4.%5.%6.%7.%8."/>
      <w:lvlJc w:val="left"/>
      <w:pPr>
        <w:ind w:left="5237" w:hanging="1440"/>
      </w:pPr>
    </w:lvl>
    <w:lvl w:ilvl="8">
      <w:start w:val="1"/>
      <w:numFmt w:val="decimal"/>
      <w:isLgl w:val="false"/>
      <w:suff w:val="tab"/>
      <w:lvlText w:val="%1.%2.%3.%4.%5.%6.%7.%8.%9."/>
      <w:lvlJc w:val="left"/>
      <w:pPr>
        <w:ind w:left="6088" w:hanging="1800"/>
      </w:pPr>
    </w:lvl>
  </w:abstractNum>
  <w:abstractNum w:abstractNumId="11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17">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720" w:hanging="360"/>
      </w:p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800" w:hanging="144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2160" w:hanging="1800"/>
      </w:pPr>
    </w:lvl>
  </w:abstractNum>
  <w:abstractNum w:abstractNumId="118">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0" w:firstLine="0"/>
      </w:pPr>
      <w:rPr>
        <w:b w:val="0"/>
      </w:rPr>
    </w:lvl>
    <w:lvl w:ilvl="2">
      <w:start w:val="1"/>
      <w:numFmt w:val="decimal"/>
      <w:isLgl w:val="false"/>
      <w:suff w:val="tab"/>
      <w:lvlText w:val="%1.%2.%3."/>
      <w:lvlJc w:val="left"/>
      <w:pPr>
        <w:ind w:left="720" w:hanging="360"/>
      </w:pPr>
      <w:rPr>
        <w:b w:val="0"/>
      </w:rPr>
    </w:lvl>
    <w:lvl w:ilvl="3">
      <w:start w:val="1"/>
      <w:numFmt w:val="decimal"/>
      <w:isLgl w:val="false"/>
      <w:suff w:val="tab"/>
      <w:lvlText w:val="%1.%2.%3.%4."/>
      <w:lvlJc w:val="left"/>
      <w:pPr>
        <w:ind w:left="720" w:hanging="360"/>
      </w:pPr>
      <w:rPr>
        <w:b w:val="0"/>
      </w:rPr>
    </w:lvl>
    <w:lvl w:ilvl="4">
      <w:start w:val="1"/>
      <w:numFmt w:val="decimal"/>
      <w:isLgl w:val="false"/>
      <w:suff w:val="tab"/>
      <w:lvlText w:val="%1.%2.%3.%4.%5."/>
      <w:lvlJc w:val="left"/>
      <w:pPr>
        <w:ind w:left="1080" w:hanging="720"/>
      </w:pPr>
      <w:rPr>
        <w:b w:val="0"/>
      </w:rPr>
    </w:lvl>
    <w:lvl w:ilvl="5">
      <w:start w:val="1"/>
      <w:numFmt w:val="decimal"/>
      <w:isLgl w:val="false"/>
      <w:suff w:val="tab"/>
      <w:lvlText w:val="%1.%2.%3.%4.%5.%6."/>
      <w:lvlJc w:val="left"/>
      <w:pPr>
        <w:ind w:left="1080" w:hanging="720"/>
      </w:pPr>
      <w:rPr>
        <w:b w:val="0"/>
      </w:rPr>
    </w:lvl>
    <w:lvl w:ilvl="6">
      <w:start w:val="1"/>
      <w:numFmt w:val="decimal"/>
      <w:isLgl w:val="false"/>
      <w:suff w:val="tab"/>
      <w:lvlText w:val="%1.%2.%3.%4.%5.%6.%7."/>
      <w:lvlJc w:val="left"/>
      <w:pPr>
        <w:ind w:left="1080" w:hanging="720"/>
      </w:pPr>
      <w:rPr>
        <w:b w:val="0"/>
      </w:rPr>
    </w:lvl>
    <w:lvl w:ilvl="7">
      <w:start w:val="1"/>
      <w:numFmt w:val="decimal"/>
      <w:isLgl w:val="false"/>
      <w:suff w:val="tab"/>
      <w:lvlText w:val="%1.%2.%3.%4.%5.%6.%7.%8."/>
      <w:lvlJc w:val="left"/>
      <w:pPr>
        <w:ind w:left="1440" w:hanging="1080"/>
      </w:pPr>
      <w:rPr>
        <w:b w:val="0"/>
      </w:rPr>
    </w:lvl>
    <w:lvl w:ilvl="8">
      <w:start w:val="1"/>
      <w:numFmt w:val="decimal"/>
      <w:isLgl w:val="false"/>
      <w:suff w:val="tab"/>
      <w:lvlText w:val="%1.%2.%3.%4.%5.%6.%7.%8.%9."/>
      <w:lvlJc w:val="left"/>
      <w:pPr>
        <w:ind w:left="1440" w:hanging="1080"/>
      </w:pPr>
      <w:rPr>
        <w:b w:val="0"/>
      </w:rPr>
    </w:lvl>
  </w:abstractNum>
  <w:abstractNum w:abstractNumId="11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0">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6">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27">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28">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29">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3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31">
    <w:multiLevelType w:val="hybridMultilevel"/>
    <w:lvl w:ilvl="0">
      <w:start w:val="1"/>
      <w:numFmt w:val="bullet"/>
      <w:isLgl w:val="false"/>
      <w:suff w:val="tab"/>
      <w:lvlText w:val="·"/>
      <w:lvlJc w:val="left"/>
      <w:pPr>
        <w:ind w:left="1418" w:hanging="360"/>
      </w:pPr>
      <w:rPr>
        <w:rFonts w:hint="default" w:ascii="Symbol" w:hAnsi="Symbol" w:eastAsia="Symbol" w:cs="Symbo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3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33">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134">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35">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36">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37">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38">
    <w:multiLevelType w:val="hybridMultilevel"/>
    <w:lvl w:ilvl="0">
      <w:start w:val="1"/>
      <w:numFmt w:val="bullet"/>
      <w:isLgl w:val="false"/>
      <w:suff w:val="tab"/>
      <w:lvlText w:val=""/>
      <w:lvlJc w:val="left"/>
      <w:pPr>
        <w:ind w:left="1088" w:hanging="360"/>
        <w:tabs>
          <w:tab w:val="num" w:pos="1088" w:leader="none"/>
        </w:tabs>
      </w:pPr>
      <w:rPr>
        <w:rFonts w:ascii="Symbol" w:hAnsi="Symbol"/>
      </w:rPr>
    </w:lvl>
    <w:lvl w:ilvl="1">
      <w:start w:val="1"/>
      <w:numFmt w:val="bullet"/>
      <w:isLgl w:val="false"/>
      <w:suff w:val="tab"/>
      <w:lvlText w:val="o"/>
      <w:lvlJc w:val="left"/>
      <w:pPr>
        <w:ind w:left="1808" w:hanging="360"/>
        <w:tabs>
          <w:tab w:val="num" w:pos="1808" w:leader="none"/>
        </w:tabs>
      </w:pPr>
      <w:rPr>
        <w:rFonts w:ascii="Courier New" w:hAnsi="Courier New" w:cs="Courier New"/>
      </w:rPr>
    </w:lvl>
    <w:lvl w:ilvl="2">
      <w:start w:val="1"/>
      <w:numFmt w:val="bullet"/>
      <w:isLgl w:val="false"/>
      <w:suff w:val="tab"/>
      <w:lvlText w:val=""/>
      <w:lvlJc w:val="left"/>
      <w:pPr>
        <w:ind w:left="2528" w:hanging="360"/>
        <w:tabs>
          <w:tab w:val="num" w:pos="2528" w:leader="none"/>
        </w:tabs>
      </w:pPr>
      <w:rPr>
        <w:rFonts w:ascii="Wingdings" w:hAnsi="Wingdings"/>
      </w:rPr>
    </w:lvl>
    <w:lvl w:ilvl="3">
      <w:start w:val="1"/>
      <w:numFmt w:val="bullet"/>
      <w:isLgl w:val="false"/>
      <w:suff w:val="tab"/>
      <w:lvlText w:val=""/>
      <w:lvlJc w:val="left"/>
      <w:pPr>
        <w:ind w:left="3248" w:hanging="360"/>
        <w:tabs>
          <w:tab w:val="num" w:pos="3248" w:leader="none"/>
        </w:tabs>
      </w:pPr>
      <w:rPr>
        <w:rFonts w:ascii="Symbol" w:hAnsi="Symbol"/>
      </w:rPr>
    </w:lvl>
    <w:lvl w:ilvl="4">
      <w:start w:val="1"/>
      <w:numFmt w:val="bullet"/>
      <w:isLgl w:val="false"/>
      <w:suff w:val="tab"/>
      <w:lvlText w:val="o"/>
      <w:lvlJc w:val="left"/>
      <w:pPr>
        <w:ind w:left="3968" w:hanging="360"/>
        <w:tabs>
          <w:tab w:val="num" w:pos="3968" w:leader="none"/>
        </w:tabs>
      </w:pPr>
      <w:rPr>
        <w:rFonts w:ascii="Courier New" w:hAnsi="Courier New" w:cs="Courier New"/>
      </w:rPr>
    </w:lvl>
    <w:lvl w:ilvl="5">
      <w:start w:val="1"/>
      <w:numFmt w:val="bullet"/>
      <w:isLgl w:val="false"/>
      <w:suff w:val="tab"/>
      <w:lvlText w:val=""/>
      <w:lvlJc w:val="left"/>
      <w:pPr>
        <w:ind w:left="4688" w:hanging="360"/>
        <w:tabs>
          <w:tab w:val="num" w:pos="4688" w:leader="none"/>
        </w:tabs>
      </w:pPr>
      <w:rPr>
        <w:rFonts w:ascii="Wingdings" w:hAnsi="Wingdings"/>
      </w:rPr>
    </w:lvl>
    <w:lvl w:ilvl="6">
      <w:start w:val="1"/>
      <w:numFmt w:val="bullet"/>
      <w:isLgl w:val="false"/>
      <w:suff w:val="tab"/>
      <w:lvlText w:val=""/>
      <w:lvlJc w:val="left"/>
      <w:pPr>
        <w:ind w:left="5408" w:hanging="360"/>
        <w:tabs>
          <w:tab w:val="num" w:pos="5408" w:leader="none"/>
        </w:tabs>
      </w:pPr>
      <w:rPr>
        <w:rFonts w:ascii="Symbol" w:hAnsi="Symbol"/>
      </w:rPr>
    </w:lvl>
    <w:lvl w:ilvl="7">
      <w:start w:val="1"/>
      <w:numFmt w:val="bullet"/>
      <w:isLgl w:val="false"/>
      <w:suff w:val="tab"/>
      <w:lvlText w:val="o"/>
      <w:lvlJc w:val="left"/>
      <w:pPr>
        <w:ind w:left="6128" w:hanging="360"/>
        <w:tabs>
          <w:tab w:val="num" w:pos="6128" w:leader="none"/>
        </w:tabs>
      </w:pPr>
      <w:rPr>
        <w:rFonts w:ascii="Courier New" w:hAnsi="Courier New" w:cs="Courier New"/>
      </w:rPr>
    </w:lvl>
    <w:lvl w:ilvl="8">
      <w:start w:val="1"/>
      <w:numFmt w:val="bullet"/>
      <w:isLgl w:val="false"/>
      <w:suff w:val="tab"/>
      <w:lvlText w:val=""/>
      <w:lvlJc w:val="left"/>
      <w:pPr>
        <w:ind w:left="6848" w:hanging="360"/>
        <w:tabs>
          <w:tab w:val="num" w:pos="6848" w:leader="none"/>
        </w:tabs>
      </w:pPr>
      <w:rPr>
        <w:rFonts w:ascii="Wingdings" w:hAnsi="Wingdings"/>
      </w:rPr>
    </w:lvl>
  </w:abstractNum>
  <w:abstractNum w:abstractNumId="139">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0">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1">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2">
    <w:multiLevelType w:val="hybridMultilevel"/>
    <w:lvl w:ilvl="0">
      <w:start w:val="1"/>
      <w:numFmt w:val="bullet"/>
      <w:isLgl w:val="false"/>
      <w:suff w:val="tab"/>
      <w:lvlText w:val=""/>
      <w:lvlJc w:val="left"/>
      <w:pPr>
        <w:ind w:left="787" w:hanging="360"/>
        <w:tabs>
          <w:tab w:val="num" w:pos="787" w:leader="none"/>
        </w:tabs>
      </w:pPr>
      <w:rPr>
        <w:rFonts w:ascii="Symbol" w:hAnsi="Symbol"/>
      </w:rPr>
    </w:lvl>
    <w:lvl w:ilvl="1">
      <w:start w:val="1"/>
      <w:numFmt w:val="bullet"/>
      <w:isLgl w:val="false"/>
      <w:suff w:val="tab"/>
      <w:lvlText w:val="o"/>
      <w:lvlJc w:val="left"/>
      <w:pPr>
        <w:ind w:left="1507" w:hanging="360"/>
        <w:tabs>
          <w:tab w:val="num" w:pos="1507" w:leader="none"/>
        </w:tabs>
      </w:pPr>
      <w:rPr>
        <w:rFonts w:ascii="Courier New" w:hAnsi="Courier New" w:cs="Courier New"/>
      </w:rPr>
    </w:lvl>
    <w:lvl w:ilvl="2">
      <w:start w:val="1"/>
      <w:numFmt w:val="bullet"/>
      <w:isLgl w:val="false"/>
      <w:suff w:val="tab"/>
      <w:lvlText w:val=""/>
      <w:lvlJc w:val="left"/>
      <w:pPr>
        <w:ind w:left="2227" w:hanging="360"/>
        <w:tabs>
          <w:tab w:val="num" w:pos="2227" w:leader="none"/>
        </w:tabs>
      </w:pPr>
      <w:rPr>
        <w:rFonts w:ascii="Wingdings" w:hAnsi="Wingdings"/>
      </w:rPr>
    </w:lvl>
    <w:lvl w:ilvl="3">
      <w:start w:val="1"/>
      <w:numFmt w:val="bullet"/>
      <w:isLgl w:val="false"/>
      <w:suff w:val="tab"/>
      <w:lvlText w:val=""/>
      <w:lvlJc w:val="left"/>
      <w:pPr>
        <w:ind w:left="2947" w:hanging="360"/>
        <w:tabs>
          <w:tab w:val="num" w:pos="2947" w:leader="none"/>
        </w:tabs>
      </w:pPr>
      <w:rPr>
        <w:rFonts w:ascii="Symbol" w:hAnsi="Symbol"/>
      </w:rPr>
    </w:lvl>
    <w:lvl w:ilvl="4">
      <w:start w:val="1"/>
      <w:numFmt w:val="bullet"/>
      <w:isLgl w:val="false"/>
      <w:suff w:val="tab"/>
      <w:lvlText w:val="o"/>
      <w:lvlJc w:val="left"/>
      <w:pPr>
        <w:ind w:left="3667" w:hanging="360"/>
        <w:tabs>
          <w:tab w:val="num" w:pos="3667" w:leader="none"/>
        </w:tabs>
      </w:pPr>
      <w:rPr>
        <w:rFonts w:ascii="Courier New" w:hAnsi="Courier New" w:cs="Courier New"/>
      </w:rPr>
    </w:lvl>
    <w:lvl w:ilvl="5">
      <w:start w:val="1"/>
      <w:numFmt w:val="bullet"/>
      <w:isLgl w:val="false"/>
      <w:suff w:val="tab"/>
      <w:lvlText w:val=""/>
      <w:lvlJc w:val="left"/>
      <w:pPr>
        <w:ind w:left="4387" w:hanging="360"/>
        <w:tabs>
          <w:tab w:val="num" w:pos="4387" w:leader="none"/>
        </w:tabs>
      </w:pPr>
      <w:rPr>
        <w:rFonts w:ascii="Wingdings" w:hAnsi="Wingdings"/>
      </w:rPr>
    </w:lvl>
    <w:lvl w:ilvl="6">
      <w:start w:val="1"/>
      <w:numFmt w:val="bullet"/>
      <w:isLgl w:val="false"/>
      <w:suff w:val="tab"/>
      <w:lvlText w:val=""/>
      <w:lvlJc w:val="left"/>
      <w:pPr>
        <w:ind w:left="5107" w:hanging="360"/>
        <w:tabs>
          <w:tab w:val="num" w:pos="5107" w:leader="none"/>
        </w:tabs>
      </w:pPr>
      <w:rPr>
        <w:rFonts w:ascii="Symbol" w:hAnsi="Symbol"/>
      </w:rPr>
    </w:lvl>
    <w:lvl w:ilvl="7">
      <w:start w:val="1"/>
      <w:numFmt w:val="bullet"/>
      <w:isLgl w:val="false"/>
      <w:suff w:val="tab"/>
      <w:lvlText w:val="o"/>
      <w:lvlJc w:val="left"/>
      <w:pPr>
        <w:ind w:left="5827" w:hanging="360"/>
        <w:tabs>
          <w:tab w:val="num" w:pos="5827" w:leader="none"/>
        </w:tabs>
      </w:pPr>
      <w:rPr>
        <w:rFonts w:ascii="Courier New" w:hAnsi="Courier New" w:cs="Courier New"/>
      </w:rPr>
    </w:lvl>
    <w:lvl w:ilvl="8">
      <w:start w:val="1"/>
      <w:numFmt w:val="bullet"/>
      <w:isLgl w:val="false"/>
      <w:suff w:val="tab"/>
      <w:lvlText w:val=""/>
      <w:lvlJc w:val="left"/>
      <w:pPr>
        <w:ind w:left="6547" w:hanging="360"/>
        <w:tabs>
          <w:tab w:val="num" w:pos="6547" w:leader="none"/>
        </w:tabs>
      </w:pPr>
      <w:rPr>
        <w:rFonts w:ascii="Wingdings" w:hAnsi="Wingdings"/>
      </w:rPr>
    </w:lvl>
  </w:abstractNum>
  <w:abstractNum w:abstractNumId="143">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4">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5">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6">
    <w:multiLevelType w:val="hybridMultilevel"/>
    <w:lvl w:ilvl="0">
      <w:start w:val="1"/>
      <w:numFmt w:val="bullet"/>
      <w:isLgl w:val="false"/>
      <w:suff w:val="tab"/>
      <w:lvlText w:val=""/>
      <w:lvlJc w:val="left"/>
      <w:pPr>
        <w:ind w:left="1080" w:hanging="360"/>
        <w:tabs>
          <w:tab w:val="num" w:pos="1080" w:leader="none"/>
        </w:tabs>
      </w:pPr>
      <w:rPr>
        <w:rFonts w:ascii="Symbol" w:hAnsi="Symbol"/>
      </w:rPr>
    </w:lvl>
    <w:lvl w:ilvl="1">
      <w:start w:val="1"/>
      <w:numFmt w:val="bullet"/>
      <w:isLgl w:val="false"/>
      <w:suff w:val="tab"/>
      <w:lvlText w:val="o"/>
      <w:lvlJc w:val="left"/>
      <w:pPr>
        <w:ind w:left="1800" w:hanging="360"/>
        <w:tabs>
          <w:tab w:val="num" w:pos="1800" w:leader="none"/>
        </w:tabs>
      </w:pPr>
      <w:rPr>
        <w:rFonts w:ascii="Courier New" w:hAnsi="Courier New" w:cs="Courier New"/>
      </w:rPr>
    </w:lvl>
    <w:lvl w:ilvl="2">
      <w:start w:val="1"/>
      <w:numFmt w:val="bullet"/>
      <w:isLgl w:val="false"/>
      <w:suff w:val="tab"/>
      <w:lvlText w:val=""/>
      <w:lvlJc w:val="left"/>
      <w:pPr>
        <w:ind w:left="2520" w:hanging="360"/>
        <w:tabs>
          <w:tab w:val="num" w:pos="2520" w:leader="none"/>
        </w:tabs>
      </w:pPr>
      <w:rPr>
        <w:rFonts w:ascii="Wingdings" w:hAnsi="Wingdings"/>
      </w:rPr>
    </w:lvl>
    <w:lvl w:ilvl="3">
      <w:start w:val="1"/>
      <w:numFmt w:val="bullet"/>
      <w:isLgl w:val="false"/>
      <w:suff w:val="tab"/>
      <w:lvlText w:val=""/>
      <w:lvlJc w:val="left"/>
      <w:pPr>
        <w:ind w:left="3240" w:hanging="360"/>
        <w:tabs>
          <w:tab w:val="num" w:pos="3240" w:leader="none"/>
        </w:tabs>
      </w:pPr>
      <w:rPr>
        <w:rFonts w:ascii="Symbol" w:hAnsi="Symbol"/>
      </w:rPr>
    </w:lvl>
    <w:lvl w:ilvl="4">
      <w:start w:val="1"/>
      <w:numFmt w:val="bullet"/>
      <w:isLgl w:val="false"/>
      <w:suff w:val="tab"/>
      <w:lvlText w:val="o"/>
      <w:lvlJc w:val="left"/>
      <w:pPr>
        <w:ind w:left="3960" w:hanging="360"/>
        <w:tabs>
          <w:tab w:val="num" w:pos="3960" w:leader="none"/>
        </w:tabs>
      </w:pPr>
      <w:rPr>
        <w:rFonts w:ascii="Courier New" w:hAnsi="Courier New" w:cs="Courier New"/>
      </w:rPr>
    </w:lvl>
    <w:lvl w:ilvl="5">
      <w:start w:val="1"/>
      <w:numFmt w:val="bullet"/>
      <w:isLgl w:val="false"/>
      <w:suff w:val="tab"/>
      <w:lvlText w:val=""/>
      <w:lvlJc w:val="left"/>
      <w:pPr>
        <w:ind w:left="4680" w:hanging="360"/>
        <w:tabs>
          <w:tab w:val="num" w:pos="4680" w:leader="none"/>
        </w:tabs>
      </w:pPr>
      <w:rPr>
        <w:rFonts w:ascii="Wingdings" w:hAnsi="Wingdings"/>
      </w:rPr>
    </w:lvl>
    <w:lvl w:ilvl="6">
      <w:start w:val="1"/>
      <w:numFmt w:val="bullet"/>
      <w:isLgl w:val="false"/>
      <w:suff w:val="tab"/>
      <w:lvlText w:val=""/>
      <w:lvlJc w:val="left"/>
      <w:pPr>
        <w:ind w:left="5400" w:hanging="360"/>
        <w:tabs>
          <w:tab w:val="num" w:pos="5400" w:leader="none"/>
        </w:tabs>
      </w:pPr>
      <w:rPr>
        <w:rFonts w:ascii="Symbol" w:hAnsi="Symbol"/>
      </w:rPr>
    </w:lvl>
    <w:lvl w:ilvl="7">
      <w:start w:val="1"/>
      <w:numFmt w:val="bullet"/>
      <w:isLgl w:val="false"/>
      <w:suff w:val="tab"/>
      <w:lvlText w:val="o"/>
      <w:lvlJc w:val="left"/>
      <w:pPr>
        <w:ind w:left="6120" w:hanging="360"/>
        <w:tabs>
          <w:tab w:val="num" w:pos="6120" w:leader="none"/>
        </w:tabs>
      </w:pPr>
      <w:rPr>
        <w:rFonts w:ascii="Courier New" w:hAnsi="Courier New" w:cs="Courier New"/>
      </w:rPr>
    </w:lvl>
    <w:lvl w:ilvl="8">
      <w:start w:val="1"/>
      <w:numFmt w:val="bullet"/>
      <w:isLgl w:val="false"/>
      <w:suff w:val="tab"/>
      <w:lvlText w:val=""/>
      <w:lvlJc w:val="left"/>
      <w:pPr>
        <w:ind w:left="6840" w:hanging="360"/>
        <w:tabs>
          <w:tab w:val="num" w:pos="6840" w:leader="none"/>
        </w:tabs>
      </w:pPr>
      <w:rPr>
        <w:rFonts w:ascii="Wingdings" w:hAnsi="Wingdings"/>
      </w:rPr>
    </w:lvl>
  </w:abstractNum>
  <w:abstractNum w:abstractNumId="147">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8">
    <w:multiLevelType w:val="hybridMultilevel"/>
    <w:lvl w:ilvl="0">
      <w:start w:val="1"/>
      <w:numFmt w:val="bullet"/>
      <w:isLgl w:val="false"/>
      <w:suff w:val="tab"/>
      <w:lvlText w:val=""/>
      <w:lvlJc w:val="left"/>
      <w:pPr>
        <w:ind w:left="900" w:hanging="360"/>
        <w:tabs>
          <w:tab w:val="num" w:pos="900" w:leader="none"/>
        </w:tabs>
      </w:pPr>
      <w:rPr>
        <w:rFonts w:ascii="Wingdings" w:hAnsi="Wingdings"/>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9">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5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1">
    <w:multiLevelType w:val="hybridMultilevel"/>
    <w:lvl w:ilvl="0">
      <w:start w:val="3"/>
      <w:numFmt w:val="decimal"/>
      <w:isLgl w:val="false"/>
      <w:suff w:val="tab"/>
      <w:lvlText w:val="%1."/>
      <w:lvlJc w:val="left"/>
      <w:pPr>
        <w:ind w:left="540" w:hanging="540"/>
        <w:tabs>
          <w:tab w:val="num" w:pos="540" w:leader="none"/>
        </w:tabs>
      </w:pPr>
      <w:rPr>
        <w:rFonts w:cs="Times New Roman"/>
      </w:rPr>
    </w:lvl>
    <w:lvl w:ilvl="1">
      <w:start w:val="1"/>
      <w:numFmt w:val="decimal"/>
      <w:isLgl w:val="false"/>
      <w:suff w:val="tab"/>
      <w:lvlText w:val="%1.%2."/>
      <w:lvlJc w:val="left"/>
      <w:pPr>
        <w:ind w:left="540" w:hanging="540"/>
        <w:tabs>
          <w:tab w:val="num" w:pos="540" w:leader="none"/>
        </w:tabs>
      </w:pPr>
      <w:rPr>
        <w:rFonts w:cs="Times New Roman"/>
      </w:rPr>
    </w:lvl>
    <w:lvl w:ilvl="2">
      <w:start w:val="7"/>
      <w:numFmt w:val="decimal"/>
      <w:isLgl w:val="false"/>
      <w:suff w:val="tab"/>
      <w:lvlText w:val="%1.%2.%3."/>
      <w:lvlJc w:val="left"/>
      <w:pPr>
        <w:ind w:left="720" w:hanging="720"/>
        <w:tabs>
          <w:tab w:val="num" w:pos="720" w:leader="none"/>
        </w:tabs>
      </w:pPr>
      <w:rPr>
        <w:rFonts w:cs="Times New Roman"/>
      </w:rPr>
    </w:lvl>
    <w:lvl w:ilvl="3">
      <w:start w:val="1"/>
      <w:numFmt w:val="decimal"/>
      <w:isLgl w:val="false"/>
      <w:suff w:val="tab"/>
      <w:lvlText w:val="%1.%2.%3.%4."/>
      <w:lvlJc w:val="left"/>
      <w:pPr>
        <w:ind w:left="720" w:hanging="720"/>
        <w:tabs>
          <w:tab w:val="num" w:pos="720" w:leader="none"/>
        </w:tabs>
      </w:pPr>
      <w:rPr>
        <w:rFonts w:cs="Times New Roman"/>
      </w:rPr>
    </w:lvl>
    <w:lvl w:ilvl="4">
      <w:start w:val="1"/>
      <w:numFmt w:val="decimal"/>
      <w:isLgl w:val="false"/>
      <w:suff w:val="tab"/>
      <w:lvlText w:val="%1.%2.%3.%4.%5."/>
      <w:lvlJc w:val="left"/>
      <w:pPr>
        <w:ind w:left="1080" w:hanging="1080"/>
        <w:tabs>
          <w:tab w:val="num" w:pos="1080" w:leader="none"/>
        </w:tabs>
      </w:pPr>
      <w:rPr>
        <w:rFonts w:cs="Times New Roman"/>
      </w:rPr>
    </w:lvl>
    <w:lvl w:ilvl="5">
      <w:start w:val="1"/>
      <w:numFmt w:val="decimal"/>
      <w:isLgl w:val="false"/>
      <w:suff w:val="tab"/>
      <w:lvlText w:val="%1.%2.%3.%4.%5.%6."/>
      <w:lvlJc w:val="left"/>
      <w:pPr>
        <w:ind w:left="1080" w:hanging="1080"/>
        <w:tabs>
          <w:tab w:val="num" w:pos="1080" w:leader="none"/>
        </w:tabs>
      </w:pPr>
      <w:rPr>
        <w:rFonts w:cs="Times New Roman"/>
      </w:rPr>
    </w:lvl>
    <w:lvl w:ilvl="6">
      <w:start w:val="1"/>
      <w:numFmt w:val="decimal"/>
      <w:isLgl w:val="false"/>
      <w:suff w:val="tab"/>
      <w:lvlText w:val="%1.%2.%3.%4.%5.%6.%7."/>
      <w:lvlJc w:val="left"/>
      <w:pPr>
        <w:ind w:left="1440" w:hanging="1440"/>
        <w:tabs>
          <w:tab w:val="num" w:pos="1440" w:leader="none"/>
        </w:tabs>
      </w:pPr>
      <w:rPr>
        <w:rFonts w:cs="Times New Roman"/>
      </w:rPr>
    </w:lvl>
    <w:lvl w:ilvl="7">
      <w:start w:val="1"/>
      <w:numFmt w:val="decimal"/>
      <w:isLgl w:val="false"/>
      <w:suff w:val="tab"/>
      <w:lvlText w:val="%1.%2.%3.%4.%5.%6.%7.%8."/>
      <w:lvlJc w:val="left"/>
      <w:pPr>
        <w:ind w:left="1440" w:hanging="1440"/>
        <w:tabs>
          <w:tab w:val="num" w:pos="1440" w:leader="none"/>
        </w:tabs>
      </w:pPr>
      <w:rPr>
        <w:rFonts w:cs="Times New Roman"/>
      </w:rPr>
    </w:lvl>
    <w:lvl w:ilvl="8">
      <w:start w:val="1"/>
      <w:numFmt w:val="decimal"/>
      <w:isLgl w:val="false"/>
      <w:suff w:val="tab"/>
      <w:lvlText w:val="%1.%2.%3.%4.%5.%6.%7.%8.%9."/>
      <w:lvlJc w:val="left"/>
      <w:pPr>
        <w:ind w:left="1800" w:hanging="1800"/>
        <w:tabs>
          <w:tab w:val="num" w:pos="1800" w:leader="none"/>
        </w:tabs>
      </w:pPr>
      <w:rPr>
        <w:rFonts w:cs="Times New Roman"/>
      </w:rPr>
    </w:lvl>
  </w:abstractNum>
  <w:abstractNum w:abstractNumId="15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3">
    <w:multiLevelType w:val="hybridMultilevel"/>
    <w:lvl w:ilvl="0">
      <w:start w:val="1"/>
      <w:numFmt w:val="decimal"/>
      <w:isLgl w:val="false"/>
      <w:suff w:val="tab"/>
      <w:lvlText w:val="%1."/>
      <w:lvlJc w:val="left"/>
      <w:pPr>
        <w:ind w:left="1080" w:hanging="360"/>
      </w:pPr>
    </w:lvl>
    <w:lvl w:ilvl="1">
      <w:start w:val="1"/>
      <w:numFmt w:val="decimal"/>
      <w:isLgl w:val="false"/>
      <w:suff w:val="tab"/>
      <w:lvlText w:val="%1.%2."/>
      <w:lvlJc w:val="left"/>
      <w:pPr>
        <w:ind w:left="1080" w:hanging="360"/>
      </w:p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440" w:hanging="720"/>
      </w:pPr>
    </w:lvl>
    <w:lvl w:ilvl="4">
      <w:start w:val="1"/>
      <w:numFmt w:val="decimal"/>
      <w:isLgl w:val="false"/>
      <w:suff w:val="tab"/>
      <w:lvlText w:val="%1.%2.%3.%4.%5."/>
      <w:lvlJc w:val="left"/>
      <w:pPr>
        <w:ind w:left="1800" w:hanging="1080"/>
      </w:pPr>
    </w:lvl>
    <w:lvl w:ilvl="5">
      <w:start w:val="1"/>
      <w:numFmt w:val="decimal"/>
      <w:isLgl w:val="false"/>
      <w:suff w:val="tab"/>
      <w:lvlText w:val="%1.%2.%3.%4.%5.%6."/>
      <w:lvlJc w:val="left"/>
      <w:pPr>
        <w:ind w:left="1800" w:hanging="1080"/>
      </w:pPr>
    </w:lvl>
    <w:lvl w:ilvl="6">
      <w:start w:val="1"/>
      <w:numFmt w:val="decimal"/>
      <w:isLgl w:val="false"/>
      <w:suff w:val="tab"/>
      <w:lvlText w:val="%1.%2.%3.%4.%5.%6.%7."/>
      <w:lvlJc w:val="left"/>
      <w:pPr>
        <w:ind w:left="2160" w:hanging="1440"/>
      </w:pPr>
    </w:lvl>
    <w:lvl w:ilvl="7">
      <w:start w:val="1"/>
      <w:numFmt w:val="decimal"/>
      <w:isLgl w:val="false"/>
      <w:suff w:val="tab"/>
      <w:lvlText w:val="%1.%2.%3.%4.%5.%6.%7.%8."/>
      <w:lvlJc w:val="left"/>
      <w:pPr>
        <w:ind w:left="2160" w:hanging="1440"/>
      </w:pPr>
    </w:lvl>
    <w:lvl w:ilvl="8">
      <w:start w:val="1"/>
      <w:numFmt w:val="decimal"/>
      <w:isLgl w:val="false"/>
      <w:suff w:val="tab"/>
      <w:lvlText w:val="%1.%2.%3.%4.%5.%6.%7.%8.%9."/>
      <w:lvlJc w:val="left"/>
      <w:pPr>
        <w:ind w:left="2520" w:hanging="1800"/>
      </w:pPr>
    </w:lvl>
  </w:abstractNum>
  <w:abstractNum w:abstractNumId="154">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5">
    <w:multiLevelType w:val="hybridMultilevel"/>
    <w:lvl w:ilvl="0">
      <w:start w:val="1"/>
      <w:numFmt w:val="decimal"/>
      <w:isLgl w:val="false"/>
      <w:suff w:val="tab"/>
      <w:lvlText w:val="%1."/>
      <w:lvlJc w:val="left"/>
      <w:pPr>
        <w:ind w:left="720" w:hanging="360"/>
      </w:pPr>
    </w:lvl>
    <w:lvl w:ilvl="1">
      <w:start w:val="2"/>
      <w:numFmt w:val="decimal"/>
      <w:isLgl w:val="false"/>
      <w:suff w:val="tab"/>
      <w:lvlText w:val="%1.%2."/>
      <w:lvlJc w:val="left"/>
      <w:pPr>
        <w:ind w:left="720" w:hanging="360"/>
      </w:p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440" w:hanging="108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1800" w:hanging="1440"/>
      </w:pPr>
    </w:lvl>
  </w:abstractNum>
  <w:abstractNum w:abstractNumId="156">
    <w:multiLevelType w:val="hybridMultilevel"/>
    <w:lvl w:ilvl="0">
      <w:start w:val="1"/>
      <w:numFmt w:val="decimal"/>
      <w:isLgl w:val="false"/>
      <w:suff w:val="tab"/>
      <w:lvlText w:val="%1."/>
      <w:lvlJc w:val="left"/>
      <w:pPr>
        <w:ind w:left="1778" w:hanging="360"/>
      </w:pPr>
    </w:lvl>
    <w:lvl w:ilvl="1">
      <w:start w:val="1"/>
      <w:numFmt w:val="decimal"/>
      <w:isLgl w:val="false"/>
      <w:suff w:val="tab"/>
      <w:lvlText w:val="%1.%2."/>
      <w:lvlJc w:val="left"/>
      <w:pPr>
        <w:ind w:left="1211" w:hanging="360"/>
      </w:pPr>
    </w:lvl>
    <w:lvl w:ilvl="2">
      <w:start w:val="1"/>
      <w:numFmt w:val="decimal"/>
      <w:isLgl w:val="false"/>
      <w:suff w:val="tab"/>
      <w:lvlText w:val="%1.%2.%3."/>
      <w:lvlJc w:val="left"/>
      <w:pPr>
        <w:ind w:left="2062" w:hanging="720"/>
      </w:pPr>
    </w:lvl>
    <w:lvl w:ilvl="3">
      <w:start w:val="1"/>
      <w:numFmt w:val="decimal"/>
      <w:isLgl w:val="false"/>
      <w:suff w:val="tab"/>
      <w:lvlText w:val="%1.%2.%3.%4."/>
      <w:lvlJc w:val="left"/>
      <w:pPr>
        <w:ind w:left="2553" w:hanging="720"/>
      </w:pPr>
    </w:lvl>
    <w:lvl w:ilvl="4">
      <w:start w:val="1"/>
      <w:numFmt w:val="decimal"/>
      <w:isLgl w:val="false"/>
      <w:suff w:val="tab"/>
      <w:lvlText w:val="%1.%2.%3.%4.%5."/>
      <w:lvlJc w:val="left"/>
      <w:pPr>
        <w:ind w:left="3404" w:hanging="1080"/>
      </w:pPr>
    </w:lvl>
    <w:lvl w:ilvl="5">
      <w:start w:val="1"/>
      <w:numFmt w:val="decimal"/>
      <w:isLgl w:val="false"/>
      <w:suff w:val="tab"/>
      <w:lvlText w:val="%1.%2.%3.%4.%5.%6."/>
      <w:lvlJc w:val="left"/>
      <w:pPr>
        <w:ind w:left="3895" w:hanging="1080"/>
      </w:pPr>
    </w:lvl>
    <w:lvl w:ilvl="6">
      <w:start w:val="1"/>
      <w:numFmt w:val="decimal"/>
      <w:isLgl w:val="false"/>
      <w:suff w:val="tab"/>
      <w:lvlText w:val="%1.%2.%3.%4.%5.%6.%7."/>
      <w:lvlJc w:val="left"/>
      <w:pPr>
        <w:ind w:left="4746" w:hanging="1440"/>
      </w:pPr>
    </w:lvl>
    <w:lvl w:ilvl="7">
      <w:start w:val="1"/>
      <w:numFmt w:val="decimal"/>
      <w:isLgl w:val="false"/>
      <w:suff w:val="tab"/>
      <w:lvlText w:val="%1.%2.%3.%4.%5.%6.%7.%8."/>
      <w:lvlJc w:val="left"/>
      <w:pPr>
        <w:ind w:left="5237" w:hanging="1440"/>
      </w:pPr>
    </w:lvl>
    <w:lvl w:ilvl="8">
      <w:start w:val="1"/>
      <w:numFmt w:val="decimal"/>
      <w:isLgl w:val="false"/>
      <w:suff w:val="tab"/>
      <w:lvlText w:val="%1.%2.%3.%4.%5.%6.%7.%8.%9."/>
      <w:lvlJc w:val="left"/>
      <w:pPr>
        <w:ind w:left="6088" w:hanging="1800"/>
      </w:pPr>
    </w:lvl>
  </w:abstractNum>
  <w:abstractNum w:abstractNumId="157">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1211" w:hanging="360"/>
      </w:pPr>
    </w:lvl>
    <w:lvl w:ilvl="2">
      <w:start w:val="1"/>
      <w:numFmt w:val="decimal"/>
      <w:isLgl w:val="false"/>
      <w:suff w:val="tab"/>
      <w:lvlText w:val="%1.%2.%3."/>
      <w:lvlJc w:val="left"/>
      <w:pPr>
        <w:ind w:left="2062" w:hanging="720"/>
      </w:pPr>
    </w:lvl>
    <w:lvl w:ilvl="3">
      <w:start w:val="1"/>
      <w:numFmt w:val="decimal"/>
      <w:isLgl w:val="false"/>
      <w:suff w:val="tab"/>
      <w:lvlText w:val="%1.%2.%3.%4."/>
      <w:lvlJc w:val="left"/>
      <w:pPr>
        <w:ind w:left="2553" w:hanging="720"/>
      </w:pPr>
    </w:lvl>
    <w:lvl w:ilvl="4">
      <w:start w:val="1"/>
      <w:numFmt w:val="decimal"/>
      <w:isLgl w:val="false"/>
      <w:suff w:val="tab"/>
      <w:lvlText w:val="%1.%2.%3.%4.%5."/>
      <w:lvlJc w:val="left"/>
      <w:pPr>
        <w:ind w:left="3404" w:hanging="1080"/>
      </w:pPr>
    </w:lvl>
    <w:lvl w:ilvl="5">
      <w:start w:val="1"/>
      <w:numFmt w:val="decimal"/>
      <w:isLgl w:val="false"/>
      <w:suff w:val="tab"/>
      <w:lvlText w:val="%1.%2.%3.%4.%5.%6."/>
      <w:lvlJc w:val="left"/>
      <w:pPr>
        <w:ind w:left="3895" w:hanging="1080"/>
      </w:pPr>
    </w:lvl>
    <w:lvl w:ilvl="6">
      <w:start w:val="1"/>
      <w:numFmt w:val="decimal"/>
      <w:isLgl w:val="false"/>
      <w:suff w:val="tab"/>
      <w:lvlText w:val="%1.%2.%3.%4.%5.%6.%7."/>
      <w:lvlJc w:val="left"/>
      <w:pPr>
        <w:ind w:left="4746" w:hanging="1440"/>
      </w:pPr>
    </w:lvl>
    <w:lvl w:ilvl="7">
      <w:start w:val="1"/>
      <w:numFmt w:val="decimal"/>
      <w:isLgl w:val="false"/>
      <w:suff w:val="tab"/>
      <w:lvlText w:val="%1.%2.%3.%4.%5.%6.%7.%8."/>
      <w:lvlJc w:val="left"/>
      <w:pPr>
        <w:ind w:left="5237" w:hanging="1440"/>
      </w:pPr>
    </w:lvl>
    <w:lvl w:ilvl="8">
      <w:start w:val="1"/>
      <w:numFmt w:val="decimal"/>
      <w:isLgl w:val="false"/>
      <w:suff w:val="tab"/>
      <w:lvlText w:val="%1.%2.%3.%4.%5.%6.%7.%8.%9."/>
      <w:lvlJc w:val="left"/>
      <w:pPr>
        <w:ind w:left="6088" w:hanging="1800"/>
      </w:pPr>
    </w:lvl>
  </w:abstractNum>
  <w:abstractNum w:abstractNumId="15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59">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720" w:hanging="360"/>
      </w:p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800" w:hanging="144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2160" w:hanging="1800"/>
      </w:pPr>
    </w:lvl>
  </w:abstractNum>
  <w:abstractNum w:abstractNumId="160">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0" w:firstLine="0"/>
      </w:pPr>
      <w:rPr>
        <w:b w:val="0"/>
      </w:rPr>
    </w:lvl>
    <w:lvl w:ilvl="2">
      <w:start w:val="1"/>
      <w:numFmt w:val="decimal"/>
      <w:isLgl w:val="false"/>
      <w:suff w:val="tab"/>
      <w:lvlText w:val="%1.%2.%3."/>
      <w:lvlJc w:val="left"/>
      <w:pPr>
        <w:ind w:left="720" w:hanging="360"/>
      </w:pPr>
      <w:rPr>
        <w:b w:val="0"/>
      </w:rPr>
    </w:lvl>
    <w:lvl w:ilvl="3">
      <w:start w:val="1"/>
      <w:numFmt w:val="decimal"/>
      <w:isLgl w:val="false"/>
      <w:suff w:val="tab"/>
      <w:lvlText w:val="%1.%2.%3.%4."/>
      <w:lvlJc w:val="left"/>
      <w:pPr>
        <w:ind w:left="720" w:hanging="360"/>
      </w:pPr>
      <w:rPr>
        <w:b w:val="0"/>
      </w:rPr>
    </w:lvl>
    <w:lvl w:ilvl="4">
      <w:start w:val="1"/>
      <w:numFmt w:val="decimal"/>
      <w:isLgl w:val="false"/>
      <w:suff w:val="tab"/>
      <w:lvlText w:val="%1.%2.%3.%4.%5."/>
      <w:lvlJc w:val="left"/>
      <w:pPr>
        <w:ind w:left="1080" w:hanging="720"/>
      </w:pPr>
      <w:rPr>
        <w:b w:val="0"/>
      </w:rPr>
    </w:lvl>
    <w:lvl w:ilvl="5">
      <w:start w:val="1"/>
      <w:numFmt w:val="decimal"/>
      <w:isLgl w:val="false"/>
      <w:suff w:val="tab"/>
      <w:lvlText w:val="%1.%2.%3.%4.%5.%6."/>
      <w:lvlJc w:val="left"/>
      <w:pPr>
        <w:ind w:left="1080" w:hanging="720"/>
      </w:pPr>
      <w:rPr>
        <w:b w:val="0"/>
      </w:rPr>
    </w:lvl>
    <w:lvl w:ilvl="6">
      <w:start w:val="1"/>
      <w:numFmt w:val="decimal"/>
      <w:isLgl w:val="false"/>
      <w:suff w:val="tab"/>
      <w:lvlText w:val="%1.%2.%3.%4.%5.%6.%7."/>
      <w:lvlJc w:val="left"/>
      <w:pPr>
        <w:ind w:left="1080" w:hanging="720"/>
      </w:pPr>
      <w:rPr>
        <w:b w:val="0"/>
      </w:rPr>
    </w:lvl>
    <w:lvl w:ilvl="7">
      <w:start w:val="1"/>
      <w:numFmt w:val="decimal"/>
      <w:isLgl w:val="false"/>
      <w:suff w:val="tab"/>
      <w:lvlText w:val="%1.%2.%3.%4.%5.%6.%7.%8."/>
      <w:lvlJc w:val="left"/>
      <w:pPr>
        <w:ind w:left="1440" w:hanging="1080"/>
      </w:pPr>
      <w:rPr>
        <w:b w:val="0"/>
      </w:rPr>
    </w:lvl>
    <w:lvl w:ilvl="8">
      <w:start w:val="1"/>
      <w:numFmt w:val="decimal"/>
      <w:isLgl w:val="false"/>
      <w:suff w:val="tab"/>
      <w:lvlText w:val="%1.%2.%3.%4.%5.%6.%7.%8.%9."/>
      <w:lvlJc w:val="left"/>
      <w:pPr>
        <w:ind w:left="1440" w:hanging="1080"/>
      </w:pPr>
      <w:rPr>
        <w:b w:val="0"/>
      </w:rPr>
    </w:lvl>
  </w:abstractNum>
  <w:abstractNum w:abstractNumId="16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6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6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6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6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6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6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68">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69">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7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71">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72">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73">
    <w:multiLevelType w:val="hybridMultilevel"/>
    <w:lvl w:ilvl="0">
      <w:start w:val="1"/>
      <w:numFmt w:val="bullet"/>
      <w:isLgl w:val="false"/>
      <w:suff w:val="tab"/>
      <w:lvlText w:val="·"/>
      <w:lvlJc w:val="left"/>
      <w:pPr>
        <w:ind w:left="1418" w:hanging="360"/>
      </w:pPr>
      <w:rPr>
        <w:rFonts w:hint="default" w:ascii="Symbol" w:hAnsi="Symbol" w:eastAsia="Symbol" w:cs="Symbo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7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75">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176">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77">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78">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79">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80">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8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8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8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8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8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86">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87">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88">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89">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9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91">
    <w:multiLevelType w:val="hybridMultilevel"/>
    <w:lvl w:ilvl="0">
      <w:start w:val="1"/>
      <w:numFmt w:val="bullet"/>
      <w:isLgl w:val="false"/>
      <w:suff w:val="tab"/>
      <w:lvlText w:val="–"/>
      <w:lvlJc w:val="left"/>
      <w:pPr>
        <w:ind w:left="1778" w:hanging="360"/>
      </w:pPr>
      <w:rPr>
        <w:rFonts w:ascii="Arial" w:hAnsi="Arial" w:eastAsia="Arial" w:cs="Arial"/>
      </w:rPr>
    </w:lvl>
    <w:lvl w:ilvl="1">
      <w:start w:val="1"/>
      <w:numFmt w:val="bullet"/>
      <w:isLgl w:val="false"/>
      <w:suff w:val="tab"/>
      <w:lvlText w:val="o"/>
      <w:lvlJc w:val="left"/>
      <w:pPr>
        <w:ind w:left="2498" w:hanging="360"/>
      </w:pPr>
      <w:rPr>
        <w:rFonts w:hint="default" w:ascii="Courier New" w:hAnsi="Courier New" w:eastAsia="Courier New" w:cs="Courier New"/>
      </w:rPr>
    </w:lvl>
    <w:lvl w:ilvl="2">
      <w:start w:val="1"/>
      <w:numFmt w:val="bullet"/>
      <w:isLgl w:val="false"/>
      <w:suff w:val="tab"/>
      <w:lvlText w:val="§"/>
      <w:lvlJc w:val="left"/>
      <w:pPr>
        <w:ind w:left="3218" w:hanging="360"/>
      </w:pPr>
      <w:rPr>
        <w:rFonts w:hint="default" w:ascii="Wingdings" w:hAnsi="Wingdings" w:eastAsia="Wingdings" w:cs="Wingdings"/>
      </w:rPr>
    </w:lvl>
    <w:lvl w:ilvl="3">
      <w:start w:val="1"/>
      <w:numFmt w:val="bullet"/>
      <w:isLgl w:val="false"/>
      <w:suff w:val="tab"/>
      <w:lvlText w:val="·"/>
      <w:lvlJc w:val="left"/>
      <w:pPr>
        <w:ind w:left="3938" w:hanging="360"/>
      </w:pPr>
      <w:rPr>
        <w:rFonts w:hint="default" w:ascii="Symbol" w:hAnsi="Symbol" w:eastAsia="Symbol" w:cs="Symbol"/>
      </w:rPr>
    </w:lvl>
    <w:lvl w:ilvl="4">
      <w:start w:val="1"/>
      <w:numFmt w:val="bullet"/>
      <w:isLgl w:val="false"/>
      <w:suff w:val="tab"/>
      <w:lvlText w:val="o"/>
      <w:lvlJc w:val="left"/>
      <w:pPr>
        <w:ind w:left="4658" w:hanging="360"/>
      </w:pPr>
      <w:rPr>
        <w:rFonts w:hint="default" w:ascii="Courier New" w:hAnsi="Courier New" w:eastAsia="Courier New" w:cs="Courier New"/>
      </w:rPr>
    </w:lvl>
    <w:lvl w:ilvl="5">
      <w:start w:val="1"/>
      <w:numFmt w:val="bullet"/>
      <w:isLgl w:val="false"/>
      <w:suff w:val="tab"/>
      <w:lvlText w:val="§"/>
      <w:lvlJc w:val="left"/>
      <w:pPr>
        <w:ind w:left="5378" w:hanging="360"/>
      </w:pPr>
      <w:rPr>
        <w:rFonts w:hint="default" w:ascii="Wingdings" w:hAnsi="Wingdings" w:eastAsia="Wingdings" w:cs="Wingdings"/>
      </w:rPr>
    </w:lvl>
    <w:lvl w:ilvl="6">
      <w:start w:val="1"/>
      <w:numFmt w:val="bullet"/>
      <w:isLgl w:val="false"/>
      <w:suff w:val="tab"/>
      <w:lvlText w:val="·"/>
      <w:lvlJc w:val="left"/>
      <w:pPr>
        <w:ind w:left="6098" w:hanging="360"/>
      </w:pPr>
      <w:rPr>
        <w:rFonts w:hint="default" w:ascii="Symbol" w:hAnsi="Symbol" w:eastAsia="Symbol" w:cs="Symbol"/>
      </w:rPr>
    </w:lvl>
    <w:lvl w:ilvl="7">
      <w:start w:val="1"/>
      <w:numFmt w:val="bullet"/>
      <w:isLgl w:val="false"/>
      <w:suff w:val="tab"/>
      <w:lvlText w:val="o"/>
      <w:lvlJc w:val="left"/>
      <w:pPr>
        <w:ind w:left="6818" w:hanging="360"/>
      </w:pPr>
      <w:rPr>
        <w:rFonts w:hint="default" w:ascii="Courier New" w:hAnsi="Courier New" w:eastAsia="Courier New" w:cs="Courier New"/>
      </w:rPr>
    </w:lvl>
    <w:lvl w:ilvl="8">
      <w:start w:val="1"/>
      <w:numFmt w:val="bullet"/>
      <w:isLgl w:val="false"/>
      <w:suff w:val="tab"/>
      <w:lvlText w:val="§"/>
      <w:lvlJc w:val="left"/>
      <w:pPr>
        <w:ind w:left="7538" w:hanging="360"/>
      </w:pPr>
      <w:rPr>
        <w:rFonts w:hint="default" w:ascii="Wingdings" w:hAnsi="Wingdings" w:eastAsia="Wingdings" w:cs="Wingdings"/>
      </w:rPr>
    </w:lvl>
  </w:abstractNum>
  <w:abstractNum w:abstractNumId="19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9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9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9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9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9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98">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99">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20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201">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num w:numId="1">
    <w:abstractNumId w:val="5"/>
  </w:num>
  <w:num w:numId="2">
    <w:abstractNumId w:val="0"/>
  </w:num>
  <w:num w:numId="3">
    <w:abstractNumId w:val="16"/>
  </w:num>
  <w:num w:numId="4">
    <w:abstractNumId w:val="12"/>
  </w:num>
  <w:num w:numId="5">
    <w:abstractNumId w:val="11"/>
  </w:num>
  <w:num w:numId="6">
    <w:abstractNumId w:val="18"/>
  </w:num>
  <w:num w:numId="7">
    <w:abstractNumId w:val="22"/>
  </w:num>
  <w:num w:numId="8">
    <w:abstractNumId w:val="14"/>
  </w:num>
  <w:num w:numId="9">
    <w:abstractNumId w:val="19"/>
  </w:num>
  <w:num w:numId="10">
    <w:abstractNumId w:val="2"/>
  </w:num>
  <w:num w:numId="11">
    <w:abstractNumId w:val="6"/>
  </w:num>
  <w:num w:numId="12">
    <w:abstractNumId w:val="4"/>
  </w:num>
  <w:num w:numId="13">
    <w:abstractNumId w:val="13"/>
  </w:num>
  <w:num w:numId="14">
    <w:abstractNumId w:val="20"/>
  </w:num>
  <w:num w:numId="15">
    <w:abstractNumId w:val="15"/>
  </w:num>
  <w:num w:numId="16">
    <w:abstractNumId w:val="9"/>
  </w:num>
  <w:num w:numId="17">
    <w:abstractNumId w:val="7"/>
  </w:num>
  <w:num w:numId="18">
    <w:abstractNumId w:val="1"/>
  </w:num>
  <w:num w:numId="19">
    <w:abstractNumId w:val="7"/>
  </w:num>
  <w:num w:numId="20">
    <w:abstractNumId w:val="21"/>
  </w:num>
  <w:num w:numId="21">
    <w:abstractNumId w:val="8"/>
  </w:num>
  <w:num w:numId="22">
    <w:abstractNumId w:val="17"/>
  </w:num>
  <w:num w:numId="23">
    <w:abstractNumId w:val="10"/>
  </w:num>
  <w:num w:numId="24">
    <w:abstractNumId w:val="3"/>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58"/>
  </w:num>
  <w:num w:numId="63">
    <w:abstractNumId w:val="60"/>
  </w:num>
  <w:num w:numId="64">
    <w:abstractNumId w:val="61"/>
  </w:num>
  <w:num w:numId="65">
    <w:abstractNumId w:val="62"/>
  </w:num>
  <w:num w:numId="66">
    <w:abstractNumId w:val="63"/>
  </w:num>
  <w:num w:numId="67">
    <w:abstractNumId w:val="64"/>
  </w:num>
  <w:num w:numId="68">
    <w:abstractNumId w:val="65"/>
  </w:num>
  <w:num w:numId="69">
    <w:abstractNumId w:val="66"/>
  </w:num>
  <w:num w:numId="70">
    <w:abstractNumId w:val="67"/>
  </w:num>
  <w:num w:numId="71">
    <w:abstractNumId w:val="68"/>
  </w:num>
  <w:num w:numId="72">
    <w:abstractNumId w:val="69"/>
  </w:num>
  <w:num w:numId="73">
    <w:abstractNumId w:val="70"/>
  </w:num>
  <w:num w:numId="74">
    <w:abstractNumId w:val="71"/>
  </w:num>
  <w:num w:numId="75">
    <w:abstractNumId w:val="72"/>
  </w:num>
  <w:num w:numId="76">
    <w:abstractNumId w:val="73"/>
  </w:num>
  <w:num w:numId="77">
    <w:abstractNumId w:val="74"/>
  </w:num>
  <w:num w:numId="78">
    <w:abstractNumId w:val="75"/>
  </w:num>
  <w:num w:numId="79">
    <w:abstractNumId w:val="76"/>
  </w:num>
  <w:num w:numId="80">
    <w:abstractNumId w:val="77"/>
  </w:num>
  <w:num w:numId="81">
    <w:abstractNumId w:val="78"/>
  </w:num>
  <w:num w:numId="82">
    <w:abstractNumId w:val="79"/>
  </w:num>
  <w:num w:numId="83">
    <w:abstractNumId w:val="80"/>
  </w:num>
  <w:num w:numId="84">
    <w:abstractNumId w:val="81"/>
  </w:num>
  <w:num w:numId="85">
    <w:abstractNumId w:val="82"/>
  </w:num>
  <w:num w:numId="86">
    <w:abstractNumId w:val="83"/>
  </w:num>
  <w:num w:numId="87">
    <w:abstractNumId w:val="84"/>
  </w:num>
  <w:num w:numId="88">
    <w:abstractNumId w:val="85"/>
  </w:num>
  <w:num w:numId="89">
    <w:abstractNumId w:val="86"/>
  </w:num>
  <w:num w:numId="90">
    <w:abstractNumId w:val="87"/>
  </w:num>
  <w:num w:numId="91">
    <w:abstractNumId w:val="88"/>
  </w:num>
  <w:num w:numId="92">
    <w:abstractNumId w:val="89"/>
  </w:num>
  <w:num w:numId="93">
    <w:abstractNumId w:val="90"/>
  </w:num>
  <w:num w:numId="94">
    <w:abstractNumId w:val="91"/>
  </w:num>
  <w:num w:numId="95">
    <w:abstractNumId w:val="92"/>
  </w:num>
  <w:num w:numId="96">
    <w:abstractNumId w:val="93"/>
  </w:num>
  <w:num w:numId="97">
    <w:abstractNumId w:val="94"/>
  </w:num>
  <w:num w:numId="98">
    <w:abstractNumId w:val="95"/>
  </w:num>
  <w:num w:numId="99">
    <w:abstractNumId w:val="96"/>
  </w:num>
  <w:num w:numId="100">
    <w:abstractNumId w:val="97"/>
  </w:num>
  <w:num w:numId="101">
    <w:abstractNumId w:val="98"/>
  </w:num>
  <w:num w:numId="102">
    <w:abstractNumId w:val="99"/>
  </w:num>
  <w:num w:numId="103">
    <w:abstractNumId w:val="100"/>
  </w:num>
  <w:num w:numId="104">
    <w:abstractNumId w:val="101"/>
  </w:num>
  <w:num w:numId="105">
    <w:abstractNumId w:val="102"/>
  </w:num>
  <w:num w:numId="106">
    <w:abstractNumId w:val="103"/>
  </w:num>
  <w:num w:numId="107">
    <w:abstractNumId w:val="104"/>
  </w:num>
  <w:num w:numId="108">
    <w:abstractNumId w:val="105"/>
  </w:num>
  <w:num w:numId="109">
    <w:abstractNumId w:val="106"/>
  </w:num>
  <w:num w:numId="110">
    <w:abstractNumId w:val="107"/>
  </w:num>
  <w:num w:numId="111">
    <w:abstractNumId w:val="108"/>
  </w:num>
  <w:num w:numId="112">
    <w:abstractNumId w:val="109"/>
  </w:num>
  <w:num w:numId="113">
    <w:abstractNumId w:val="110"/>
  </w:num>
  <w:num w:numId="114">
    <w:abstractNumId w:val="111"/>
  </w:num>
  <w:num w:numId="115">
    <w:abstractNumId w:val="112"/>
  </w:num>
  <w:num w:numId="116">
    <w:abstractNumId w:val="113"/>
  </w:num>
  <w:num w:numId="117">
    <w:abstractNumId w:val="112"/>
  </w:num>
  <w:num w:numId="118">
    <w:abstractNumId w:val="114"/>
  </w:num>
  <w:num w:numId="119">
    <w:abstractNumId w:val="115"/>
  </w:num>
  <w:num w:numId="120">
    <w:abstractNumId w:val="116"/>
  </w:num>
  <w:num w:numId="121">
    <w:abstractNumId w:val="117"/>
  </w:num>
  <w:num w:numId="122">
    <w:abstractNumId w:val="118"/>
  </w:num>
  <w:num w:numId="123">
    <w:abstractNumId w:val="119"/>
  </w:num>
  <w:num w:numId="124">
    <w:abstractNumId w:val="120"/>
  </w:num>
  <w:num w:numId="125">
    <w:abstractNumId w:val="121"/>
  </w:num>
  <w:num w:numId="126">
    <w:abstractNumId w:val="122"/>
  </w:num>
  <w:num w:numId="127">
    <w:abstractNumId w:val="123"/>
  </w:num>
  <w:num w:numId="128">
    <w:abstractNumId w:val="124"/>
  </w:num>
  <w:num w:numId="129">
    <w:abstractNumId w:val="125"/>
  </w:num>
  <w:num w:numId="130">
    <w:abstractNumId w:val="126"/>
  </w:num>
  <w:num w:numId="131">
    <w:abstractNumId w:val="127"/>
  </w:num>
  <w:num w:numId="132">
    <w:abstractNumId w:val="128"/>
  </w:num>
  <w:num w:numId="133">
    <w:abstractNumId w:val="129"/>
  </w:num>
  <w:num w:numId="134">
    <w:abstractNumId w:val="130"/>
  </w:num>
  <w:num w:numId="135">
    <w:abstractNumId w:val="131"/>
  </w:num>
  <w:num w:numId="136">
    <w:abstractNumId w:val="132"/>
  </w:num>
  <w:num w:numId="137">
    <w:abstractNumId w:val="133"/>
  </w:num>
  <w:num w:numId="138">
    <w:abstractNumId w:val="134"/>
  </w:num>
  <w:num w:numId="139">
    <w:abstractNumId w:val="135"/>
  </w:num>
  <w:num w:numId="140">
    <w:abstractNumId w:val="136"/>
  </w:num>
  <w:num w:numId="141">
    <w:abstractNumId w:val="137"/>
  </w:num>
  <w:num w:numId="142">
    <w:abstractNumId w:val="138"/>
  </w:num>
  <w:num w:numId="143">
    <w:abstractNumId w:val="139"/>
  </w:num>
  <w:num w:numId="144">
    <w:abstractNumId w:val="140"/>
  </w:num>
  <w:num w:numId="145">
    <w:abstractNumId w:val="141"/>
  </w:num>
  <w:num w:numId="146">
    <w:abstractNumId w:val="142"/>
  </w:num>
  <w:num w:numId="147">
    <w:abstractNumId w:val="143"/>
  </w:num>
  <w:num w:numId="148">
    <w:abstractNumId w:val="144"/>
  </w:num>
  <w:num w:numId="149">
    <w:abstractNumId w:val="145"/>
  </w:num>
  <w:num w:numId="150">
    <w:abstractNumId w:val="146"/>
  </w:num>
  <w:num w:numId="151">
    <w:abstractNumId w:val="147"/>
  </w:num>
  <w:num w:numId="152">
    <w:abstractNumId w:val="148"/>
  </w:num>
  <w:num w:numId="153">
    <w:abstractNumId w:val="149"/>
  </w:num>
  <w:num w:numId="154">
    <w:abstractNumId w:val="150"/>
  </w:num>
  <w:num w:numId="155">
    <w:abstractNumId w:val="151"/>
  </w:num>
  <w:num w:numId="156">
    <w:abstractNumId w:val="152"/>
  </w:num>
  <w:num w:numId="157">
    <w:abstractNumId w:val="153"/>
  </w:num>
  <w:num w:numId="158">
    <w:abstractNumId w:val="154"/>
  </w:num>
  <w:num w:numId="159">
    <w:abstractNumId w:val="155"/>
  </w:num>
  <w:num w:numId="160">
    <w:abstractNumId w:val="154"/>
  </w:num>
  <w:num w:numId="161">
    <w:abstractNumId w:val="156"/>
  </w:num>
  <w:num w:numId="162">
    <w:abstractNumId w:val="157"/>
  </w:num>
  <w:num w:numId="163">
    <w:abstractNumId w:val="158"/>
  </w:num>
  <w:num w:numId="164">
    <w:abstractNumId w:val="159"/>
  </w:num>
  <w:num w:numId="165">
    <w:abstractNumId w:val="160"/>
  </w:num>
  <w:num w:numId="166">
    <w:abstractNumId w:val="161"/>
  </w:num>
  <w:num w:numId="167">
    <w:abstractNumId w:val="162"/>
  </w:num>
  <w:num w:numId="168">
    <w:abstractNumId w:val="163"/>
  </w:num>
  <w:num w:numId="169">
    <w:abstractNumId w:val="164"/>
  </w:num>
  <w:num w:numId="170">
    <w:abstractNumId w:val="165"/>
  </w:num>
  <w:num w:numId="171">
    <w:abstractNumId w:val="166"/>
  </w:num>
  <w:num w:numId="172">
    <w:abstractNumId w:val="167"/>
  </w:num>
  <w:num w:numId="173">
    <w:abstractNumId w:val="168"/>
  </w:num>
  <w:num w:numId="174">
    <w:abstractNumId w:val="169"/>
  </w:num>
  <w:num w:numId="175">
    <w:abstractNumId w:val="170"/>
  </w:num>
  <w:num w:numId="176">
    <w:abstractNumId w:val="171"/>
  </w:num>
  <w:num w:numId="177">
    <w:abstractNumId w:val="172"/>
  </w:num>
  <w:num w:numId="178">
    <w:abstractNumId w:val="173"/>
  </w:num>
  <w:num w:numId="179">
    <w:abstractNumId w:val="174"/>
  </w:num>
  <w:num w:numId="180">
    <w:abstractNumId w:val="175"/>
  </w:num>
  <w:num w:numId="181">
    <w:abstractNumId w:val="176"/>
  </w:num>
  <w:num w:numId="182">
    <w:abstractNumId w:val="177"/>
  </w:num>
  <w:num w:numId="183">
    <w:abstractNumId w:val="178"/>
  </w:num>
  <w:num w:numId="184">
    <w:abstractNumId w:val="179"/>
  </w:num>
  <w:num w:numId="185">
    <w:abstractNumId w:val="180"/>
  </w:num>
  <w:num w:numId="186">
    <w:abstractNumId w:val="181"/>
  </w:num>
  <w:num w:numId="187">
    <w:abstractNumId w:val="182"/>
  </w:num>
  <w:num w:numId="188">
    <w:abstractNumId w:val="183"/>
  </w:num>
  <w:num w:numId="189">
    <w:abstractNumId w:val="184"/>
  </w:num>
  <w:num w:numId="190">
    <w:abstractNumId w:val="185"/>
  </w:num>
  <w:num w:numId="191">
    <w:abstractNumId w:val="186"/>
  </w:num>
  <w:num w:numId="192">
    <w:abstractNumId w:val="187"/>
  </w:num>
  <w:num w:numId="193">
    <w:abstractNumId w:val="188"/>
  </w:num>
  <w:num w:numId="194">
    <w:abstractNumId w:val="189"/>
  </w:num>
  <w:num w:numId="195">
    <w:abstractNumId w:val="190"/>
  </w:num>
  <w:num w:numId="196">
    <w:abstractNumId w:val="191"/>
  </w:num>
  <w:num w:numId="197">
    <w:abstractNumId w:val="192"/>
  </w:num>
  <w:num w:numId="198">
    <w:abstractNumId w:val="193"/>
  </w:num>
  <w:num w:numId="199">
    <w:abstractNumId w:val="194"/>
  </w:num>
  <w:num w:numId="200">
    <w:abstractNumId w:val="195"/>
  </w:num>
  <w:num w:numId="201">
    <w:abstractNumId w:val="196"/>
  </w:num>
  <w:num w:numId="202">
    <w:abstractNumId w:val="197"/>
  </w:num>
  <w:num w:numId="203">
    <w:abstractNumId w:val="198"/>
  </w:num>
  <w:num w:numId="204">
    <w:abstractNumId w:val="199"/>
  </w:num>
  <w:num w:numId="205">
    <w:abstractNumId w:val="200"/>
  </w:num>
  <w:num w:numId="206">
    <w:abstractNumId w:val="2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46">
    <w:name w:val="Heading 1"/>
    <w:basedOn w:val="1424"/>
    <w:next w:val="1424"/>
    <w:link w:val="1247"/>
    <w:uiPriority w:val="9"/>
    <w:qFormat/>
    <w:pPr>
      <w:keepLines/>
      <w:keepNext/>
      <w:spacing w:before="480" w:after="200"/>
      <w:outlineLvl w:val="0"/>
    </w:pPr>
    <w:rPr>
      <w:rFonts w:ascii="Arial" w:hAnsi="Arial" w:eastAsia="Arial" w:cs="Arial"/>
      <w:sz w:val="40"/>
      <w:szCs w:val="40"/>
    </w:rPr>
  </w:style>
  <w:style w:type="character" w:styleId="1247">
    <w:name w:val="Heading 1 Char"/>
    <w:link w:val="1246"/>
    <w:uiPriority w:val="9"/>
    <w:rPr>
      <w:rFonts w:ascii="Arial" w:hAnsi="Arial" w:eastAsia="Arial" w:cs="Arial"/>
      <w:sz w:val="40"/>
      <w:szCs w:val="40"/>
    </w:rPr>
  </w:style>
  <w:style w:type="paragraph" w:styleId="1248">
    <w:name w:val="Heading 2"/>
    <w:basedOn w:val="1424"/>
    <w:next w:val="1424"/>
    <w:link w:val="1249"/>
    <w:uiPriority w:val="9"/>
    <w:unhideWhenUsed/>
    <w:qFormat/>
    <w:pPr>
      <w:keepLines/>
      <w:keepNext/>
      <w:spacing w:before="360" w:after="200"/>
      <w:outlineLvl w:val="1"/>
    </w:pPr>
    <w:rPr>
      <w:rFonts w:ascii="Arial" w:hAnsi="Arial" w:eastAsia="Arial" w:cs="Arial"/>
      <w:sz w:val="34"/>
    </w:rPr>
  </w:style>
  <w:style w:type="character" w:styleId="1249">
    <w:name w:val="Heading 2 Char"/>
    <w:link w:val="1248"/>
    <w:uiPriority w:val="9"/>
    <w:rPr>
      <w:rFonts w:ascii="Arial" w:hAnsi="Arial" w:eastAsia="Arial" w:cs="Arial"/>
      <w:sz w:val="34"/>
    </w:rPr>
  </w:style>
  <w:style w:type="paragraph" w:styleId="1250">
    <w:name w:val="Heading 3"/>
    <w:basedOn w:val="1424"/>
    <w:next w:val="1424"/>
    <w:link w:val="1251"/>
    <w:uiPriority w:val="9"/>
    <w:unhideWhenUsed/>
    <w:qFormat/>
    <w:pPr>
      <w:keepLines/>
      <w:keepNext/>
      <w:spacing w:before="320" w:after="200"/>
      <w:outlineLvl w:val="2"/>
    </w:pPr>
    <w:rPr>
      <w:rFonts w:ascii="Arial" w:hAnsi="Arial" w:eastAsia="Arial" w:cs="Arial"/>
      <w:sz w:val="30"/>
      <w:szCs w:val="30"/>
    </w:rPr>
  </w:style>
  <w:style w:type="character" w:styleId="1251">
    <w:name w:val="Heading 3 Char"/>
    <w:link w:val="1250"/>
    <w:uiPriority w:val="9"/>
    <w:rPr>
      <w:rFonts w:ascii="Arial" w:hAnsi="Arial" w:eastAsia="Arial" w:cs="Arial"/>
      <w:sz w:val="30"/>
      <w:szCs w:val="30"/>
    </w:rPr>
  </w:style>
  <w:style w:type="paragraph" w:styleId="1252">
    <w:name w:val="Heading 4"/>
    <w:basedOn w:val="1424"/>
    <w:next w:val="1424"/>
    <w:link w:val="1253"/>
    <w:uiPriority w:val="9"/>
    <w:unhideWhenUsed/>
    <w:qFormat/>
    <w:pPr>
      <w:keepLines/>
      <w:keepNext/>
      <w:spacing w:before="320" w:after="200"/>
      <w:outlineLvl w:val="3"/>
    </w:pPr>
    <w:rPr>
      <w:rFonts w:ascii="Arial" w:hAnsi="Arial" w:eastAsia="Arial" w:cs="Arial"/>
      <w:b/>
      <w:bCs/>
      <w:sz w:val="26"/>
      <w:szCs w:val="26"/>
    </w:rPr>
  </w:style>
  <w:style w:type="character" w:styleId="1253">
    <w:name w:val="Heading 4 Char"/>
    <w:link w:val="1252"/>
    <w:uiPriority w:val="9"/>
    <w:rPr>
      <w:rFonts w:ascii="Arial" w:hAnsi="Arial" w:eastAsia="Arial" w:cs="Arial"/>
      <w:b/>
      <w:bCs/>
      <w:sz w:val="26"/>
      <w:szCs w:val="26"/>
    </w:rPr>
  </w:style>
  <w:style w:type="paragraph" w:styleId="1254">
    <w:name w:val="Heading 5"/>
    <w:basedOn w:val="1424"/>
    <w:next w:val="1424"/>
    <w:link w:val="1255"/>
    <w:uiPriority w:val="9"/>
    <w:unhideWhenUsed/>
    <w:qFormat/>
    <w:pPr>
      <w:keepLines/>
      <w:keepNext/>
      <w:spacing w:before="320" w:after="200"/>
      <w:outlineLvl w:val="4"/>
    </w:pPr>
    <w:rPr>
      <w:rFonts w:ascii="Arial" w:hAnsi="Arial" w:eastAsia="Arial" w:cs="Arial"/>
      <w:b/>
      <w:bCs/>
      <w:sz w:val="24"/>
      <w:szCs w:val="24"/>
    </w:rPr>
  </w:style>
  <w:style w:type="character" w:styleId="1255">
    <w:name w:val="Heading 5 Char"/>
    <w:link w:val="1254"/>
    <w:uiPriority w:val="9"/>
    <w:rPr>
      <w:rFonts w:ascii="Arial" w:hAnsi="Arial" w:eastAsia="Arial" w:cs="Arial"/>
      <w:b/>
      <w:bCs/>
      <w:sz w:val="24"/>
      <w:szCs w:val="24"/>
    </w:rPr>
  </w:style>
  <w:style w:type="paragraph" w:styleId="1256">
    <w:name w:val="Heading 6"/>
    <w:basedOn w:val="1424"/>
    <w:next w:val="1424"/>
    <w:link w:val="1257"/>
    <w:uiPriority w:val="9"/>
    <w:unhideWhenUsed/>
    <w:qFormat/>
    <w:pPr>
      <w:keepLines/>
      <w:keepNext/>
      <w:spacing w:before="320" w:after="200"/>
      <w:outlineLvl w:val="5"/>
    </w:pPr>
    <w:rPr>
      <w:rFonts w:ascii="Arial" w:hAnsi="Arial" w:eastAsia="Arial" w:cs="Arial"/>
      <w:b/>
      <w:bCs/>
      <w:sz w:val="22"/>
      <w:szCs w:val="22"/>
    </w:rPr>
  </w:style>
  <w:style w:type="character" w:styleId="1257">
    <w:name w:val="Heading 6 Char"/>
    <w:link w:val="1256"/>
    <w:uiPriority w:val="9"/>
    <w:rPr>
      <w:rFonts w:ascii="Arial" w:hAnsi="Arial" w:eastAsia="Arial" w:cs="Arial"/>
      <w:b/>
      <w:bCs/>
      <w:sz w:val="22"/>
      <w:szCs w:val="22"/>
    </w:rPr>
  </w:style>
  <w:style w:type="paragraph" w:styleId="1258">
    <w:name w:val="Heading 7"/>
    <w:basedOn w:val="1424"/>
    <w:next w:val="1424"/>
    <w:link w:val="1259"/>
    <w:uiPriority w:val="9"/>
    <w:unhideWhenUsed/>
    <w:qFormat/>
    <w:pPr>
      <w:keepLines/>
      <w:keepNext/>
      <w:spacing w:before="320" w:after="200"/>
      <w:outlineLvl w:val="6"/>
    </w:pPr>
    <w:rPr>
      <w:rFonts w:ascii="Arial" w:hAnsi="Arial" w:eastAsia="Arial" w:cs="Arial"/>
      <w:b/>
      <w:bCs/>
      <w:i/>
      <w:iCs/>
      <w:sz w:val="22"/>
      <w:szCs w:val="22"/>
    </w:rPr>
  </w:style>
  <w:style w:type="character" w:styleId="1259">
    <w:name w:val="Heading 7 Char"/>
    <w:link w:val="1258"/>
    <w:uiPriority w:val="9"/>
    <w:rPr>
      <w:rFonts w:ascii="Arial" w:hAnsi="Arial" w:eastAsia="Arial" w:cs="Arial"/>
      <w:b/>
      <w:bCs/>
      <w:i/>
      <w:iCs/>
      <w:sz w:val="22"/>
      <w:szCs w:val="22"/>
    </w:rPr>
  </w:style>
  <w:style w:type="paragraph" w:styleId="1260">
    <w:name w:val="Heading 8"/>
    <w:basedOn w:val="1424"/>
    <w:next w:val="1424"/>
    <w:link w:val="1261"/>
    <w:uiPriority w:val="9"/>
    <w:unhideWhenUsed/>
    <w:qFormat/>
    <w:pPr>
      <w:keepLines/>
      <w:keepNext/>
      <w:spacing w:before="320" w:after="200"/>
      <w:outlineLvl w:val="7"/>
    </w:pPr>
    <w:rPr>
      <w:rFonts w:ascii="Arial" w:hAnsi="Arial" w:eastAsia="Arial" w:cs="Arial"/>
      <w:i/>
      <w:iCs/>
      <w:sz w:val="22"/>
      <w:szCs w:val="22"/>
    </w:rPr>
  </w:style>
  <w:style w:type="character" w:styleId="1261">
    <w:name w:val="Heading 8 Char"/>
    <w:link w:val="1260"/>
    <w:uiPriority w:val="9"/>
    <w:rPr>
      <w:rFonts w:ascii="Arial" w:hAnsi="Arial" w:eastAsia="Arial" w:cs="Arial"/>
      <w:i/>
      <w:iCs/>
      <w:sz w:val="22"/>
      <w:szCs w:val="22"/>
    </w:rPr>
  </w:style>
  <w:style w:type="paragraph" w:styleId="1262">
    <w:name w:val="Heading 9"/>
    <w:basedOn w:val="1424"/>
    <w:next w:val="1424"/>
    <w:link w:val="1263"/>
    <w:uiPriority w:val="9"/>
    <w:unhideWhenUsed/>
    <w:qFormat/>
    <w:pPr>
      <w:keepLines/>
      <w:keepNext/>
      <w:spacing w:before="320" w:after="200"/>
      <w:outlineLvl w:val="8"/>
    </w:pPr>
    <w:rPr>
      <w:rFonts w:ascii="Arial" w:hAnsi="Arial" w:eastAsia="Arial" w:cs="Arial"/>
      <w:i/>
      <w:iCs/>
      <w:sz w:val="21"/>
      <w:szCs w:val="21"/>
    </w:rPr>
  </w:style>
  <w:style w:type="character" w:styleId="1263">
    <w:name w:val="Heading 9 Char"/>
    <w:link w:val="1262"/>
    <w:uiPriority w:val="9"/>
    <w:rPr>
      <w:rFonts w:ascii="Arial" w:hAnsi="Arial" w:eastAsia="Arial" w:cs="Arial"/>
      <w:i/>
      <w:iCs/>
      <w:sz w:val="21"/>
      <w:szCs w:val="21"/>
    </w:rPr>
  </w:style>
  <w:style w:type="paragraph" w:styleId="1264">
    <w:name w:val="List Paragraph"/>
    <w:basedOn w:val="1424"/>
    <w:uiPriority w:val="34"/>
    <w:qFormat/>
    <w:pPr>
      <w:contextualSpacing/>
      <w:ind w:left="720"/>
    </w:pPr>
  </w:style>
  <w:style w:type="paragraph" w:styleId="1265">
    <w:name w:val="No Spacing"/>
    <w:uiPriority w:val="1"/>
    <w:qFormat/>
    <w:pPr>
      <w:spacing w:before="0" w:after="0" w:line="240" w:lineRule="auto"/>
    </w:pPr>
  </w:style>
  <w:style w:type="paragraph" w:styleId="1266">
    <w:name w:val="Title"/>
    <w:basedOn w:val="1424"/>
    <w:next w:val="1424"/>
    <w:link w:val="1267"/>
    <w:uiPriority w:val="10"/>
    <w:qFormat/>
    <w:pPr>
      <w:contextualSpacing/>
      <w:spacing w:before="300" w:after="200"/>
    </w:pPr>
    <w:rPr>
      <w:sz w:val="48"/>
      <w:szCs w:val="48"/>
    </w:rPr>
  </w:style>
  <w:style w:type="character" w:styleId="1267">
    <w:name w:val="Title Char"/>
    <w:link w:val="1266"/>
    <w:uiPriority w:val="10"/>
    <w:rPr>
      <w:sz w:val="48"/>
      <w:szCs w:val="48"/>
    </w:rPr>
  </w:style>
  <w:style w:type="paragraph" w:styleId="1268">
    <w:name w:val="Subtitle"/>
    <w:basedOn w:val="1424"/>
    <w:next w:val="1424"/>
    <w:link w:val="1269"/>
    <w:uiPriority w:val="11"/>
    <w:qFormat/>
    <w:pPr>
      <w:spacing w:before="200" w:after="200"/>
    </w:pPr>
    <w:rPr>
      <w:sz w:val="24"/>
      <w:szCs w:val="24"/>
    </w:rPr>
  </w:style>
  <w:style w:type="character" w:styleId="1269">
    <w:name w:val="Subtitle Char"/>
    <w:link w:val="1268"/>
    <w:uiPriority w:val="11"/>
    <w:rPr>
      <w:sz w:val="24"/>
      <w:szCs w:val="24"/>
    </w:rPr>
  </w:style>
  <w:style w:type="paragraph" w:styleId="1270">
    <w:name w:val="Quote"/>
    <w:basedOn w:val="1424"/>
    <w:next w:val="1424"/>
    <w:link w:val="1271"/>
    <w:uiPriority w:val="29"/>
    <w:qFormat/>
    <w:pPr>
      <w:ind w:left="720" w:right="720"/>
    </w:pPr>
    <w:rPr>
      <w:i/>
    </w:rPr>
  </w:style>
  <w:style w:type="character" w:styleId="1271">
    <w:name w:val="Quote Char"/>
    <w:link w:val="1270"/>
    <w:uiPriority w:val="29"/>
    <w:rPr>
      <w:i/>
    </w:rPr>
  </w:style>
  <w:style w:type="paragraph" w:styleId="1272">
    <w:name w:val="Intense Quote"/>
    <w:basedOn w:val="1424"/>
    <w:next w:val="1424"/>
    <w:link w:val="127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273">
    <w:name w:val="Intense Quote Char"/>
    <w:link w:val="1272"/>
    <w:uiPriority w:val="30"/>
    <w:rPr>
      <w:i/>
    </w:rPr>
  </w:style>
  <w:style w:type="paragraph" w:styleId="1274">
    <w:name w:val="Header"/>
    <w:basedOn w:val="1424"/>
    <w:link w:val="1275"/>
    <w:uiPriority w:val="99"/>
    <w:unhideWhenUsed/>
    <w:pPr>
      <w:spacing w:after="0" w:line="240" w:lineRule="auto"/>
      <w:tabs>
        <w:tab w:val="center" w:pos="7143" w:leader="none"/>
        <w:tab w:val="right" w:pos="14287" w:leader="none"/>
      </w:tabs>
    </w:pPr>
  </w:style>
  <w:style w:type="character" w:styleId="1275">
    <w:name w:val="Header Char"/>
    <w:link w:val="1274"/>
    <w:uiPriority w:val="99"/>
  </w:style>
  <w:style w:type="paragraph" w:styleId="1276">
    <w:name w:val="Footer"/>
    <w:basedOn w:val="1424"/>
    <w:link w:val="1277"/>
    <w:uiPriority w:val="99"/>
    <w:unhideWhenUsed/>
    <w:pPr>
      <w:spacing w:after="0" w:line="240" w:lineRule="auto"/>
      <w:tabs>
        <w:tab w:val="center" w:pos="7143" w:leader="none"/>
        <w:tab w:val="right" w:pos="14287" w:leader="none"/>
      </w:tabs>
    </w:pPr>
  </w:style>
  <w:style w:type="character" w:styleId="1277">
    <w:name w:val="Footer Char"/>
    <w:link w:val="1276"/>
    <w:uiPriority w:val="99"/>
  </w:style>
  <w:style w:type="paragraph" w:styleId="1278">
    <w:name w:val="Caption"/>
    <w:basedOn w:val="1424"/>
    <w:next w:val="1424"/>
    <w:link w:val="1279"/>
    <w:uiPriority w:val="35"/>
    <w:semiHidden/>
    <w:unhideWhenUsed/>
    <w:qFormat/>
    <w:pPr>
      <w:spacing w:line="276" w:lineRule="auto"/>
    </w:pPr>
    <w:rPr>
      <w:b/>
      <w:bCs/>
      <w:color w:val="4f81bd" w:themeColor="accent1"/>
      <w:sz w:val="18"/>
      <w:szCs w:val="18"/>
    </w:rPr>
  </w:style>
  <w:style w:type="character" w:styleId="1279">
    <w:name w:val="Caption Char"/>
    <w:link w:val="1278"/>
    <w:uiPriority w:val="35"/>
    <w:rPr>
      <w:b/>
      <w:bCs/>
      <w:color w:val="4f81bd" w:themeColor="accent1"/>
      <w:sz w:val="18"/>
      <w:szCs w:val="18"/>
    </w:rPr>
  </w:style>
  <w:style w:type="table" w:styleId="128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28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28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28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28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28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28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28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28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28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29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29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29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29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29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29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29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29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29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29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30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30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0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0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0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0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0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0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0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30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31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31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31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31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31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31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31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31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31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31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32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32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32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32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32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32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32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32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32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32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33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33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33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33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33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33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33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33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33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33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34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34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34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34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34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34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34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34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34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34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35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35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35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35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35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35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35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35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35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35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36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36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6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6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6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7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37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37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37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37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37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37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37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38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38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38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38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38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38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38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38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38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38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39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39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39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39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39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39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39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39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39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39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40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40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40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40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40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40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406">
    <w:name w:val="Hyperlink"/>
    <w:uiPriority w:val="99"/>
    <w:unhideWhenUsed/>
    <w:rPr>
      <w:color w:val="0000ff" w:themeColor="hyperlink"/>
      <w:u w:val="single"/>
    </w:rPr>
  </w:style>
  <w:style w:type="paragraph" w:styleId="1407">
    <w:name w:val="footnote text"/>
    <w:basedOn w:val="1424"/>
    <w:link w:val="1408"/>
    <w:uiPriority w:val="99"/>
    <w:semiHidden/>
    <w:unhideWhenUsed/>
    <w:pPr>
      <w:spacing w:after="40" w:line="240" w:lineRule="auto"/>
    </w:pPr>
    <w:rPr>
      <w:sz w:val="18"/>
    </w:rPr>
  </w:style>
  <w:style w:type="character" w:styleId="1408">
    <w:name w:val="Footnote Text Char"/>
    <w:link w:val="1407"/>
    <w:uiPriority w:val="99"/>
    <w:rPr>
      <w:sz w:val="18"/>
    </w:rPr>
  </w:style>
  <w:style w:type="character" w:styleId="1409">
    <w:name w:val="footnote reference"/>
    <w:uiPriority w:val="99"/>
    <w:unhideWhenUsed/>
    <w:rPr>
      <w:vertAlign w:val="superscript"/>
    </w:rPr>
  </w:style>
  <w:style w:type="paragraph" w:styleId="1410">
    <w:name w:val="endnote text"/>
    <w:basedOn w:val="1424"/>
    <w:link w:val="1411"/>
    <w:uiPriority w:val="99"/>
    <w:semiHidden/>
    <w:unhideWhenUsed/>
    <w:pPr>
      <w:spacing w:after="0" w:line="240" w:lineRule="auto"/>
    </w:pPr>
    <w:rPr>
      <w:sz w:val="20"/>
    </w:rPr>
  </w:style>
  <w:style w:type="character" w:styleId="1411">
    <w:name w:val="Endnote Text Char"/>
    <w:link w:val="1410"/>
    <w:uiPriority w:val="99"/>
    <w:rPr>
      <w:sz w:val="20"/>
    </w:rPr>
  </w:style>
  <w:style w:type="character" w:styleId="1412">
    <w:name w:val="endnote reference"/>
    <w:uiPriority w:val="99"/>
    <w:semiHidden/>
    <w:unhideWhenUsed/>
    <w:rPr>
      <w:vertAlign w:val="superscript"/>
    </w:rPr>
  </w:style>
  <w:style w:type="paragraph" w:styleId="1413">
    <w:name w:val="toc 1"/>
    <w:basedOn w:val="1424"/>
    <w:next w:val="1424"/>
    <w:uiPriority w:val="39"/>
    <w:unhideWhenUsed/>
    <w:pPr>
      <w:ind w:left="0" w:right="0" w:firstLine="0"/>
      <w:spacing w:after="57"/>
    </w:pPr>
  </w:style>
  <w:style w:type="paragraph" w:styleId="1414">
    <w:name w:val="toc 2"/>
    <w:basedOn w:val="1424"/>
    <w:next w:val="1424"/>
    <w:uiPriority w:val="39"/>
    <w:unhideWhenUsed/>
    <w:pPr>
      <w:ind w:left="283" w:right="0" w:firstLine="0"/>
      <w:spacing w:after="57"/>
    </w:pPr>
  </w:style>
  <w:style w:type="paragraph" w:styleId="1415">
    <w:name w:val="toc 3"/>
    <w:basedOn w:val="1424"/>
    <w:next w:val="1424"/>
    <w:uiPriority w:val="39"/>
    <w:unhideWhenUsed/>
    <w:pPr>
      <w:ind w:left="567" w:right="0" w:firstLine="0"/>
      <w:spacing w:after="57"/>
    </w:pPr>
  </w:style>
  <w:style w:type="paragraph" w:styleId="1416">
    <w:name w:val="toc 4"/>
    <w:basedOn w:val="1424"/>
    <w:next w:val="1424"/>
    <w:uiPriority w:val="39"/>
    <w:unhideWhenUsed/>
    <w:pPr>
      <w:ind w:left="850" w:right="0" w:firstLine="0"/>
      <w:spacing w:after="57"/>
    </w:pPr>
  </w:style>
  <w:style w:type="paragraph" w:styleId="1417">
    <w:name w:val="toc 5"/>
    <w:basedOn w:val="1424"/>
    <w:next w:val="1424"/>
    <w:uiPriority w:val="39"/>
    <w:unhideWhenUsed/>
    <w:pPr>
      <w:ind w:left="1134" w:right="0" w:firstLine="0"/>
      <w:spacing w:after="57"/>
    </w:pPr>
  </w:style>
  <w:style w:type="paragraph" w:styleId="1418">
    <w:name w:val="toc 6"/>
    <w:basedOn w:val="1424"/>
    <w:next w:val="1424"/>
    <w:uiPriority w:val="39"/>
    <w:unhideWhenUsed/>
    <w:pPr>
      <w:ind w:left="1417" w:right="0" w:firstLine="0"/>
      <w:spacing w:after="57"/>
    </w:pPr>
  </w:style>
  <w:style w:type="paragraph" w:styleId="1419">
    <w:name w:val="toc 7"/>
    <w:basedOn w:val="1424"/>
    <w:next w:val="1424"/>
    <w:uiPriority w:val="39"/>
    <w:unhideWhenUsed/>
    <w:pPr>
      <w:ind w:left="1701" w:right="0" w:firstLine="0"/>
      <w:spacing w:after="57"/>
    </w:pPr>
  </w:style>
  <w:style w:type="paragraph" w:styleId="1420">
    <w:name w:val="toc 8"/>
    <w:basedOn w:val="1424"/>
    <w:next w:val="1424"/>
    <w:uiPriority w:val="39"/>
    <w:unhideWhenUsed/>
    <w:pPr>
      <w:ind w:left="1984" w:right="0" w:firstLine="0"/>
      <w:spacing w:after="57"/>
    </w:pPr>
  </w:style>
  <w:style w:type="paragraph" w:styleId="1421">
    <w:name w:val="toc 9"/>
    <w:basedOn w:val="1424"/>
    <w:next w:val="1424"/>
    <w:uiPriority w:val="39"/>
    <w:unhideWhenUsed/>
    <w:pPr>
      <w:ind w:left="2268" w:right="0" w:firstLine="0"/>
      <w:spacing w:after="57"/>
    </w:pPr>
  </w:style>
  <w:style w:type="paragraph" w:styleId="1422">
    <w:name w:val="TOC Heading"/>
    <w:uiPriority w:val="39"/>
    <w:unhideWhenUsed/>
  </w:style>
  <w:style w:type="paragraph" w:styleId="1423">
    <w:name w:val="table of figures"/>
    <w:basedOn w:val="1424"/>
    <w:next w:val="1424"/>
    <w:uiPriority w:val="99"/>
    <w:unhideWhenUsed/>
    <w:pPr>
      <w:spacing w:after="0" w:afterAutospacing="0"/>
    </w:pPr>
  </w:style>
  <w:style w:type="paragraph" w:styleId="1424" w:default="1">
    <w:name w:val="Normal"/>
    <w:next w:val="1424"/>
    <w:link w:val="1424"/>
    <w:qFormat/>
    <w:rPr>
      <w:sz w:val="24"/>
      <w:szCs w:val="24"/>
      <w:lang w:val="ru-RU" w:eastAsia="ru-RU" w:bidi="ar-SA"/>
    </w:rPr>
  </w:style>
  <w:style w:type="paragraph" w:styleId="1425">
    <w:name w:val="Заголовок 1"/>
    <w:basedOn w:val="1424"/>
    <w:next w:val="1424"/>
    <w:link w:val="1424"/>
    <w:qFormat/>
    <w:pPr>
      <w:keepNext/>
      <w:outlineLvl w:val="0"/>
    </w:pPr>
    <w:rPr>
      <w:b/>
      <w:sz w:val="28"/>
      <w:szCs w:val="28"/>
      <w:u w:val="single"/>
    </w:rPr>
  </w:style>
  <w:style w:type="character" w:styleId="1426">
    <w:name w:val="Основной шрифт абзаца"/>
    <w:next w:val="1426"/>
    <w:link w:val="1424"/>
    <w:semiHidden/>
  </w:style>
  <w:style w:type="table" w:styleId="1427">
    <w:name w:val="Обычная таблица"/>
    <w:next w:val="1427"/>
    <w:link w:val="1424"/>
    <w:semiHidden/>
    <w:tblPr/>
  </w:style>
  <w:style w:type="numbering" w:styleId="1428">
    <w:name w:val="Нет списка"/>
    <w:next w:val="1428"/>
    <w:link w:val="1424"/>
    <w:semiHidden/>
  </w:style>
  <w:style w:type="table" w:styleId="1429">
    <w:name w:val="Сетка таблицы"/>
    <w:basedOn w:val="1427"/>
    <w:next w:val="1429"/>
    <w:link w:val="1424"/>
    <w:tblPr/>
  </w:style>
  <w:style w:type="paragraph" w:styleId="1430">
    <w:name w:val="Текст выноски"/>
    <w:basedOn w:val="1424"/>
    <w:next w:val="1430"/>
    <w:link w:val="1424"/>
    <w:uiPriority w:val="99"/>
    <w:semiHidden/>
    <w:rPr>
      <w:rFonts w:ascii="Tahoma" w:hAnsi="Tahoma" w:cs="Tahoma"/>
      <w:sz w:val="16"/>
      <w:szCs w:val="16"/>
    </w:rPr>
  </w:style>
  <w:style w:type="paragraph" w:styleId="1431">
    <w:name w:val="Основной текст"/>
    <w:basedOn w:val="1424"/>
    <w:next w:val="1431"/>
    <w:link w:val="1424"/>
    <w:pPr>
      <w:jc w:val="both"/>
    </w:pPr>
    <w:rPr>
      <w:b/>
      <w:i/>
      <w:iCs/>
      <w:szCs w:val="28"/>
    </w:rPr>
  </w:style>
  <w:style w:type="paragraph" w:styleId="1432">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
    <w:basedOn w:val="1424"/>
    <w:next w:val="1432"/>
    <w:link w:val="1445"/>
    <w:uiPriority w:val="99"/>
    <w:rPr>
      <w:sz w:val="20"/>
      <w:szCs w:val="20"/>
    </w:rPr>
  </w:style>
  <w:style w:type="character" w:styleId="1433">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f"/>
    <w:next w:val="1433"/>
    <w:link w:val="1424"/>
    <w:qFormat/>
    <w:rPr>
      <w:vertAlign w:val="superscript"/>
    </w:rPr>
  </w:style>
  <w:style w:type="paragraph" w:styleId="1434">
    <w:name w:val="Верхний колонтитул"/>
    <w:basedOn w:val="1424"/>
    <w:next w:val="1434"/>
    <w:link w:val="1438"/>
    <w:uiPriority w:val="99"/>
    <w:pPr>
      <w:tabs>
        <w:tab w:val="center" w:pos="4677" w:leader="none"/>
        <w:tab w:val="right" w:pos="9355" w:leader="none"/>
      </w:tabs>
    </w:pPr>
    <w:rPr>
      <w:lang w:val="en-US" w:eastAsia="en-US"/>
    </w:rPr>
  </w:style>
  <w:style w:type="paragraph" w:styleId="1435">
    <w:name w:val="Нижний колонтитул"/>
    <w:basedOn w:val="1424"/>
    <w:next w:val="1435"/>
    <w:link w:val="1424"/>
    <w:pPr>
      <w:tabs>
        <w:tab w:val="center" w:pos="4677" w:leader="none"/>
        <w:tab w:val="right" w:pos="9355" w:leader="none"/>
      </w:tabs>
    </w:pPr>
  </w:style>
  <w:style w:type="character" w:styleId="1436">
    <w:name w:val="Номер страницы"/>
    <w:basedOn w:val="1426"/>
    <w:next w:val="1436"/>
    <w:link w:val="1424"/>
  </w:style>
  <w:style w:type="paragraph" w:styleId="1437">
    <w:name w:val="Название"/>
    <w:basedOn w:val="1424"/>
    <w:next w:val="1437"/>
    <w:link w:val="1424"/>
    <w:qFormat/>
    <w:pPr>
      <w:jc w:val="center"/>
    </w:pPr>
    <w:rPr>
      <w:b/>
      <w:bCs/>
      <w:sz w:val="28"/>
      <w:szCs w:val="28"/>
    </w:rPr>
  </w:style>
  <w:style w:type="character" w:styleId="1438">
    <w:name w:val="Верхний колонтитул Знак"/>
    <w:next w:val="1438"/>
    <w:link w:val="1434"/>
    <w:uiPriority w:val="99"/>
    <w:rPr>
      <w:sz w:val="24"/>
      <w:szCs w:val="24"/>
    </w:rPr>
  </w:style>
  <w:style w:type="character" w:styleId="1439">
    <w:name w:val="Знак примечания"/>
    <w:next w:val="1439"/>
    <w:link w:val="1424"/>
    <w:rPr>
      <w:sz w:val="16"/>
      <w:szCs w:val="16"/>
    </w:rPr>
  </w:style>
  <w:style w:type="paragraph" w:styleId="1440">
    <w:name w:val="Текст примечания"/>
    <w:basedOn w:val="1424"/>
    <w:next w:val="1440"/>
    <w:link w:val="1441"/>
    <w:rPr>
      <w:sz w:val="20"/>
      <w:szCs w:val="20"/>
    </w:rPr>
  </w:style>
  <w:style w:type="character" w:styleId="1441">
    <w:name w:val="Текст примечания Знак"/>
    <w:basedOn w:val="1426"/>
    <w:next w:val="1441"/>
    <w:link w:val="1440"/>
  </w:style>
  <w:style w:type="paragraph" w:styleId="1442">
    <w:name w:val="Тема примечания"/>
    <w:basedOn w:val="1440"/>
    <w:next w:val="1440"/>
    <w:link w:val="1443"/>
    <w:rPr>
      <w:b/>
      <w:bCs/>
      <w:lang w:val="en-US" w:eastAsia="en-US"/>
    </w:rPr>
  </w:style>
  <w:style w:type="character" w:styleId="1443">
    <w:name w:val="Тема примечания Знак"/>
    <w:next w:val="1443"/>
    <w:link w:val="1442"/>
    <w:rPr>
      <w:b/>
      <w:bCs/>
    </w:rPr>
  </w:style>
  <w:style w:type="paragraph" w:styleId="1444">
    <w:name w:val="Рецензия"/>
    <w:next w:val="1444"/>
    <w:link w:val="1424"/>
    <w:hidden/>
    <w:uiPriority w:val="99"/>
    <w:semiHidden/>
    <w:rPr>
      <w:sz w:val="24"/>
      <w:szCs w:val="24"/>
      <w:lang w:val="ru-RU" w:eastAsia="ru-RU" w:bidi="ar-SA"/>
    </w:rPr>
  </w:style>
  <w:style w:type="character" w:styleId="1445">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445"/>
    <w:link w:val="1432"/>
    <w:uiPriority w:val="99"/>
  </w:style>
  <w:style w:type="character" w:styleId="1446" w:default="1">
    <w:name w:val="Default Paragraph Font"/>
    <w:uiPriority w:val="1"/>
    <w:semiHidden/>
    <w:unhideWhenUsed/>
  </w:style>
  <w:style w:type="numbering" w:styleId="1447" w:default="1">
    <w:name w:val="No List"/>
    <w:uiPriority w:val="99"/>
    <w:semiHidden/>
    <w:unhideWhenUsed/>
  </w:style>
  <w:style w:type="table" w:styleId="1448" w:default="1">
    <w:name w:val="Normal Table"/>
    <w:uiPriority w:val="99"/>
    <w:semiHidden/>
    <w:unhideWhenUsed/>
    <w:tblPr/>
  </w:style>
  <w:style w:type="paragraph" w:styleId="1449" w:customStyle="1">
    <w:name w:val="Текст сноски,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Текст сноски Знак1, Знак11"/>
    <w:basedOn w:val="1330"/>
    <w:next w:val="1343"/>
    <w:link w:val="1344"/>
    <w:uiPriority w:val="99"/>
    <w:unhideWhenUsed/>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Calibri" w:cs="Times New Roman"/>
      <w:b w:val="0"/>
      <w:bCs w:val="0"/>
      <w:i w:val="0"/>
      <w:iCs w:val="0"/>
      <w:caps w:val="0"/>
      <w:smallCaps w:val="0"/>
      <w:strike w:val="0"/>
      <w:vanish w:val="0"/>
      <w:color w:val="auto"/>
      <w:spacing w:val="0"/>
      <w:position w:val="0"/>
      <w:sz w:val="20"/>
      <w:szCs w:val="20"/>
      <w:highlight w:val="none"/>
      <w:u w:val="none"/>
      <w:vertAlign w:val="baseline"/>
      <w:rtl w:val="0"/>
      <w:cs w:val="0"/>
      <w:lang w:val="ru-RU" w:eastAsia="en-US" w:bidi="ar-SA"/>
      <w14:ligatures w14:val="none"/>
    </w:rPr>
  </w:style>
  <w:style w:type="character" w:styleId="1450" w:customStyle="1">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
    <w:next w:val="1345"/>
    <w:link w:val="1330"/>
    <w:uiPriority w:val="99"/>
    <w:unhideWhenUsed/>
    <w:qFormat/>
    <w:rPr>
      <w:vertAlign w:val="superscript"/>
    </w:rPr>
  </w:style>
  <w:style w:type="paragraph" w:styleId="1451" w:customStyle="1">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fn,FT"/>
    <w:next w:val="1340"/>
    <w:link w:val="1341"/>
    <w:uiPriority w:val="99"/>
    <w:qFormat/>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 w:type="character" w:styleId="1452" w:customStyle="1">
    <w:name w:val="Знак сноски,Знак сноски 1,Знак сноски-FN,сноска,вески,ООО Знак сноски,ftref,СНОСКА,сноска1,Ciae niinee-FN,Referencia nota al pie,Footnote Reference,fr,Used by Word for Help footnote symbols,ХИА_ЗС,сноск,SUPERS,Avg,Table_Footnote_last Знак1,Знак сноски1"/>
    <w:next w:val="1342"/>
    <w:uiPriority w:val="99"/>
    <w:qFormat/>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yperlink" Target="https://kassa.mts.ru/dogovor_kassapotarifam.pdf."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ОАО "Россельхозбанк"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план  «Комфорт»</dc:title>
  <dc:creator>Smaglo</dc:creator>
  <cp:lastModifiedBy>babchuk-nn</cp:lastModifiedBy>
  <cp:revision>62</cp:revision>
  <dcterms:created xsi:type="dcterms:W3CDTF">2023-10-04T13:13:00Z</dcterms:created>
  <dcterms:modified xsi:type="dcterms:W3CDTF">2025-08-13T09:31:16Z</dcterms:modified>
  <cp:version>1048576</cp:version>
</cp:coreProperties>
</file>