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62" w:rsidRDefault="00C049E7">
      <w:pPr>
        <w:jc w:val="center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3108960" cy="774065"/>
                <wp:effectExtent l="0" t="0" r="0" b="6985"/>
                <wp:docPr id="1" name="Picture 3" descr="О Банке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О Банке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10896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4.80pt;height:60.9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550962" w:rsidRDefault="00550962"/>
    <w:p w:rsidR="00550962" w:rsidRDefault="00550962"/>
    <w:p w:rsidR="00550962" w:rsidRPr="00C049E7" w:rsidRDefault="00C049E7">
      <w:pPr>
        <w:jc w:val="center"/>
        <w:rPr>
          <w:b/>
          <w:bCs/>
          <w:caps/>
          <w:lang w:val="ru-RU"/>
        </w:rPr>
      </w:pPr>
      <w:r>
        <w:rPr>
          <w:rFonts w:ascii="Arial" w:hAnsi="Arial" w:cs="Arial"/>
          <w:b/>
          <w:bCs/>
          <w:caps/>
          <w:lang w:val="ru-RU"/>
        </w:rPr>
        <w:t>п</w:t>
      </w:r>
      <w:r>
        <w:rPr>
          <w:b/>
          <w:bCs/>
          <w:caps/>
          <w:lang w:val="ru-RU"/>
        </w:rPr>
        <w:t>редварительные Параметры размещения выпуска Биржевых облигаций АО Россельхозбанк</w:t>
      </w:r>
    </w:p>
    <w:p w:rsidR="00550962" w:rsidRDefault="00C049E7">
      <w:pPr>
        <w:jc w:val="center"/>
        <w:rPr>
          <w:b/>
          <w:bCs/>
          <w:caps/>
          <w:color w:val="000000" w:themeColor="text1"/>
        </w:rPr>
      </w:pPr>
      <w:r>
        <w:rPr>
          <w:b/>
          <w:bCs/>
          <w:caps/>
          <w:color w:val="000000" w:themeColor="text1"/>
          <w:lang w:val="ru-RU"/>
        </w:rPr>
        <w:t xml:space="preserve">серии БO-31-002Р </w:t>
      </w:r>
    </w:p>
    <w:p w:rsidR="00550962" w:rsidRDefault="00550962">
      <w:pPr>
        <w:jc w:val="center"/>
        <w:rPr>
          <w:rFonts w:ascii="Arial" w:hAnsi="Arial" w:cs="Arial"/>
          <w:b/>
          <w:bCs/>
          <w:caps/>
          <w:color w:val="000000" w:themeColor="text1"/>
          <w:lang w:val="ru-RU"/>
        </w:rPr>
      </w:pPr>
    </w:p>
    <w:tbl>
      <w:tblPr>
        <w:tblW w:w="9781" w:type="dxa"/>
        <w:tblInd w:w="-567" w:type="dxa"/>
        <w:tblBorders>
          <w:insideH w:val="single" w:sz="4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6489"/>
      </w:tblGrid>
      <w:tr w:rsidR="00550962" w:rsidRPr="00C049E7">
        <w:trPr>
          <w:trHeight w:val="355"/>
        </w:trPr>
        <w:tc>
          <w:tcPr>
            <w:tcW w:w="3292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Эмитент</w:t>
            </w:r>
          </w:p>
        </w:tc>
        <w:tc>
          <w:tcPr>
            <w:tcW w:w="6489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Pr="00C049E7" w:rsidRDefault="00C049E7">
            <w:pPr>
              <w:shd w:val="clear" w:color="auto" w:fill="FFFFFF"/>
              <w:spacing w:before="120" w:after="240"/>
              <w:contextualSpacing/>
              <w:rPr>
                <w:bCs/>
                <w:spacing w:val="-3"/>
                <w:lang w:val="ru-RU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Акционерное общество «Российский Сельскохозяйственный банк»</w:t>
            </w:r>
          </w:p>
        </w:tc>
      </w:tr>
      <w:tr w:rsidR="00550962">
        <w:trPr>
          <w:trHeight w:val="510"/>
        </w:trPr>
        <w:tc>
          <w:tcPr>
            <w:tcW w:w="32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Рейтинг Эмитента</w:t>
            </w:r>
          </w:p>
        </w:tc>
        <w:tc>
          <w:tcPr>
            <w:tcW w:w="648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eastAsia="en-GB"/>
              </w:rPr>
              <w:t>AA</w:t>
            </w:r>
            <w:r w:rsidRPr="00C049E7">
              <w:rPr>
                <w:rFonts w:eastAsiaTheme="minorHAnsi"/>
                <w:bCs/>
                <w:spacing w:val="-3"/>
                <w:lang w:eastAsia="en-GB"/>
              </w:rPr>
              <w:t>(</w:t>
            </w:r>
            <w:r>
              <w:rPr>
                <w:rFonts w:eastAsiaTheme="minorHAnsi"/>
                <w:bCs/>
                <w:spacing w:val="-3"/>
                <w:lang w:eastAsia="en-GB"/>
              </w:rPr>
              <w:t>RU</w:t>
            </w:r>
            <w:r w:rsidRPr="00C049E7">
              <w:rPr>
                <w:rFonts w:eastAsiaTheme="minorHAnsi"/>
                <w:bCs/>
                <w:spacing w:val="-3"/>
                <w:lang w:eastAsia="en-GB"/>
              </w:rPr>
              <w:t>) (</w:t>
            </w:r>
            <w:r>
              <w:rPr>
                <w:rFonts w:eastAsiaTheme="minorHAnsi"/>
                <w:bCs/>
                <w:spacing w:val="-3"/>
                <w:lang w:val="ru-RU" w:eastAsia="en-GB"/>
              </w:rPr>
              <w:t>АКРА</w:t>
            </w:r>
            <w:r w:rsidRPr="00C049E7">
              <w:rPr>
                <w:rFonts w:eastAsiaTheme="minorHAnsi"/>
                <w:bCs/>
                <w:spacing w:val="-3"/>
                <w:lang w:eastAsia="en-GB"/>
              </w:rPr>
              <w:t>), AA+.ru (</w:t>
            </w:r>
            <w:r>
              <w:rPr>
                <w:rFonts w:eastAsiaTheme="minorHAnsi"/>
                <w:bCs/>
                <w:spacing w:val="-3"/>
                <w:lang w:val="ru-RU" w:eastAsia="en-GB"/>
              </w:rPr>
              <w:t>НКР</w:t>
            </w:r>
            <w:r w:rsidRPr="00C049E7">
              <w:rPr>
                <w:rFonts w:eastAsiaTheme="minorHAnsi"/>
                <w:bCs/>
                <w:spacing w:val="-3"/>
                <w:lang w:eastAsia="en-GB"/>
              </w:rPr>
              <w:t>)</w:t>
            </w:r>
          </w:p>
        </w:tc>
      </w:tr>
      <w:tr w:rsidR="00550962">
        <w:trPr>
          <w:trHeight w:val="181"/>
        </w:trPr>
        <w:tc>
          <w:tcPr>
            <w:tcW w:w="32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Кредитный рейтинг выпуска</w:t>
            </w:r>
          </w:p>
        </w:tc>
        <w:tc>
          <w:tcPr>
            <w:tcW w:w="648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  <w:highlight w:val="white"/>
              </w:rPr>
            </w:pPr>
            <w:r>
              <w:rPr>
                <w:rFonts w:eastAsiaTheme="minorHAnsi"/>
                <w:bCs/>
                <w:spacing w:val="-3"/>
                <w:highlight w:val="white"/>
                <w:lang w:eastAsia="en-GB"/>
              </w:rPr>
              <w:t>AA</w:t>
            </w:r>
            <w:r>
              <w:rPr>
                <w:rFonts w:eastAsiaTheme="minorHAnsi"/>
                <w:bCs/>
                <w:spacing w:val="-3"/>
                <w:highlight w:val="white"/>
                <w:lang w:val="ru-RU" w:eastAsia="en-GB"/>
              </w:rPr>
              <w:t>(</w:t>
            </w:r>
            <w:r>
              <w:rPr>
                <w:rFonts w:eastAsiaTheme="minorHAnsi"/>
                <w:bCs/>
                <w:spacing w:val="-3"/>
                <w:highlight w:val="white"/>
                <w:lang w:eastAsia="en-GB"/>
              </w:rPr>
              <w:t>RU</w:t>
            </w:r>
            <w:r>
              <w:rPr>
                <w:rFonts w:eastAsiaTheme="minorHAnsi"/>
                <w:bCs/>
                <w:spacing w:val="-3"/>
                <w:highlight w:val="white"/>
                <w:lang w:val="ru-RU" w:eastAsia="en-GB"/>
              </w:rPr>
              <w:t>) (АКРА)</w:t>
            </w:r>
          </w:p>
        </w:tc>
      </w:tr>
      <w:tr w:rsidR="00550962" w:rsidRPr="00C049E7">
        <w:trPr>
          <w:trHeight w:val="702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Вид ценных бумаг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Pr="00C049E7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  <w:lang w:val="ru-RU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Биржевые облигации серии БО-31-002Р, размещаемые в рамках Программы биржевых облигаций серии 002Р</w:t>
            </w:r>
          </w:p>
        </w:tc>
      </w:tr>
      <w:tr w:rsidR="00550962">
        <w:trPr>
          <w:trHeight w:val="686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Регистрационный номер выпуска облигаций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4B02-54-03349-В-002Р от 13.10.2025</w:t>
            </w:r>
          </w:p>
        </w:tc>
      </w:tr>
      <w:tr w:rsidR="00550962">
        <w:trPr>
          <w:trHeight w:val="556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Регистрационный номер Программы облигаций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403349B002P02Е от 09.07.2020 г.</w:t>
            </w:r>
          </w:p>
        </w:tc>
      </w:tr>
      <w:tr w:rsidR="00550962">
        <w:trPr>
          <w:trHeight w:val="423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tabs>
                <w:tab w:val="left" w:pos="2475"/>
              </w:tabs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Объем размещения</w:t>
            </w: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ab/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5 млрд рублей</w:t>
            </w:r>
          </w:p>
        </w:tc>
      </w:tr>
      <w:tr w:rsidR="00550962">
        <w:trPr>
          <w:trHeight w:val="677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Номинальная стоимость облигаций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1 000 (Одна тысяча) рублей</w:t>
            </w:r>
          </w:p>
        </w:tc>
      </w:tr>
      <w:tr w:rsidR="00550962">
        <w:trPr>
          <w:trHeight w:val="409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Срок погашения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19.11.2026</w:t>
            </w:r>
          </w:p>
        </w:tc>
      </w:tr>
      <w:tr w:rsidR="00550962" w:rsidRPr="00C049E7">
        <w:trPr>
          <w:trHeight w:val="414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Купонные периоды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Pr="00C049E7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  <w:lang w:val="ru-RU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 xml:space="preserve">1 купон - 1 день (ставка купона фиксированная); </w:t>
            </w:r>
          </w:p>
          <w:p w:rsidR="00550962" w:rsidRPr="00C049E7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  <w:lang w:val="ru-RU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2 - 5 купоны – 91 день (ставка купона плавающая).</w:t>
            </w:r>
          </w:p>
        </w:tc>
      </w:tr>
      <w:tr w:rsidR="00550962">
        <w:trPr>
          <w:trHeight w:val="409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Цена размещения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40" w:after="40" w:line="264" w:lineRule="auto"/>
              <w:jc w:val="both"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 xml:space="preserve">100% от номинальной стоимости облигаций </w:t>
            </w:r>
          </w:p>
        </w:tc>
      </w:tr>
      <w:tr w:rsidR="00550962">
        <w:trPr>
          <w:trHeight w:val="263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  <w:highlight w:val="white"/>
              </w:rPr>
            </w:pPr>
            <w:r>
              <w:rPr>
                <w:rFonts w:eastAsiaTheme="minorHAnsi"/>
                <w:b/>
                <w:bCs/>
                <w:spacing w:val="-3"/>
                <w:highlight w:val="white"/>
                <w:lang w:val="ru-RU" w:eastAsia="en-GB"/>
              </w:rPr>
              <w:t>Ставка по первому купону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40" w:after="40" w:line="264" w:lineRule="auto"/>
              <w:jc w:val="both"/>
              <w:rPr>
                <w:bCs/>
                <w:spacing w:val="-3"/>
                <w:highlight w:val="white"/>
              </w:rPr>
            </w:pPr>
            <w:r>
              <w:rPr>
                <w:rFonts w:eastAsiaTheme="minorHAnsi"/>
                <w:bCs/>
                <w:spacing w:val="-3"/>
                <w:highlight w:val="white"/>
                <w:lang w:val="ru-RU" w:eastAsia="en-GB"/>
              </w:rPr>
              <w:t>КС (17.00%)</w:t>
            </w:r>
          </w:p>
        </w:tc>
      </w:tr>
      <w:tr w:rsidR="00550962" w:rsidRPr="00C049E7">
        <w:trPr>
          <w:trHeight w:val="291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Pr="00C049E7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  <w:lang w:val="ru-RU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Порядок определения размера дохода по второму – пятому купонам</w:t>
            </w:r>
          </w:p>
          <w:p w:rsidR="00550962" w:rsidRPr="00C049E7" w:rsidRDefault="00550962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  <w:lang w:val="ru-RU"/>
              </w:rPr>
            </w:pP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after="96"/>
              <w:rPr>
                <w:spacing w:val="-3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mbria Math" w:hAnsi="Cambria Math" w:cs="Cambria Math"/>
                    <w:color w:val="000000"/>
                  </w:rPr>
                  <m:t>К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</w:rPr>
                  <m:t>Д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</w:rPr>
                  <m:t>j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Cambria Math" w:hAnsi="Cambria Math" w:cs="Cambria Math"/>
                        <w:b/>
                        <w:i/>
                        <w:color w:val="000000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</w:rPr>
                          <m:t>D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</w:rPr>
                          <m:t>j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</w:rPr>
                          <m:t>0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</w:rPr>
                          <m:t>D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</w:rPr>
                          <m:t>j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</w:rPr>
                          <m:t>0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</w:rPr>
                      <m:t>Tj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</w:rPr>
                          <m:t>Д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color w:val="000000"/>
                          </w:rPr>
                          <m:t>Dj</m:t>
                        </m:r>
                      </m:sub>
                    </m:sSub>
                  </m:e>
                </m:nary>
              </m:oMath>
            </m:oMathPara>
          </w:p>
          <w:p w:rsidR="00550962" w:rsidRDefault="00550962">
            <w:pPr>
              <w:shd w:val="clear" w:color="auto" w:fill="FFFFFF"/>
              <w:spacing w:after="96"/>
              <w:rPr>
                <w:spacing w:val="-3"/>
                <w:sz w:val="20"/>
                <w:szCs w:val="20"/>
              </w:rPr>
            </w:pPr>
          </w:p>
          <w:p w:rsidR="00550962" w:rsidRPr="00C049E7" w:rsidRDefault="00C049E7">
            <w:pPr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</w:t>
            </w:r>
            <w:r w:rsidRPr="00C049E7">
              <w:rPr>
                <w:color w:val="000000"/>
                <w:lang w:val="ru-RU"/>
              </w:rPr>
              <w:t xml:space="preserve"> – порядковый номер соответствующего купонного периода (</w:t>
            </w:r>
            <w:r>
              <w:rPr>
                <w:color w:val="000000"/>
              </w:rPr>
              <w:t>j</w:t>
            </w:r>
            <w:r w:rsidRPr="00C049E7">
              <w:rPr>
                <w:color w:val="000000"/>
                <w:lang w:val="ru-RU"/>
              </w:rPr>
              <w:t>=2, 3, 4, 5);</w:t>
            </w:r>
          </w:p>
          <w:p w:rsidR="00550962" w:rsidRPr="00C049E7" w:rsidRDefault="00C049E7">
            <w:pPr>
              <w:rPr>
                <w:bCs/>
                <w:iCs/>
                <w:color w:val="000000"/>
                <w:lang w:val="ru-RU"/>
              </w:rPr>
            </w:pPr>
            <w:r w:rsidRPr="00C049E7">
              <w:rPr>
                <w:b/>
                <w:bCs/>
                <w:iCs/>
                <w:color w:val="000000"/>
                <w:lang w:val="ru-RU"/>
              </w:rPr>
              <w:t>КД</w:t>
            </w:r>
            <w:r>
              <w:rPr>
                <w:b/>
                <w:bCs/>
                <w:iCs/>
                <w:color w:val="000000"/>
                <w:sz w:val="18"/>
                <w:szCs w:val="18"/>
              </w:rPr>
              <w:t>j</w:t>
            </w:r>
            <w:r w:rsidRPr="00C049E7">
              <w:rPr>
                <w:bCs/>
                <w:iCs/>
                <w:color w:val="000000"/>
                <w:lang w:val="ru-RU"/>
              </w:rPr>
              <w:t xml:space="preserve"> – размер купонного дохода по каждой Биржевой облигации по </w:t>
            </w:r>
            <w:r>
              <w:rPr>
                <w:bCs/>
                <w:iCs/>
                <w:color w:val="000000"/>
              </w:rPr>
              <w:t>j</w:t>
            </w:r>
            <w:r w:rsidRPr="00C049E7">
              <w:rPr>
                <w:bCs/>
                <w:iCs/>
                <w:color w:val="000000"/>
                <w:lang w:val="ru-RU"/>
              </w:rPr>
              <w:t xml:space="preserve">-ому купонному периоду, в российских рублях; </w:t>
            </w:r>
          </w:p>
          <w:p w:rsidR="00550962" w:rsidRPr="00C049E7" w:rsidRDefault="00C049E7">
            <w:pPr>
              <w:rPr>
                <w:bCs/>
                <w:iCs/>
                <w:color w:val="000000"/>
                <w:lang w:val="ru-RU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D</w:t>
            </w:r>
            <w:r>
              <w:rPr>
                <w:b/>
                <w:bCs/>
                <w:iCs/>
                <w:color w:val="000000"/>
                <w:sz w:val="18"/>
                <w:szCs w:val="18"/>
              </w:rPr>
              <w:t>j</w:t>
            </w:r>
            <w:proofErr w:type="spellEnd"/>
            <w:r w:rsidRPr="00C049E7">
              <w:rPr>
                <w:b/>
                <w:bCs/>
                <w:iCs/>
                <w:color w:val="000000"/>
                <w:sz w:val="14"/>
                <w:szCs w:val="14"/>
                <w:lang w:val="ru-RU"/>
              </w:rPr>
              <w:t>0</w:t>
            </w:r>
            <w:r w:rsidRPr="00C049E7">
              <w:rPr>
                <w:bCs/>
                <w:iCs/>
                <w:color w:val="000000"/>
                <w:lang w:val="ru-RU"/>
              </w:rPr>
              <w:t xml:space="preserve"> - дата начала </w:t>
            </w:r>
            <w:r>
              <w:rPr>
                <w:bCs/>
                <w:iCs/>
                <w:color w:val="000000"/>
              </w:rPr>
              <w:t>j</w:t>
            </w:r>
            <w:r w:rsidRPr="00C049E7">
              <w:rPr>
                <w:bCs/>
                <w:iCs/>
                <w:color w:val="000000"/>
                <w:lang w:val="ru-RU"/>
              </w:rPr>
              <w:t xml:space="preserve">-ого купонного периода Биржевых облигаций; </w:t>
            </w:r>
          </w:p>
          <w:p w:rsidR="00550962" w:rsidRPr="00C049E7" w:rsidRDefault="00C049E7">
            <w:pPr>
              <w:rPr>
                <w:bCs/>
                <w:iCs/>
                <w:color w:val="000000"/>
                <w:lang w:val="ru-RU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D</w:t>
            </w:r>
            <w:r>
              <w:rPr>
                <w:b/>
                <w:bCs/>
                <w:iCs/>
                <w:color w:val="000000"/>
                <w:sz w:val="18"/>
                <w:szCs w:val="18"/>
              </w:rPr>
              <w:t>j</w:t>
            </w:r>
            <w:proofErr w:type="spellEnd"/>
            <w:r w:rsidRPr="00C049E7">
              <w:rPr>
                <w:b/>
                <w:bCs/>
                <w:iCs/>
                <w:color w:val="000000"/>
                <w:sz w:val="14"/>
                <w:szCs w:val="14"/>
                <w:lang w:val="ru-RU"/>
              </w:rPr>
              <w:t>0</w:t>
            </w:r>
            <w:r w:rsidRPr="00C049E7">
              <w:rPr>
                <w:b/>
                <w:bCs/>
                <w:iCs/>
                <w:color w:val="000000"/>
                <w:lang w:val="ru-RU"/>
              </w:rPr>
              <w:t xml:space="preserve"> + 1</w:t>
            </w:r>
            <w:r w:rsidRPr="00C049E7">
              <w:rPr>
                <w:bCs/>
                <w:iCs/>
                <w:color w:val="000000"/>
                <w:lang w:val="ru-RU"/>
              </w:rPr>
              <w:t xml:space="preserve"> - дата, следующая за датой начала </w:t>
            </w:r>
            <w:r>
              <w:rPr>
                <w:bCs/>
                <w:iCs/>
                <w:color w:val="000000"/>
              </w:rPr>
              <w:t>j</w:t>
            </w:r>
            <w:r w:rsidRPr="00C049E7">
              <w:rPr>
                <w:bCs/>
                <w:iCs/>
                <w:color w:val="000000"/>
                <w:lang w:val="ru-RU"/>
              </w:rPr>
              <w:t xml:space="preserve">-ого купонного периода Биржевых облигаций; </w:t>
            </w:r>
          </w:p>
          <w:p w:rsidR="00550962" w:rsidRPr="00C049E7" w:rsidRDefault="00C049E7">
            <w:pPr>
              <w:rPr>
                <w:bCs/>
                <w:iCs/>
                <w:color w:val="000000"/>
                <w:lang w:val="ru-RU"/>
              </w:rPr>
            </w:pPr>
            <w:r w:rsidRPr="00C049E7">
              <w:rPr>
                <w:b/>
                <w:bCs/>
                <w:iCs/>
                <w:color w:val="000000"/>
                <w:lang w:val="ru-RU"/>
              </w:rPr>
              <w:t>Т</w:t>
            </w:r>
            <w:r>
              <w:rPr>
                <w:b/>
                <w:bCs/>
                <w:iCs/>
                <w:color w:val="000000"/>
                <w:sz w:val="18"/>
                <w:szCs w:val="18"/>
              </w:rPr>
              <w:t>j</w:t>
            </w:r>
            <w:r w:rsidRPr="00C049E7">
              <w:rPr>
                <w:bCs/>
                <w:iCs/>
                <w:color w:val="000000"/>
                <w:lang w:val="ru-RU"/>
              </w:rPr>
              <w:t xml:space="preserve"> – длительность </w:t>
            </w:r>
            <w:r>
              <w:rPr>
                <w:bCs/>
                <w:iCs/>
                <w:color w:val="000000"/>
              </w:rPr>
              <w:t>j</w:t>
            </w:r>
            <w:r w:rsidRPr="00C049E7">
              <w:rPr>
                <w:bCs/>
                <w:iCs/>
                <w:color w:val="000000"/>
                <w:lang w:val="ru-RU"/>
              </w:rPr>
              <w:t xml:space="preserve">-ого купонного периода Биржевых облигаций, в днях. </w:t>
            </w:r>
          </w:p>
          <w:p w:rsidR="00550962" w:rsidRPr="00C049E7" w:rsidRDefault="00C049E7">
            <w:pPr>
              <w:shd w:val="clear" w:color="auto" w:fill="FFFFFF"/>
              <w:rPr>
                <w:bCs/>
                <w:spacing w:val="-3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D</w:t>
            </w:r>
            <w:r>
              <w:rPr>
                <w:b/>
                <w:bCs/>
                <w:iCs/>
                <w:color w:val="000000"/>
                <w:sz w:val="18"/>
                <w:szCs w:val="18"/>
              </w:rPr>
              <w:t>j</w:t>
            </w:r>
            <w:proofErr w:type="spellEnd"/>
            <w:r w:rsidRPr="00C049E7">
              <w:rPr>
                <w:b/>
                <w:bCs/>
                <w:iCs/>
                <w:color w:val="000000"/>
                <w:lang w:val="ru-RU"/>
              </w:rPr>
              <w:t xml:space="preserve"> </w:t>
            </w:r>
            <w:r w:rsidRPr="00C049E7">
              <w:rPr>
                <w:bCs/>
                <w:iCs/>
                <w:color w:val="000000"/>
                <w:lang w:val="ru-RU"/>
              </w:rPr>
              <w:t xml:space="preserve">- календарная дата в течении </w:t>
            </w:r>
            <w:r>
              <w:rPr>
                <w:bCs/>
                <w:iCs/>
                <w:color w:val="000000"/>
              </w:rPr>
              <w:t>j</w:t>
            </w:r>
            <w:r w:rsidRPr="00C049E7">
              <w:rPr>
                <w:bCs/>
                <w:iCs/>
                <w:color w:val="000000"/>
                <w:lang w:val="ru-RU"/>
              </w:rPr>
              <w:t>-ого купонного периода, на которую рассчитывается доход</w:t>
            </w:r>
          </w:p>
        </w:tc>
      </w:tr>
      <w:tr w:rsidR="00550962" w:rsidRPr="00C049E7">
        <w:trPr>
          <w:trHeight w:val="3650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rFonts w:ascii="Arial" w:eastAsiaTheme="minorHAnsi" w:hAnsi="Arial" w:cs="Arial"/>
                <w:b/>
                <w:bCs/>
                <w:spacing w:val="-3"/>
                <w:sz w:val="20"/>
                <w:szCs w:val="20"/>
                <w:lang w:val="ru-RU" w:eastAsia="en-GB"/>
              </w:rPr>
            </w:pPr>
            <w:r>
              <w:rPr>
                <w:rFonts w:ascii="Arial" w:eastAsiaTheme="minorHAnsi" w:hAnsi="Arial" w:cs="Arial"/>
                <w:b/>
                <w:bCs/>
                <w:spacing w:val="-3"/>
                <w:sz w:val="20"/>
                <w:szCs w:val="20"/>
                <w:lang w:val="ru-RU" w:eastAsia="en-GB"/>
              </w:rPr>
              <w:lastRenderedPageBreak/>
              <w:t xml:space="preserve">Расчет </w:t>
            </w:r>
            <m:oMath>
              <m:sSub>
                <m:sSubPr>
                  <m:ctrlPr>
                    <w:rPr>
                      <w:rFonts w:ascii="Cambria Math" w:hAnsi="Cambria Math" w:cs="Cambria Math"/>
                      <w:b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mbria Math"/>
                      <w:color w:val="000000"/>
                    </w:rPr>
                    <m:t>Д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mbria Math"/>
                      <w:color w:val="000000"/>
                    </w:rPr>
                    <m:t>Dj</m:t>
                  </m:r>
                </m:sub>
              </m:sSub>
            </m:oMath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550962">
            <w:pPr>
              <w:rPr>
                <w:sz w:val="4"/>
                <w:szCs w:val="4"/>
                <w:lang w:val="ru-RU"/>
              </w:rPr>
            </w:pPr>
          </w:p>
          <w:p w:rsidR="00550962" w:rsidRDefault="00550962">
            <w:pPr>
              <w:rPr>
                <w:sz w:val="4"/>
                <w:szCs w:val="4"/>
                <w:lang w:val="ru-RU"/>
              </w:rPr>
            </w:pPr>
          </w:p>
          <w:tbl>
            <w:tblPr>
              <w:tblStyle w:val="af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144"/>
              <w:gridCol w:w="450"/>
              <w:gridCol w:w="936"/>
              <w:gridCol w:w="2055"/>
            </w:tblGrid>
            <w:tr w:rsidR="00550962">
              <w:trPr>
                <w:trHeight w:val="20"/>
              </w:trPr>
              <w:tc>
                <w:tcPr>
                  <w:tcW w:w="1152" w:type="dxa"/>
                  <w:vAlign w:val="center"/>
                </w:tcPr>
                <w:p w:rsidR="00550962" w:rsidRDefault="00550962">
                  <w:pPr>
                    <w:rPr>
                      <w:rFonts w:ascii="Arial" w:eastAsiaTheme="minorHAnsi" w:hAnsi="Arial" w:cs="Arial"/>
                      <w:bCs/>
                      <w:spacing w:val="-3"/>
                      <w:sz w:val="12"/>
                      <w:szCs w:val="12"/>
                      <w:lang w:val="ru-RU" w:eastAsia="en-GB"/>
                    </w:rPr>
                  </w:pPr>
                </w:p>
              </w:tc>
              <w:tc>
                <w:tcPr>
                  <w:tcW w:w="144" w:type="dxa"/>
                </w:tcPr>
                <w:p w:rsidR="00550962" w:rsidRDefault="00550962">
                  <w:pPr>
                    <w:jc w:val="center"/>
                    <w:rPr>
                      <w:rFonts w:ascii="Arial" w:eastAsiaTheme="minorHAnsi" w:hAnsi="Arial" w:cs="Arial"/>
                      <w:bCs/>
                      <w:spacing w:val="-3"/>
                      <w:sz w:val="12"/>
                      <w:szCs w:val="12"/>
                      <w:lang w:val="ru-RU" w:eastAsia="en-GB"/>
                    </w:rPr>
                  </w:pPr>
                </w:p>
              </w:tc>
              <w:tc>
                <w:tcPr>
                  <w:tcW w:w="450" w:type="dxa"/>
                  <w:vAlign w:val="bottom"/>
                </w:tcPr>
                <w:p w:rsidR="00550962" w:rsidRDefault="00550962">
                  <w:pPr>
                    <w:jc w:val="center"/>
                    <w:rPr>
                      <w:rFonts w:ascii="Arial" w:eastAsiaTheme="minorHAnsi" w:hAnsi="Arial" w:cs="Arial"/>
                      <w:bCs/>
                      <w:spacing w:val="-3"/>
                      <w:sz w:val="12"/>
                      <w:szCs w:val="12"/>
                      <w:lang w:val="ru-RU" w:eastAsia="en-GB"/>
                    </w:rPr>
                  </w:pPr>
                </w:p>
              </w:tc>
              <w:tc>
                <w:tcPr>
                  <w:tcW w:w="936" w:type="dxa"/>
                  <w:vAlign w:val="center"/>
                </w:tcPr>
                <w:p w:rsidR="00550962" w:rsidRDefault="00550962">
                  <w:pPr>
                    <w:rPr>
                      <w:rFonts w:ascii="Arial" w:eastAsiaTheme="minorHAnsi" w:hAnsi="Arial" w:cs="Arial"/>
                      <w:bCs/>
                      <w:spacing w:val="-3"/>
                      <w:sz w:val="12"/>
                      <w:szCs w:val="12"/>
                      <w:lang w:val="ru-RU" w:eastAsia="en-GB"/>
                    </w:rPr>
                  </w:pPr>
                </w:p>
              </w:tc>
              <w:tc>
                <w:tcPr>
                  <w:tcW w:w="2055" w:type="dxa"/>
                </w:tcPr>
                <w:p w:rsidR="00550962" w:rsidRDefault="00550962">
                  <w:pPr>
                    <w:rPr>
                      <w:rFonts w:ascii="Arial" w:eastAsiaTheme="minorHAnsi" w:hAnsi="Arial" w:cs="Arial"/>
                      <w:bCs/>
                      <w:spacing w:val="-3"/>
                      <w:sz w:val="12"/>
                      <w:szCs w:val="12"/>
                      <w:lang w:val="ru-RU" w:eastAsia="en-GB"/>
                    </w:rPr>
                  </w:pPr>
                </w:p>
              </w:tc>
            </w:tr>
          </w:tbl>
          <w:p w:rsidR="00550962" w:rsidRDefault="00C049E7">
            <w:pPr>
              <w:rPr>
                <w:b/>
                <w:bCs/>
                <w:i/>
                <w:iCs/>
                <w:color w:val="00000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i/>
                        <w:color w:val="00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color w:val="000000"/>
                      </w:rPr>
                      <m:t>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color w:val="000000"/>
                      </w:rPr>
                      <m:t>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Nom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 xml:space="preserve"> 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color w:val="00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b/>
                            <w:bCs/>
                            <w:i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</w:rPr>
                          <m:t>Dj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365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100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%</m:t>
                </m:r>
              </m:oMath>
            </m:oMathPara>
          </w:p>
          <w:p w:rsidR="00550962" w:rsidRDefault="00550962">
            <w:pPr>
              <w:rPr>
                <w:rFonts w:ascii="Arial" w:eastAsiaTheme="minorHAnsi" w:hAnsi="Arial" w:cs="Arial"/>
                <w:spacing w:val="-3"/>
                <w:sz w:val="20"/>
                <w:szCs w:val="20"/>
                <w:lang w:val="ru-RU" w:eastAsia="en-GB"/>
              </w:rPr>
            </w:pPr>
          </w:p>
          <w:p w:rsidR="00550962" w:rsidRDefault="00C049E7">
            <w:pPr>
              <w:rPr>
                <w:rFonts w:ascii="Arial" w:eastAsiaTheme="minorHAnsi" w:hAnsi="Arial" w:cs="Arial"/>
                <w:spacing w:val="-3"/>
                <w:sz w:val="20"/>
                <w:szCs w:val="20"/>
                <w:lang w:val="ru-RU" w:eastAsia="en-GB"/>
              </w:rPr>
            </w:pPr>
            <w:r>
              <w:rPr>
                <w:rFonts w:ascii="Arial" w:eastAsiaTheme="minorHAnsi" w:hAnsi="Arial" w:cs="Arial"/>
                <w:bCs/>
                <w:spacing w:val="-3"/>
                <w:sz w:val="20"/>
                <w:szCs w:val="20"/>
                <w:lang w:val="ru-RU" w:eastAsia="en-GB"/>
              </w:rPr>
              <w:t xml:space="preserve">где: </w:t>
            </w:r>
          </w:p>
          <w:p w:rsidR="00550962" w:rsidRDefault="00C049E7">
            <w:pPr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rFonts w:ascii="Cambria Math" w:hAnsi="Cambria Math" w:cs="Cambria Math"/>
                <w:b/>
                <w:color w:val="000000"/>
                <w:sz w:val="22"/>
                <w:szCs w:val="22"/>
                <w:lang w:val="ru-RU" w:eastAsia="ru-RU"/>
              </w:rPr>
              <w:t>Nom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spacing w:val="-3"/>
                <w:sz w:val="20"/>
                <w:szCs w:val="20"/>
                <w:lang w:val="ru-RU" w:eastAsia="en-GB"/>
              </w:rPr>
              <w:t>–</w:t>
            </w:r>
            <w:r>
              <w:rPr>
                <w:bCs/>
                <w:iCs/>
                <w:color w:val="000000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номинальная стоимость одной Биржевой облигации, в российских рублях;</w:t>
            </w:r>
            <w:r>
              <w:rPr>
                <w:bCs/>
                <w:iCs/>
                <w:color w:val="000000"/>
                <w:lang w:val="ru-RU"/>
              </w:rPr>
              <w:t xml:space="preserve"> </w:t>
            </w:r>
          </w:p>
          <w:p w:rsidR="00550962" w:rsidRPr="00C049E7" w:rsidRDefault="00C049E7">
            <w:pPr>
              <w:jc w:val="both"/>
              <w:rPr>
                <w:color w:val="000000"/>
                <w:highlight w:val="white"/>
                <w:lang w:val="ru-RU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b/>
                      <w:bCs/>
                      <w:i/>
                      <w:iCs/>
                      <w:color w:val="00000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mbria Math" w:hAnsi="Cambria Math" w:cs="Cambria Math"/>
                    </w:rPr>
                    <m:t>Dj</m:t>
                  </m:r>
                </m:sub>
              </m:sSub>
            </m:oMath>
            <w:r w:rsidRPr="00C049E7">
              <w:rPr>
                <w:color w:val="000000"/>
                <w:highlight w:val="white"/>
                <w:lang w:val="ru-RU"/>
              </w:rPr>
              <w:t xml:space="preserve"> </w:t>
            </w:r>
            <w:r w:rsidRPr="00C049E7">
              <w:rPr>
                <w:bCs/>
                <w:iCs/>
                <w:color w:val="000000"/>
                <w:highlight w:val="white"/>
                <w:lang w:val="ru-RU"/>
              </w:rPr>
              <w:t xml:space="preserve">– значение Ключевой ставки Банка России (в процентах годовых) на 7-й (седьмой) день, предшествующий дате </w:t>
            </w:r>
            <w:proofErr w:type="spellStart"/>
            <w:r>
              <w:rPr>
                <w:bCs/>
                <w:iCs/>
                <w:color w:val="000000"/>
                <w:highlight w:val="white"/>
              </w:rPr>
              <w:t>D</w:t>
            </w:r>
            <w:r>
              <w:rPr>
                <w:iCs/>
                <w:color w:val="000000"/>
                <w:sz w:val="18"/>
                <w:szCs w:val="18"/>
                <w:highlight w:val="white"/>
              </w:rPr>
              <w:t>j</w:t>
            </w:r>
            <w:proofErr w:type="spellEnd"/>
            <w:r w:rsidRPr="00C049E7">
              <w:rPr>
                <w:bCs/>
                <w:iCs/>
                <w:color w:val="000000"/>
                <w:highlight w:val="white"/>
                <w:lang w:val="ru-RU"/>
              </w:rPr>
              <w:t xml:space="preserve"> (далее – </w:t>
            </w:r>
            <w:proofErr w:type="spellStart"/>
            <w:r>
              <w:rPr>
                <w:bCs/>
                <w:iCs/>
                <w:color w:val="000000"/>
                <w:highlight w:val="white"/>
              </w:rPr>
              <w:t>D</w:t>
            </w:r>
            <w:r>
              <w:rPr>
                <w:iCs/>
                <w:color w:val="000000"/>
                <w:sz w:val="18"/>
                <w:szCs w:val="18"/>
                <w:highlight w:val="white"/>
              </w:rPr>
              <w:t>j</w:t>
            </w:r>
            <w:proofErr w:type="spellEnd"/>
            <w:r w:rsidRPr="00C049E7">
              <w:rPr>
                <w:bCs/>
                <w:iCs/>
                <w:color w:val="000000"/>
                <w:highlight w:val="white"/>
                <w:lang w:val="ru-RU"/>
              </w:rPr>
              <w:t xml:space="preserve">-7), публикуемое на официальном сайте Банка России в сети «Интернет». </w:t>
            </w:r>
          </w:p>
          <w:p w:rsidR="00550962" w:rsidRPr="00C049E7" w:rsidRDefault="00C049E7">
            <w:pPr>
              <w:jc w:val="both"/>
              <w:rPr>
                <w:rFonts w:eastAsiaTheme="minorHAnsi"/>
                <w:color w:val="000000"/>
                <w:lang w:val="ru-RU"/>
              </w:rPr>
            </w:pPr>
            <w:proofErr w:type="spellStart"/>
            <w:r>
              <w:rPr>
                <w:rFonts w:ascii="Cambria Math" w:hAnsi="Cambria Math" w:cs="Cambria Math"/>
                <w:b/>
                <w:bCs/>
                <w:iCs/>
                <w:color w:val="000000"/>
                <w:highlight w:val="white"/>
              </w:rPr>
              <w:t>D</w:t>
            </w:r>
            <w:r>
              <w:rPr>
                <w:b/>
                <w:bCs/>
                <w:iCs/>
                <w:color w:val="000000"/>
                <w:sz w:val="18"/>
                <w:szCs w:val="18"/>
                <w:highlight w:val="white"/>
              </w:rPr>
              <w:t>j</w:t>
            </w:r>
            <w:proofErr w:type="spellEnd"/>
            <w:r w:rsidRPr="00C049E7">
              <w:rPr>
                <w:b/>
                <w:bCs/>
                <w:iCs/>
                <w:color w:val="000000"/>
                <w:highlight w:val="white"/>
                <w:lang w:val="ru-RU"/>
              </w:rPr>
              <w:t xml:space="preserve"> </w:t>
            </w:r>
            <w:r w:rsidRPr="00C049E7">
              <w:rPr>
                <w:bCs/>
                <w:iCs/>
                <w:color w:val="000000"/>
                <w:highlight w:val="white"/>
                <w:lang w:val="ru-RU"/>
              </w:rPr>
              <w:t xml:space="preserve">– календарная дата в течении </w:t>
            </w:r>
            <w:r>
              <w:rPr>
                <w:bCs/>
                <w:iCs/>
                <w:color w:val="000000"/>
                <w:highlight w:val="white"/>
              </w:rPr>
              <w:t>j</w:t>
            </w:r>
            <w:r w:rsidRPr="00C049E7">
              <w:rPr>
                <w:bCs/>
                <w:iCs/>
                <w:color w:val="000000"/>
                <w:highlight w:val="white"/>
                <w:lang w:val="ru-RU"/>
              </w:rPr>
              <w:t>-ого купонного периода, на которую рассчитывается доход</w:t>
            </w:r>
          </w:p>
          <w:p w:rsidR="00550962" w:rsidRPr="00C049E7" w:rsidRDefault="00C049E7">
            <w:pPr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</w:t>
            </w:r>
            <w:r w:rsidRPr="00C049E7">
              <w:rPr>
                <w:color w:val="000000"/>
                <w:lang w:val="ru-RU"/>
              </w:rPr>
              <w:t xml:space="preserve"> – порядковый номер соответствующего купонного периода (</w:t>
            </w:r>
            <w:r>
              <w:rPr>
                <w:color w:val="000000"/>
              </w:rPr>
              <w:t>j</w:t>
            </w:r>
            <w:r w:rsidRPr="00C049E7">
              <w:rPr>
                <w:color w:val="000000"/>
                <w:lang w:val="ru-RU"/>
              </w:rPr>
              <w:t>=2, 3, 4, 5);</w:t>
            </w:r>
          </w:p>
        </w:tc>
      </w:tr>
      <w:tr w:rsidR="00550962" w:rsidRPr="00C049E7">
        <w:trPr>
          <w:trHeight w:val="230"/>
        </w:trPr>
        <w:tc>
          <w:tcPr>
            <w:tcW w:w="3292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Дата открытия/закрытия книги</w:t>
            </w:r>
          </w:p>
        </w:tc>
        <w:tc>
          <w:tcPr>
            <w:tcW w:w="6489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Pr="00C049E7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  <w:sz w:val="20"/>
                <w:szCs w:val="20"/>
                <w:lang w:val="ru-RU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 xml:space="preserve">21 </w:t>
            </w:r>
            <w:bookmarkStart w:id="0" w:name="_GoBack"/>
            <w:r>
              <w:rPr>
                <w:rFonts w:eastAsiaTheme="minorHAnsi"/>
                <w:bCs/>
                <w:spacing w:val="-3"/>
                <w:lang w:val="ru-RU" w:eastAsia="en-GB"/>
              </w:rPr>
              <w:t xml:space="preserve">октября 2025 г. с 11-00 до </w:t>
            </w:r>
            <w:bookmarkEnd w:id="0"/>
            <w:r>
              <w:rPr>
                <w:rFonts w:eastAsiaTheme="minorHAnsi"/>
                <w:bCs/>
                <w:spacing w:val="-3"/>
                <w:lang w:val="ru-RU" w:eastAsia="en-GB"/>
              </w:rPr>
              <w:t>15-00 11 ноября 2025 г. (МСК)</w:t>
            </w:r>
          </w:p>
        </w:tc>
      </w:tr>
      <w:tr w:rsidR="00550962" w:rsidRPr="00C049E7">
        <w:trPr>
          <w:trHeight w:val="237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Период выставления заявок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Pr="00C049E7" w:rsidRDefault="00C049E7">
            <w:pPr>
              <w:jc w:val="both"/>
              <w:rPr>
                <w:rFonts w:eastAsiaTheme="minorHAnsi"/>
                <w:bCs/>
                <w:color w:val="000000"/>
                <w:spacing w:val="-3"/>
                <w:sz w:val="20"/>
                <w:szCs w:val="20"/>
                <w:highlight w:val="white"/>
                <w:lang w:val="ru-RU"/>
              </w:rPr>
            </w:pPr>
            <w:r>
              <w:rPr>
                <w:color w:val="000000"/>
                <w:highlight w:val="white"/>
                <w:lang w:val="ru-RU" w:eastAsia="en-GB"/>
              </w:rPr>
              <w:t>Подать заявку на приобретение выпуска возможно как в даты книги, так и в дату размещения</w:t>
            </w:r>
            <w:r>
              <w:rPr>
                <w:color w:val="000000"/>
                <w:highlight w:val="white"/>
                <w:lang w:val="ru-RU"/>
              </w:rPr>
              <w:t xml:space="preserve"> </w:t>
            </w:r>
          </w:p>
        </w:tc>
      </w:tr>
      <w:tr w:rsidR="00550962">
        <w:trPr>
          <w:trHeight w:val="286"/>
        </w:trPr>
        <w:tc>
          <w:tcPr>
            <w:tcW w:w="3292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Дата начала размещения</w:t>
            </w:r>
          </w:p>
          <w:p w:rsidR="00550962" w:rsidRDefault="00550962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</w:p>
        </w:tc>
        <w:tc>
          <w:tcPr>
            <w:tcW w:w="6489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19.11.2025</w:t>
            </w:r>
          </w:p>
        </w:tc>
      </w:tr>
      <w:tr w:rsidR="00550962">
        <w:trPr>
          <w:trHeight w:val="276"/>
        </w:trPr>
        <w:tc>
          <w:tcPr>
            <w:tcW w:w="3292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Д</w:t>
            </w: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ата окончания размещения</w:t>
            </w:r>
          </w:p>
          <w:p w:rsidR="00550962" w:rsidRDefault="00550962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</w:p>
        </w:tc>
        <w:tc>
          <w:tcPr>
            <w:tcW w:w="6489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19.11.2025</w:t>
            </w:r>
          </w:p>
        </w:tc>
      </w:tr>
      <w:tr w:rsidR="00550962">
        <w:trPr>
          <w:trHeight w:val="419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Организатор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АО «Россельхозбанк»</w:t>
            </w:r>
          </w:p>
        </w:tc>
      </w:tr>
      <w:tr w:rsidR="00550962">
        <w:trPr>
          <w:trHeight w:val="411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Агент по размещению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АО «Россельхозбанк»</w:t>
            </w:r>
          </w:p>
        </w:tc>
      </w:tr>
      <w:tr w:rsidR="00550962">
        <w:trPr>
          <w:trHeight w:val="417"/>
        </w:trPr>
        <w:tc>
          <w:tcPr>
            <w:tcW w:w="3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Депозитарий</w:t>
            </w:r>
          </w:p>
        </w:tc>
        <w:tc>
          <w:tcPr>
            <w:tcW w:w="6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НКО АО НРД</w:t>
            </w:r>
          </w:p>
        </w:tc>
      </w:tr>
      <w:tr w:rsidR="00550962">
        <w:trPr>
          <w:trHeight w:val="409"/>
        </w:trPr>
        <w:tc>
          <w:tcPr>
            <w:tcW w:w="32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Способ размещения</w:t>
            </w:r>
          </w:p>
        </w:tc>
        <w:tc>
          <w:tcPr>
            <w:tcW w:w="648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</w:rPr>
            </w:pPr>
            <w:r>
              <w:rPr>
                <w:rFonts w:eastAsiaTheme="minorHAnsi"/>
                <w:spacing w:val="-3"/>
                <w:lang w:val="ru-RU" w:eastAsia="en-GB"/>
              </w:rPr>
              <w:t>Бук-</w:t>
            </w:r>
            <w:proofErr w:type="spellStart"/>
            <w:r>
              <w:rPr>
                <w:rFonts w:eastAsiaTheme="minorHAnsi"/>
                <w:spacing w:val="-3"/>
                <w:lang w:val="ru-RU" w:eastAsia="en-GB"/>
              </w:rPr>
              <w:t>билдинг</w:t>
            </w:r>
            <w:proofErr w:type="spellEnd"/>
            <w:r>
              <w:rPr>
                <w:rFonts w:eastAsiaTheme="minorHAnsi"/>
                <w:spacing w:val="-3"/>
                <w:lang w:val="ru-RU" w:eastAsia="en-GB"/>
              </w:rPr>
              <w:t xml:space="preserve">, </w:t>
            </w:r>
            <w:r>
              <w:rPr>
                <w:rFonts w:ascii="Arial" w:eastAsiaTheme="minorHAnsi" w:hAnsi="Arial" w:cs="Arial"/>
                <w:bCs/>
                <w:spacing w:val="-3"/>
                <w:sz w:val="20"/>
                <w:szCs w:val="20"/>
                <w:lang w:val="ru-RU" w:eastAsia="en-GB"/>
              </w:rPr>
              <w:t>о</w:t>
            </w:r>
            <w:r>
              <w:rPr>
                <w:rFonts w:eastAsiaTheme="minorHAnsi"/>
                <w:bCs/>
                <w:spacing w:val="-3"/>
                <w:lang w:val="ru-RU" w:eastAsia="en-GB"/>
              </w:rPr>
              <w:t>ткрытая подписка</w:t>
            </w:r>
          </w:p>
        </w:tc>
      </w:tr>
      <w:tr w:rsidR="00550962" w:rsidRPr="00C049E7">
        <w:trPr>
          <w:trHeight w:val="708"/>
        </w:trPr>
        <w:tc>
          <w:tcPr>
            <w:tcW w:w="32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Размещение и обращение</w:t>
            </w:r>
          </w:p>
        </w:tc>
        <w:tc>
          <w:tcPr>
            <w:tcW w:w="648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Pr="00C049E7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  <w:lang w:val="ru-RU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ПАО Московская Биржа, третий уровень листинга</w:t>
            </w:r>
          </w:p>
        </w:tc>
      </w:tr>
      <w:tr w:rsidR="00550962" w:rsidRPr="00C049E7">
        <w:trPr>
          <w:trHeight w:val="708"/>
        </w:trPr>
        <w:tc>
          <w:tcPr>
            <w:tcW w:w="32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Институциональным инвесторам</w:t>
            </w:r>
          </w:p>
        </w:tc>
        <w:tc>
          <w:tcPr>
            <w:tcW w:w="648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Pr="00C049E7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  <w:lang w:val="ru-RU"/>
              </w:rPr>
            </w:pPr>
            <w:r>
              <w:rPr>
                <w:rFonts w:eastAsiaTheme="minorHAnsi"/>
                <w:bCs/>
                <w:lang w:val="ru-RU" w:eastAsia="en-GB"/>
              </w:rPr>
              <w:t>Выпуск удовлетворяет требованиям по инвестированию средств пенсионных накоплений и резервов, страховых резервов</w:t>
            </w:r>
          </w:p>
        </w:tc>
      </w:tr>
      <w:tr w:rsidR="00550962" w:rsidRPr="00C049E7">
        <w:trPr>
          <w:trHeight w:val="409"/>
        </w:trPr>
        <w:tc>
          <w:tcPr>
            <w:tcW w:w="32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Физическим лицам</w:t>
            </w:r>
          </w:p>
        </w:tc>
        <w:tc>
          <w:tcPr>
            <w:tcW w:w="648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Pr="00C049E7" w:rsidRDefault="00C049E7">
            <w:pPr>
              <w:shd w:val="clear" w:color="auto" w:fill="FFFFFF"/>
              <w:spacing w:before="120" w:after="96"/>
              <w:contextualSpacing/>
              <w:jc w:val="both"/>
              <w:rPr>
                <w:bCs/>
                <w:spacing w:val="-3"/>
                <w:lang w:val="ru-RU"/>
              </w:rPr>
            </w:pPr>
            <w:r>
              <w:rPr>
                <w:rFonts w:eastAsiaTheme="minorHAnsi"/>
                <w:bCs/>
                <w:lang w:val="ru-RU" w:eastAsia="en-GB"/>
              </w:rPr>
              <w:t>Требуется прохождение теста в соответствии с Федеральным законом № 192-ФЗ от 11.06.2021</w:t>
            </w:r>
          </w:p>
        </w:tc>
      </w:tr>
      <w:tr w:rsidR="00550962">
        <w:trPr>
          <w:trHeight w:val="2375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 xml:space="preserve">Регламент размещения 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Pr="00C049E7" w:rsidRDefault="00C049E7">
            <w:pPr>
              <w:shd w:val="clear" w:color="auto" w:fill="FFFFFF"/>
              <w:spacing w:before="40" w:after="40" w:line="264" w:lineRule="auto"/>
              <w:jc w:val="both"/>
              <w:rPr>
                <w:bCs/>
                <w:spacing w:val="-3"/>
                <w:lang w:val="ru-RU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>ПАО Московская Биржа:</w:t>
            </w:r>
          </w:p>
          <w:p w:rsidR="00550962" w:rsidRPr="00C049E7" w:rsidRDefault="00C049E7">
            <w:pPr>
              <w:shd w:val="clear" w:color="auto" w:fill="FFFFFF"/>
              <w:spacing w:before="120" w:after="96"/>
              <w:contextualSpacing/>
              <w:rPr>
                <w:bCs/>
                <w:spacing w:val="-3"/>
                <w:lang w:val="ru-RU"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 xml:space="preserve">● Режим торгов </w:t>
            </w: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«Размещение: Адресные заявки»</w:t>
            </w:r>
            <w:r>
              <w:rPr>
                <w:rFonts w:eastAsiaTheme="minorHAnsi"/>
                <w:bCs/>
                <w:spacing w:val="-3"/>
                <w:lang w:val="ru-RU" w:eastAsia="en-GB"/>
              </w:rPr>
              <w:t xml:space="preserve"> путем заключения сделок на основании адресных заявок по фиксированной цене (доходности). </w:t>
            </w: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 xml:space="preserve">Адресные заявки </w:t>
            </w:r>
            <w:r>
              <w:rPr>
                <w:rFonts w:eastAsiaTheme="minorHAnsi"/>
                <w:bCs/>
                <w:spacing w:val="-3"/>
                <w:lang w:val="ru-RU" w:eastAsia="en-GB"/>
              </w:rPr>
              <w:t>необходимо выставлять в адрес АО Россельхозбанк (идентификатор</w:t>
            </w:r>
            <w:r>
              <w:rPr>
                <w:rFonts w:eastAsiaTheme="minorHAnsi"/>
                <w:bCs/>
                <w:spacing w:val="-3"/>
                <w:lang w:val="ru-RU" w:eastAsia="en-GB"/>
              </w:rPr>
              <w:t xml:space="preserve"> Участника торгов в Системе торгов               ПАО Московская Биржа – </w:t>
            </w: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MC0134700000</w:t>
            </w:r>
            <w:r>
              <w:rPr>
                <w:rFonts w:eastAsiaTheme="minorHAnsi"/>
                <w:bCs/>
                <w:spacing w:val="-3"/>
                <w:lang w:val="ru-RU" w:eastAsia="en-GB"/>
              </w:rPr>
              <w:t xml:space="preserve">, краткое наименование организации в Системе </w:t>
            </w:r>
            <w:proofErr w:type="gramStart"/>
            <w:r>
              <w:rPr>
                <w:rFonts w:eastAsiaTheme="minorHAnsi"/>
                <w:bCs/>
                <w:spacing w:val="-3"/>
                <w:lang w:val="ru-RU" w:eastAsia="en-GB"/>
              </w:rPr>
              <w:t>торгов  ПАО</w:t>
            </w:r>
            <w:proofErr w:type="gramEnd"/>
            <w:r>
              <w:rPr>
                <w:rFonts w:eastAsiaTheme="minorHAnsi"/>
                <w:bCs/>
                <w:spacing w:val="-3"/>
                <w:lang w:val="ru-RU" w:eastAsia="en-GB"/>
              </w:rPr>
              <w:t xml:space="preserve"> Московская Биржа – </w:t>
            </w:r>
            <w:proofErr w:type="spellStart"/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Россельхоз</w:t>
            </w:r>
            <w:proofErr w:type="spellEnd"/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 xml:space="preserve"> Б</w:t>
            </w:r>
            <w:r>
              <w:rPr>
                <w:rFonts w:eastAsiaTheme="minorHAnsi"/>
                <w:bCs/>
                <w:spacing w:val="-3"/>
                <w:lang w:val="ru-RU" w:eastAsia="en-GB"/>
              </w:rPr>
              <w:t>)</w:t>
            </w:r>
          </w:p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</w:rPr>
            </w:pPr>
            <w:r>
              <w:rPr>
                <w:rFonts w:eastAsiaTheme="minorHAnsi"/>
                <w:bCs/>
                <w:spacing w:val="-3"/>
                <w:lang w:val="ru-RU" w:eastAsia="en-GB"/>
              </w:rPr>
              <w:t xml:space="preserve">  ●  код расчетов - </w:t>
            </w: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t>Z0</w:t>
            </w:r>
          </w:p>
        </w:tc>
      </w:tr>
      <w:tr w:rsidR="00550962">
        <w:trPr>
          <w:trHeight w:val="1870"/>
        </w:trPr>
        <w:tc>
          <w:tcPr>
            <w:tcW w:w="3292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Default="00C049E7">
            <w:pPr>
              <w:shd w:val="clear" w:color="auto" w:fill="FFFFFF"/>
              <w:spacing w:before="240" w:after="96"/>
              <w:contextualSpacing/>
              <w:rPr>
                <w:b/>
                <w:bCs/>
                <w:spacing w:val="-3"/>
              </w:rPr>
            </w:pPr>
            <w:r>
              <w:rPr>
                <w:rFonts w:eastAsiaTheme="minorHAnsi"/>
                <w:b/>
                <w:bCs/>
                <w:spacing w:val="-3"/>
                <w:lang w:val="ru-RU" w:eastAsia="en-GB"/>
              </w:rPr>
              <w:lastRenderedPageBreak/>
              <w:t>Размещение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962" w:rsidRPr="00C049E7" w:rsidRDefault="00C049E7">
            <w:pPr>
              <w:shd w:val="clear" w:color="auto" w:fill="FFFFFF"/>
              <w:spacing w:before="120" w:after="96"/>
              <w:contextualSpacing/>
              <w:rPr>
                <w:bCs/>
                <w:sz w:val="20"/>
                <w:szCs w:val="20"/>
                <w:u w:val="single"/>
                <w:lang w:val="ru-RU"/>
              </w:rPr>
            </w:pPr>
            <w:r>
              <w:rPr>
                <w:rFonts w:eastAsiaTheme="minorHAnsi"/>
                <w:bCs/>
                <w:u w:val="single"/>
                <w:lang w:val="ru-RU" w:eastAsia="en-GB"/>
              </w:rPr>
              <w:t>Время проведения торгов:</w:t>
            </w:r>
          </w:p>
          <w:p w:rsidR="00550962" w:rsidRPr="00C049E7" w:rsidRDefault="00C049E7">
            <w:pPr>
              <w:shd w:val="clear" w:color="auto" w:fill="FFFFFF"/>
              <w:spacing w:before="120" w:after="96"/>
              <w:contextualSpacing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Theme="minorHAnsi"/>
                <w:bCs/>
                <w:lang w:val="ru-RU" w:eastAsia="en-GB"/>
              </w:rPr>
              <w:t>●  период сбора заявок: 10:00 - 14:30;</w:t>
            </w:r>
            <w:r>
              <w:rPr>
                <w:rFonts w:eastAsiaTheme="minorHAnsi"/>
                <w:bCs/>
                <w:lang w:val="ru-RU" w:eastAsia="en-GB"/>
              </w:rPr>
              <w:br/>
              <w:t>●  период удовлетворения заявок: 14:45 - 16:30.</w:t>
            </w:r>
          </w:p>
          <w:p w:rsidR="00550962" w:rsidRPr="00C049E7" w:rsidRDefault="00C049E7">
            <w:pPr>
              <w:shd w:val="clear" w:color="auto" w:fill="FFFFFF"/>
              <w:spacing w:before="120" w:after="96"/>
              <w:contextualSpacing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Theme="minorHAnsi"/>
                <w:bCs/>
                <w:lang w:val="ru-RU" w:eastAsia="en-GB"/>
              </w:rPr>
              <w:t>После окончания периода удовлетворения:</w:t>
            </w:r>
          </w:p>
          <w:p w:rsidR="00550962" w:rsidRDefault="00C049E7">
            <w:pPr>
              <w:shd w:val="clear" w:color="auto" w:fill="FFFFFF"/>
              <w:spacing w:before="120" w:after="96"/>
              <w:contextualSpacing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lang w:val="ru-RU" w:eastAsia="en-GB"/>
              </w:rPr>
              <w:t>●  время сбора заявок и заключения сделок: 16:45 - 18:30.</w:t>
            </w:r>
            <w:r>
              <w:rPr>
                <w:rFonts w:eastAsiaTheme="minorHAnsi"/>
                <w:bCs/>
                <w:lang w:val="ru-RU" w:eastAsia="en-GB"/>
              </w:rPr>
              <w:br/>
              <w:t>При этом подача заявок на заключение сделок не допускается с 17:29 до п</w:t>
            </w:r>
            <w:r>
              <w:rPr>
                <w:rFonts w:eastAsiaTheme="minorHAnsi"/>
                <w:bCs/>
                <w:lang w:val="ru-RU" w:eastAsia="en-GB"/>
              </w:rPr>
              <w:t>олучения информации от НКО НКЦ (АО), об окончании обработки отчета о сводном поручении ДЕПО.</w:t>
            </w:r>
          </w:p>
        </w:tc>
      </w:tr>
    </w:tbl>
    <w:p w:rsidR="00550962" w:rsidRDefault="00550962">
      <w:pPr>
        <w:tabs>
          <w:tab w:val="left" w:pos="4320"/>
          <w:tab w:val="left" w:pos="5040"/>
        </w:tabs>
        <w:spacing w:after="120"/>
        <w:ind w:right="480"/>
        <w:jc w:val="center"/>
        <w:rPr>
          <w:rFonts w:ascii="Arial" w:hAnsi="Arial" w:cs="Arial"/>
          <w:b/>
          <w:color w:val="1F497D" w:themeColor="text2"/>
          <w:sz w:val="18"/>
          <w:szCs w:val="18"/>
          <w:lang w:val="ru-RU" w:eastAsia="ru-RU"/>
        </w:rPr>
      </w:pPr>
    </w:p>
    <w:p w:rsidR="00550962" w:rsidRDefault="00550962">
      <w:pPr>
        <w:tabs>
          <w:tab w:val="left" w:pos="4320"/>
          <w:tab w:val="left" w:pos="5040"/>
        </w:tabs>
        <w:spacing w:after="120"/>
        <w:ind w:right="480"/>
        <w:jc w:val="center"/>
        <w:rPr>
          <w:rFonts w:ascii="Arial" w:hAnsi="Arial" w:cs="Arial"/>
          <w:b/>
          <w:color w:val="1F497D" w:themeColor="text2"/>
          <w:sz w:val="18"/>
          <w:szCs w:val="18"/>
          <w:lang w:val="ru-RU" w:eastAsia="ru-RU"/>
        </w:rPr>
      </w:pPr>
    </w:p>
    <w:p w:rsidR="00550962" w:rsidRDefault="00C049E7">
      <w:pPr>
        <w:rPr>
          <w:rFonts w:ascii="Arial" w:hAnsi="Arial" w:cs="Arial"/>
          <w:b/>
          <w:color w:val="1F497D" w:themeColor="text2"/>
          <w:sz w:val="18"/>
          <w:szCs w:val="18"/>
          <w:lang w:val="ru-RU" w:eastAsia="ru-RU"/>
        </w:rPr>
      </w:pPr>
      <w:r>
        <w:rPr>
          <w:rFonts w:ascii="Arial" w:hAnsi="Arial" w:cs="Arial"/>
          <w:b/>
          <w:color w:val="1F497D" w:themeColor="text2"/>
          <w:sz w:val="18"/>
          <w:szCs w:val="18"/>
          <w:lang w:val="ru-RU" w:eastAsia="ru-RU"/>
        </w:rPr>
        <w:t>НЕ ЯВЛЯЕТСЯ ИНВЕСТИЦИОННОЙ РЕКОМЕНДАЦИЕЙ, В ТОМ ЧИСЛЕ ИНДИВИДУАЛЬНОЙ</w:t>
      </w:r>
    </w:p>
    <w:p w:rsidR="00550962" w:rsidRDefault="00C049E7">
      <w:pPr>
        <w:widowControl w:val="0"/>
        <w:shd w:val="clear" w:color="auto" w:fill="FFFFFF"/>
        <w:spacing w:before="240"/>
        <w:ind w:left="-567"/>
        <w:jc w:val="center"/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</w:pP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Внимание!</w:t>
      </w:r>
    </w:p>
    <w:p w:rsidR="00550962" w:rsidRDefault="00C049E7">
      <w:pPr>
        <w:widowControl w:val="0"/>
        <w:shd w:val="clear" w:color="auto" w:fill="FFFFFF"/>
        <w:spacing w:before="240"/>
        <w:ind w:left="-567"/>
        <w:jc w:val="both"/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</w:pP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Настоящий информац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ионный материал не является индивидуальной инвестиционной рекомендацией в значении статьи 6.1. и 6.2. Федерального закона от 22.04.1996 №39-ФЗ «О рынке ценных бумаг» и, если применимо, иных нормативных актов Российской Федерации. Любое лицо, ознакомляющеес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я с настоящим информационным материалом, не должно воспринимать его как адресованную лично ему индивидуальную рекомендацию по приобретению/размещению ценных бумаг и должно учитывать, что информация о ценной бумаге, которая содержится в настоящем документе:</w:t>
      </w:r>
    </w:p>
    <w:p w:rsidR="00550962" w:rsidRDefault="00C049E7">
      <w:pPr>
        <w:widowControl w:val="0"/>
        <w:shd w:val="clear" w:color="auto" w:fill="FFFFFF"/>
        <w:spacing w:before="240"/>
        <w:ind w:left="-567"/>
        <w:jc w:val="both"/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</w:pP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а)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ab/>
        <w:t>подготовлена и предоставляется обезличено и не на основании какого-либо договора об инвестиционном консультировании, а также не на основании инвестиционного профиля получателя информации, даже если какие-либо договоры об инвестиционном консультировании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 xml:space="preserve"> были заключены между Организатором (-ами) и (или) Агентом по размещению и (или) Эмитентом и (или) потенциальным инвестором и (или) иным получателем настоящего информационного материала; </w:t>
      </w:r>
    </w:p>
    <w:p w:rsidR="00550962" w:rsidRDefault="00C049E7">
      <w:pPr>
        <w:widowControl w:val="0"/>
        <w:shd w:val="clear" w:color="auto" w:fill="FFFFFF"/>
        <w:spacing w:before="240"/>
        <w:ind w:left="-567"/>
        <w:jc w:val="both"/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</w:pP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б)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ab/>
        <w:t>представляет собой универсальные для всех лиц сведения, в том чис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ле общедоступные для всех сведения. Она может не соответствовать инвестиционному профилю получателя информации и (или) юридического лица, в котором получатель информации является работником (лицом, оказывающим услуги юридическому лицу на основании договора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), не учитывать его (их) индивидуальные предпочтения и ожидания по уровню риска и/или доходности и, таким образом, не является индивидуальной инвестиционной рекомендацией персонально ему (им).</w:t>
      </w:r>
    </w:p>
    <w:p w:rsidR="00550962" w:rsidRDefault="00C049E7">
      <w:pPr>
        <w:widowControl w:val="0"/>
        <w:shd w:val="clear" w:color="auto" w:fill="FFFFFF"/>
        <w:spacing w:before="240"/>
        <w:ind w:left="-567"/>
        <w:jc w:val="both"/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</w:pP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Получатель настоящего информационного материала должен осознава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ть, что:</w:t>
      </w:r>
    </w:p>
    <w:p w:rsidR="00550962" w:rsidRDefault="00C049E7">
      <w:pPr>
        <w:widowControl w:val="0"/>
        <w:shd w:val="clear" w:color="auto" w:fill="FFFFFF"/>
        <w:spacing w:before="240"/>
        <w:ind w:left="-567"/>
        <w:jc w:val="both"/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</w:pP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а)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ab/>
        <w:t>Агент по размещению и Организаторы при направлении настоящего информационного материала не оценивали приемлемость размещения / участия в размещении указанных в настоящем информационном материале ценных бумаг лично для получателя информационного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 xml:space="preserve"> материала и (или) юридического лица, в котором такой получатель является работником (лицом, оказывающим услуги юридическому лицу на основании договора); </w:t>
      </w:r>
    </w:p>
    <w:p w:rsidR="00550962" w:rsidRDefault="00C049E7">
      <w:pPr>
        <w:widowControl w:val="0"/>
        <w:shd w:val="clear" w:color="auto" w:fill="FFFFFF"/>
        <w:spacing w:before="240"/>
        <w:ind w:left="-567"/>
        <w:jc w:val="both"/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</w:pP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б)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ab/>
        <w:t>само по себе направление настоящего информационного материала и коммуникации с его получателем, св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язанные с направлением такого материала, не являются предоставлением Агентом по размещению и Организаторами услуг по инвестиционному консультированию ни на возмездной, ни на безвозмездной основе;</w:t>
      </w:r>
    </w:p>
    <w:p w:rsidR="00550962" w:rsidRDefault="00C049E7">
      <w:pPr>
        <w:widowControl w:val="0"/>
        <w:shd w:val="clear" w:color="auto" w:fill="FFFFFF"/>
        <w:spacing w:before="240"/>
        <w:ind w:left="-567"/>
        <w:jc w:val="both"/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</w:pP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в)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ab/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 xml:space="preserve">рекомендации в отношении ценных могут быть предоставлены получателю настоящих материалов только на основании отдельного возмездного договора на условиях, согласованных сторонами такого договора, в соответствии с инвестиционным профилем, присвоенным такому 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лицу инвестиционным консультантом на основании ожидаемой таким лицом доходности инвестиций, сроков планируемых инвестиций, а также допустимом риске убытков;</w:t>
      </w:r>
    </w:p>
    <w:p w:rsidR="00550962" w:rsidRDefault="00C049E7">
      <w:pPr>
        <w:widowControl w:val="0"/>
        <w:shd w:val="clear" w:color="auto" w:fill="FFFFFF"/>
        <w:spacing w:before="240"/>
        <w:ind w:left="-567"/>
        <w:jc w:val="both"/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</w:pP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г)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ab/>
        <w:t xml:space="preserve">Как Эмитент, так и инвесторы (потенциальные приобретатели ценных бумаг) и (или) иные получатели 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>настоящего информационного материала должны принимать решение о размещении/приобретении ценных бумаг самостоятельно, проведя надлежащий анализ финансовых и иных рисков, связанных с такими действиями и (или) при необходимости привлекая профессиональных конс</w:t>
      </w:r>
      <w:r>
        <w:rPr>
          <w:rFonts w:ascii="Arial" w:hAnsi="Arial" w:cs="Arial"/>
          <w:bCs/>
          <w:color w:val="000000"/>
          <w:spacing w:val="-5"/>
          <w:sz w:val="18"/>
          <w:szCs w:val="18"/>
          <w:lang w:val="ru-RU" w:eastAsia="ru-RU"/>
        </w:rPr>
        <w:t xml:space="preserve">ультантов. </w:t>
      </w:r>
    </w:p>
    <w:p w:rsidR="00550962" w:rsidRDefault="00550962">
      <w:pPr>
        <w:ind w:left="-567"/>
        <w:rPr>
          <w:lang w:val="ru-RU"/>
        </w:rPr>
      </w:pPr>
    </w:p>
    <w:sectPr w:rsidR="00550962">
      <w:headerReference w:type="default" r:id="rId13"/>
      <w:footerReference w:type="default" r:id="rId14"/>
      <w:footnotePr>
        <w:numFmt w:val="chicago"/>
      </w:footnotePr>
      <w:pgSz w:w="11909" w:h="16834"/>
      <w:pgMar w:top="284" w:right="994" w:bottom="1134" w:left="1699" w:header="85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62" w:rsidRDefault="00C049E7">
      <w:r>
        <w:separator/>
      </w:r>
    </w:p>
  </w:endnote>
  <w:endnote w:type="continuationSeparator" w:id="0">
    <w:p w:rsidR="00550962" w:rsidRDefault="00C0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962" w:rsidRDefault="00550962">
    <w:pPr>
      <w:pStyle w:val="Default"/>
    </w:pPr>
  </w:p>
  <w:p w:rsidR="00550962" w:rsidRPr="00C049E7" w:rsidRDefault="00C049E7">
    <w:pPr>
      <w:pStyle w:val="af6"/>
      <w:rPr>
        <w:rFonts w:ascii="Arial" w:hAnsi="Arial" w:cs="Arial"/>
        <w:lang w:val="ru-RU"/>
      </w:rPr>
    </w:pPr>
    <w:r>
      <w:rPr>
        <w:rFonts w:ascii="Arial" w:hAnsi="Arial" w:cs="Arial"/>
      </w:rPr>
      <w:t xml:space="preserve"> </w:t>
    </w:r>
    <w:r w:rsidRPr="00C049E7">
      <w:rPr>
        <w:rFonts w:ascii="Arial" w:hAnsi="Arial" w:cs="Arial"/>
        <w:sz w:val="20"/>
        <w:szCs w:val="20"/>
        <w:lang w:val="ru-RU"/>
      </w:rPr>
      <w:t>НЕ ЯВЛЯЕТСЯ ИНВЕСТИЦИОННОЙ РЕКОМЕНДАЦИЕЙ, В ТОМ ЧИСЛЕ ИНДИВИДУАЛЬНОЙ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62" w:rsidRDefault="00C049E7">
      <w:r>
        <w:separator/>
      </w:r>
    </w:p>
  </w:footnote>
  <w:footnote w:type="continuationSeparator" w:id="0">
    <w:p w:rsidR="00550962" w:rsidRDefault="00C0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962" w:rsidRDefault="0055096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32B8F"/>
    <w:multiLevelType w:val="hybridMultilevel"/>
    <w:tmpl w:val="95149D0A"/>
    <w:lvl w:ilvl="0" w:tplc="16C282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A37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62C6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E8B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4FE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2D5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2FB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2C3B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C80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62"/>
    <w:rsid w:val="00550962"/>
    <w:rsid w:val="00C0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BF0D1-8ACD-4319-B6D0-4BE2D9BD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link w:val="af3"/>
    <w:uiPriority w:val="99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</w:p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customStyle="1" w:styleId="CharCharCharCharCharChar">
    <w:name w:val="Char Char Знак Знак Char Char Знак Знак Char Char Знак Знак"/>
    <w:basedOn w:val="a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lang w:val="en-US"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lang w:val="en-US" w:eastAsia="en-US"/>
    </w:rPr>
  </w:style>
  <w:style w:type="paragraph" w:styleId="aff0">
    <w:name w:val="Revision"/>
    <w:hidden/>
    <w:uiPriority w:val="99"/>
    <w:semiHidden/>
    <w:rPr>
      <w:sz w:val="24"/>
      <w:szCs w:val="24"/>
      <w:lang w:val="en-US" w:eastAsia="en-US"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FFC9-E94A-4F9F-9C75-68B8ADD9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Renaissance Capital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kizilve</dc:creator>
  <cp:lastModifiedBy>Ханова Светлана Александровна</cp:lastModifiedBy>
  <cp:revision>2</cp:revision>
  <dcterms:created xsi:type="dcterms:W3CDTF">2025-10-17T09:26:00Z</dcterms:created>
  <dcterms:modified xsi:type="dcterms:W3CDTF">2025-10-17T09:26:00Z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