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56"/>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56"/>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6"/>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56"/>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56"/>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56"/>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6"/>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24</w:t>
            </w:r>
            <w:r>
              <w:rPr>
                <w:rFonts w:ascii="Calibri" w:hAnsi="Calibri"/>
                <w:bCs/>
                <w:sz w:val="32"/>
                <w:szCs w:val="32"/>
                <w:lang w:eastAsia="en-US"/>
              </w:rPr>
              <w:t xml:space="preserve">.02</w:t>
            </w:r>
            <w:r>
              <w:rPr>
                <w:rFonts w:ascii="Calibri" w:hAnsi="Calibri"/>
                <w:bCs/>
                <w:sz w:val="32"/>
                <w:szCs w:val="32"/>
                <w:lang w:eastAsia="en-US"/>
              </w:rPr>
              <w:t xml:space="preserve">.20</w:t>
            </w:r>
            <w:r>
              <w:rPr>
                <w:rFonts w:ascii="Calibri" w:hAnsi="Calibri"/>
                <w:bCs/>
                <w:sz w:val="32"/>
                <w:szCs w:val="32"/>
                <w:lang w:eastAsia="en-US"/>
              </w:rPr>
              <w:t xml:space="preserve">26</w:t>
            </w:r>
            <w:r>
              <w:rPr>
                <w:rFonts w:ascii="Calibri" w:hAnsi="Calibri"/>
                <w:bCs/>
                <w:sz w:val="32"/>
                <w:szCs w:val="32"/>
                <w:lang w:eastAsia="en-US"/>
              </w:rPr>
              <w:t xml:space="preserve"> г.</w:t>
            </w:r>
            <w:r>
              <w:rPr>
                <w:rFonts w:ascii="Calibri" w:hAnsi="Calibri"/>
                <w:bCs/>
                <w:sz w:val="32"/>
                <w:szCs w:val="32"/>
                <w:lang w:eastAsia="en-US"/>
              </w:rPr>
            </w:r>
            <w:r>
              <w:rPr>
                <w:rFonts w:ascii="Calibri" w:hAnsi="Calibri"/>
                <w:bCs/>
                <w:sz w:val="32"/>
                <w:szCs w:val="32"/>
                <w:lang w:eastAsia="en-US"/>
              </w:rPr>
            </w:r>
          </w:p>
        </w:tc>
      </w:tr>
    </w:tbl>
    <w:p>
      <w:pPr>
        <w:pStyle w:val="1156"/>
      </w:pPr>
      <w:r/>
      <w:r/>
    </w:p>
    <w:p>
      <w:pPr>
        <w:pStyle w:val="1156"/>
      </w:pPr>
      <w:r/>
      <w:r/>
    </w:p>
    <w:p>
      <w:pPr>
        <w:pStyle w:val="1156"/>
      </w:pPr>
      <w:r/>
      <w:r/>
    </w:p>
    <w:p>
      <w:pPr>
        <w:pStyle w:val="1156"/>
      </w:pPr>
      <w:r/>
      <w:r/>
    </w:p>
    <w:p>
      <w:pPr>
        <w:pStyle w:val="1156"/>
      </w:pPr>
      <w:r/>
      <w:r/>
    </w:p>
    <w:p>
      <w:pPr>
        <w:pStyle w:val="1156"/>
      </w:pPr>
      <w:r/>
      <w:r/>
    </w:p>
    <w:p>
      <w:pPr>
        <w:pStyle w:val="1156"/>
      </w:pPr>
      <w:r/>
      <w:r/>
    </w:p>
    <w:p>
      <w:pPr>
        <w:pStyle w:val="1156"/>
      </w:pPr>
      <w:r/>
      <w:r/>
    </w:p>
    <w:p>
      <w:pPr>
        <w:pStyle w:val="1156"/>
      </w:pPr>
      <w:r/>
      <w:r/>
    </w:p>
    <w:p>
      <w:pPr>
        <w:pStyle w:val="1156"/>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56"/>
        <w:rPr>
          <w:sz w:val="28"/>
          <w:szCs w:val="28"/>
        </w:rPr>
      </w:pPr>
      <w:r>
        <w:rPr>
          <w:sz w:val="28"/>
          <w:szCs w:val="28"/>
        </w:rPr>
      </w:r>
      <w:r>
        <w:rPr>
          <w:sz w:val="28"/>
          <w:szCs w:val="28"/>
        </w:rPr>
      </w:r>
      <w:r>
        <w:rPr>
          <w:sz w:val="28"/>
          <w:szCs w:val="28"/>
        </w:rPr>
      </w:r>
    </w:p>
    <w:p>
      <w:pPr>
        <w:pStyle w:val="1156"/>
        <w:rPr>
          <w:sz w:val="28"/>
          <w:szCs w:val="28"/>
        </w:rPr>
      </w:pPr>
      <w:r>
        <w:rPr>
          <w:sz w:val="28"/>
          <w:szCs w:val="28"/>
        </w:rPr>
      </w:r>
      <w:r>
        <w:rPr>
          <w:sz w:val="28"/>
          <w:szCs w:val="28"/>
        </w:rPr>
      </w:r>
      <w:r>
        <w:rPr>
          <w:sz w:val="28"/>
          <w:szCs w:val="28"/>
        </w:rPr>
      </w:r>
    </w:p>
    <w:p>
      <w:pPr>
        <w:pStyle w:val="1156"/>
        <w:rPr>
          <w:sz w:val="28"/>
          <w:szCs w:val="28"/>
        </w:rPr>
      </w:pPr>
      <w:r>
        <w:rPr>
          <w:sz w:val="28"/>
          <w:szCs w:val="28"/>
        </w:rPr>
      </w:r>
      <w:r>
        <w:rPr>
          <w:sz w:val="28"/>
          <w:szCs w:val="28"/>
        </w:rPr>
      </w:r>
      <w:r>
        <w:rPr>
          <w:sz w:val="28"/>
          <w:szCs w:val="28"/>
        </w:rPr>
      </w:r>
    </w:p>
    <w:p>
      <w:pPr>
        <w:pStyle w:val="1156"/>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56"/>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sz w:val="24"/>
                <w:szCs w:val="24"/>
                <w:highlight w:val="none"/>
              </w:rPr>
              <w:t xml:space="preserve">Департамент транзакционных продуктов и сервисов (ДТПиС)</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56"/>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56"/>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56"/>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56"/>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56"/>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56"/>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56"/>
        <w:rPr>
          <w:b/>
          <w:caps/>
          <w:sz w:val="22"/>
          <w:szCs w:val="22"/>
        </w:rPr>
      </w:pPr>
      <w:r>
        <w:rPr>
          <w:b/>
          <w:caps/>
          <w:sz w:val="22"/>
          <w:szCs w:val="22"/>
        </w:rPr>
      </w:r>
      <w:r>
        <w:rPr>
          <w:b/>
          <w:caps/>
          <w:sz w:val="22"/>
          <w:szCs w:val="22"/>
        </w:rPr>
      </w:r>
      <w:r>
        <w:rPr>
          <w:b/>
          <w:caps/>
          <w:sz w:val="22"/>
          <w:szCs w:val="22"/>
        </w:rPr>
      </w:r>
    </w:p>
    <w:p>
      <w:pPr>
        <w:pStyle w:val="1156"/>
        <w:rPr>
          <w:b/>
          <w:caps/>
          <w:sz w:val="22"/>
          <w:szCs w:val="22"/>
        </w:rPr>
      </w:pPr>
      <w:r>
        <w:rPr>
          <w:b/>
          <w:caps/>
          <w:sz w:val="22"/>
          <w:szCs w:val="22"/>
        </w:rPr>
      </w:r>
      <w:r>
        <w:rPr>
          <w:b/>
          <w:caps/>
          <w:sz w:val="22"/>
          <w:szCs w:val="22"/>
        </w:rPr>
      </w:r>
      <w:r>
        <w:rPr>
          <w:b/>
          <w:caps/>
          <w:sz w:val="22"/>
          <w:szCs w:val="22"/>
        </w:rPr>
      </w:r>
    </w:p>
    <w:p>
      <w:pPr>
        <w:pStyle w:val="1185"/>
      </w:pPr>
      <w:r/>
      <w:r/>
    </w:p>
    <w:p>
      <w:pPr>
        <w:pStyle w:val="1185"/>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"_Toc446937095"</w:instrText>
      </w:r>
      <w:r>
        <w:rPr>
          <w:rStyle w:val="1186"/>
        </w:rPr>
        <w:instrText xml:space="preserve"> </w:instrText>
      </w:r>
      <w:r>
        <w:rPr>
          <w:rStyle w:val="1186"/>
        </w:rPr>
        <w:fldChar w:fldCharType="separate"/>
      </w:r>
      <w:r>
        <w:rPr>
          <w:rStyle w:val="1186"/>
        </w:rPr>
        <w:t xml:space="preserve">2. Кассовые операции*</w:t>
      </w:r>
      <w:r>
        <w:tab/>
      </w:r>
      <w:r>
        <w:rPr>
          <w:rStyle w:val="1186"/>
        </w:rPr>
        <w:fldChar w:fldCharType="end"/>
      </w:r>
      <w:r>
        <w:rPr>
          <w:rStyle w:val="1186"/>
        </w:rPr>
        <w:t xml:space="preserve">23</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"_Toc446937096"</w:instrText>
      </w:r>
      <w:r>
        <w:rPr>
          <w:rStyle w:val="1186"/>
        </w:rPr>
        <w:instrText xml:space="preserve"> </w:instrText>
      </w:r>
      <w:r>
        <w:rPr>
          <w:rStyle w:val="1186"/>
        </w:rPr>
        <w:fldChar w:fldCharType="separate"/>
      </w:r>
      <w:r>
        <w:rPr>
          <w:rStyle w:val="1186"/>
          <w:rFonts w:eastAsia="Calibri"/>
        </w:rPr>
        <w:t xml:space="preserve">3. Выполнение функций агента валютного контроля</w:t>
      </w:r>
      <w:r>
        <w:tab/>
      </w:r>
      <w:r>
        <w:rPr>
          <w:rStyle w:val="1186"/>
        </w:rPr>
        <w:fldChar w:fldCharType="end"/>
      </w:r>
      <w:r>
        <w:rPr>
          <w:rStyle w:val="1186"/>
        </w:rPr>
        <w:t xml:space="preserve">27</w:t>
      </w:r>
      <w:r>
        <w:rPr>
          <w:rFonts w:ascii="Calibri" w:hAnsi="Calibri"/>
          <w:sz w:val="22"/>
          <w:szCs w:val="22"/>
        </w:rPr>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"_Toc446937097"</w:instrText>
      </w:r>
      <w:r>
        <w:rPr>
          <w:rStyle w:val="1186"/>
        </w:rPr>
        <w:instrText xml:space="preserve"> </w:instrText>
      </w:r>
      <w:r>
        <w:rPr>
          <w:rStyle w:val="1186"/>
        </w:rPr>
        <w:fldChar w:fldCharType="separate"/>
      </w:r>
      <w:r>
        <w:rPr>
          <w:rStyle w:val="1186"/>
        </w:rPr>
        <w:t xml:space="preserve">4. Операции с ценными бумагами</w:t>
      </w:r>
      <w:r>
        <w:tab/>
      </w:r>
      <w:r>
        <w:rPr>
          <w:rStyle w:val="1186"/>
        </w:rPr>
        <w:fldChar w:fldCharType="end"/>
      </w:r>
      <w:r>
        <w:rPr>
          <w:rStyle w:val="1186"/>
        </w:rPr>
        <w:t xml:space="preserve">32</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"_Toc446937098"</w:instrText>
      </w:r>
      <w:r>
        <w:rPr>
          <w:rStyle w:val="1186"/>
        </w:rPr>
        <w:instrText xml:space="preserve"> </w:instrText>
      </w:r>
      <w:r>
        <w:rPr>
          <w:rStyle w:val="1186"/>
        </w:rPr>
        <w:fldChar w:fldCharType="separate"/>
      </w:r>
      <w:r>
        <w:rPr>
          <w:rStyle w:val="1186"/>
        </w:rPr>
        <w:t xml:space="preserve">5. Документарные операции</w:t>
      </w:r>
      <w:r>
        <w:tab/>
      </w:r>
      <w:r>
        <w:rPr>
          <w:rStyle w:val="1186"/>
        </w:rPr>
        <w:fldChar w:fldCharType="end"/>
      </w:r>
      <w:r>
        <w:rPr>
          <w:rStyle w:val="1186"/>
        </w:rPr>
        <w:t xml:space="preserve">33</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"_Toc446937099"</w:instrText>
      </w:r>
      <w:r>
        <w:rPr>
          <w:rStyle w:val="1186"/>
        </w:rPr>
        <w:instrText xml:space="preserve"> </w:instrText>
      </w:r>
      <w:r>
        <w:rPr>
          <w:rStyle w:val="1186"/>
        </w:rPr>
        <w:fldChar w:fldCharType="separate"/>
      </w:r>
      <w:r>
        <w:rPr>
          <w:rStyle w:val="1186"/>
        </w:rPr>
        <w:t xml:space="preserve">6. Гарантийные операции</w:t>
      </w:r>
      <w:r>
        <w:tab/>
      </w:r>
      <w:r>
        <w:rPr>
          <w:rStyle w:val="1186"/>
        </w:rPr>
        <w:fldChar w:fldCharType="end"/>
      </w:r>
      <w:r>
        <w:rPr>
          <w:rStyle w:val="1186"/>
        </w:rPr>
        <w:t xml:space="preserve">3</w:t>
      </w:r>
      <w:r>
        <w:rPr>
          <w:rStyle w:val="1186"/>
        </w:rPr>
        <w:t xml:space="preserve">9</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"_Toc446937100"</w:instrText>
      </w:r>
      <w:r>
        <w:rPr>
          <w:rStyle w:val="1186"/>
        </w:rPr>
        <w:instrText xml:space="preserve"> </w:instrText>
      </w:r>
      <w:r>
        <w:rPr>
          <w:rStyle w:val="1186"/>
        </w:rPr>
        <w:fldChar w:fldCharType="separate"/>
      </w:r>
      <w:r>
        <w:rPr>
          <w:rStyle w:val="1186"/>
        </w:rPr>
        <w:t xml:space="preserve">7. Дистанционное банковское обслуживание (ДБО)</w:t>
      </w:r>
      <w:r>
        <w:tab/>
      </w:r>
      <w:r>
        <w:rPr>
          <w:rStyle w:val="1186"/>
        </w:rPr>
        <w:fldChar w:fldCharType="end"/>
      </w:r>
      <w:r>
        <w:rPr>
          <w:rStyle w:val="1186"/>
        </w:rPr>
        <w:t xml:space="preserve">42</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"_Toc446937101"</w:instrText>
      </w:r>
      <w:r>
        <w:rPr>
          <w:rStyle w:val="1186"/>
        </w:rPr>
        <w:instrText xml:space="preserve"> </w:instrText>
      </w:r>
      <w:r>
        <w:rPr>
          <w:rStyle w:val="1186"/>
        </w:rPr>
        <w:fldChar w:fldCharType="separate"/>
      </w:r>
      <w:r>
        <w:rPr>
          <w:rStyle w:val="1186"/>
        </w:rPr>
        <w:t xml:space="preserve">8. Хранение ценностей клиентов в хранилище ценностей Банка</w:t>
      </w:r>
      <w:r>
        <w:tab/>
      </w:r>
      <w:r>
        <w:rPr>
          <w:rStyle w:val="1186"/>
        </w:rPr>
        <w:fldChar w:fldCharType="end"/>
      </w:r>
      <w:r>
        <w:rPr>
          <w:rStyle w:val="1186"/>
        </w:rPr>
        <w:t xml:space="preserve">51</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"_Toc446937102"</w:instrText>
      </w:r>
      <w:r>
        <w:rPr>
          <w:rStyle w:val="1186"/>
        </w:rPr>
        <w:instrText xml:space="preserve"> </w:instrText>
      </w:r>
      <w:r>
        <w:rPr>
          <w:rStyle w:val="1186"/>
        </w:rPr>
        <w:fldChar w:fldCharType="separate"/>
      </w:r>
      <w:r>
        <w:rPr>
          <w:rStyle w:val="1186"/>
        </w:rPr>
        <w:t xml:space="preserve">9. Аренда клиентами индивидуальных сейфовых ячеек</w:t>
      </w:r>
      <w:r>
        <w:tab/>
      </w:r>
      <w:r>
        <w:rPr>
          <w:rStyle w:val="1186"/>
        </w:rPr>
        <w:fldChar w:fldCharType="end"/>
      </w:r>
      <w:r>
        <w:rPr>
          <w:rStyle w:val="1186"/>
        </w:rPr>
        <w:t xml:space="preserve">51</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"_Toc446937103"</w:instrText>
      </w:r>
      <w:r>
        <w:rPr>
          <w:rStyle w:val="1186"/>
        </w:rPr>
        <w:instrText xml:space="preserve"> </w:instrText>
      </w:r>
      <w:r>
        <w:rPr>
          <w:rStyle w:val="1186"/>
        </w:rPr>
        <w:fldChar w:fldCharType="separate"/>
      </w:r>
      <w:r>
        <w:rPr>
          <w:rStyle w:val="1186"/>
        </w:rPr>
        <w:t xml:space="preserve">10. Услуги инкассации по отдельному договору с Российским объединением инкассации Банка России</w:t>
      </w:r>
      <w:r>
        <w:tab/>
      </w:r>
      <w:r>
        <w:rPr>
          <w:rStyle w:val="1186"/>
        </w:rPr>
        <w:fldChar w:fldCharType="end"/>
      </w:r>
      <w:r>
        <w:rPr>
          <w:rStyle w:val="1186"/>
        </w:rPr>
        <w:t xml:space="preserve">52</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"_Toc446937104"</w:instrText>
      </w:r>
      <w:r>
        <w:rPr>
          <w:rStyle w:val="1186"/>
        </w:rPr>
        <w:instrText xml:space="preserve"> </w:instrText>
      </w:r>
      <w:r>
        <w:rPr>
          <w:rStyle w:val="1186"/>
        </w:rPr>
        <w:fldChar w:fldCharType="separate"/>
      </w:r>
      <w:r>
        <w:rPr>
          <w:rStyle w:val="1186"/>
        </w:rPr>
        <w:t xml:space="preserve">11. Операции по покупке-продаже иностранной валюты</w:t>
      </w:r>
      <w:r>
        <w:tab/>
      </w:r>
      <w:r>
        <w:rPr>
          <w:rStyle w:val="1186"/>
        </w:rPr>
        <w:fldChar w:fldCharType="end"/>
      </w:r>
      <w:r>
        <w:rPr>
          <w:rStyle w:val="1186"/>
        </w:rPr>
        <w:t xml:space="preserve">53</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"_Toc446937105"</w:instrText>
      </w:r>
      <w:r>
        <w:rPr>
          <w:rStyle w:val="1186"/>
        </w:rPr>
        <w:instrText xml:space="preserve"> </w:instrText>
      </w:r>
      <w:r>
        <w:rPr>
          <w:rStyle w:val="1186"/>
        </w:rPr>
        <w:fldChar w:fldCharType="separate"/>
      </w:r>
      <w:r>
        <w:rPr>
          <w:rStyle w:val="1186"/>
        </w:rPr>
        <w:t xml:space="preserve">12. Кредитные операции</w:t>
      </w:r>
      <w:r>
        <w:tab/>
      </w:r>
      <w:bookmarkStart w:id="0" w:name="_Hlt447302832"/>
      <w:r/>
      <w:bookmarkEnd w:id="0"/>
      <w:r/>
      <w:bookmarkStart w:id="1" w:name="_Hlt447302833"/>
      <w:r/>
      <w:bookmarkEnd w:id="1"/>
      <w:r>
        <w:rPr>
          <w:rStyle w:val="1186"/>
        </w:rPr>
        <w:fldChar w:fldCharType="end"/>
      </w:r>
      <w:r>
        <w:rPr>
          <w:rStyle w:val="1186"/>
        </w:rPr>
        <w:t xml:space="preserve">54</w:t>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"_Toc446937106"</w:instrText>
      </w:r>
      <w:r>
        <w:rPr>
          <w:rStyle w:val="1186"/>
        </w:rPr>
        <w:instrText xml:space="preserve"> </w:instrText>
      </w:r>
      <w:r>
        <w:rPr>
          <w:rStyle w:val="1186"/>
        </w:rPr>
        <w:fldChar w:fldCharType="separate"/>
      </w:r>
      <w:r>
        <w:rPr>
          <w:rStyle w:val="1186"/>
        </w:rPr>
        <w:t xml:space="preserve">13. Обслуживание торгово-сервисных предприятий*, принимающих к оплате платежные карты</w:t>
      </w:r>
      <w:r>
        <w:rPr>
          <w:rStyle w:val="1186"/>
        </w:rPr>
        <w:t xml:space="preserve"> а также принимающих оплату через сервис быстрых платежей платежной системы Банка России</w:t>
      </w:r>
      <w:r>
        <w:rPr>
          <w:rStyle w:val="1186"/>
        </w:rPr>
        <w:tab/>
      </w:r>
      <w:r>
        <w:rPr>
          <w:rStyle w:val="1186"/>
        </w:rPr>
        <w:fldChar w:fldCharType="end"/>
      </w:r>
      <w:r>
        <w:rPr>
          <w:rStyle w:val="1186"/>
        </w:rPr>
        <w:t xml:space="preserve">64</w:t>
      </w:r>
      <w:r>
        <w:rPr>
          <w:rFonts w:ascii="Calibri" w:hAnsi="Calibri"/>
          <w:sz w:val="22"/>
          <w:szCs w:val="22"/>
        </w:rPr>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"_Toc446937107"</w:instrText>
      </w:r>
      <w:r>
        <w:rPr>
          <w:rStyle w:val="1186"/>
        </w:rPr>
        <w:instrText xml:space="preserve"> </w:instrText>
      </w:r>
      <w:r>
        <w:rPr>
          <w:rStyle w:val="1186"/>
        </w:rPr>
        <w:fldChar w:fldCharType="separate"/>
      </w:r>
      <w:r>
        <w:rPr>
          <w:rStyle w:val="1186"/>
        </w:rPr>
        <w:t xml:space="preserve">14. Депозитарные услуги</w:t>
      </w:r>
      <w:r>
        <w:tab/>
      </w:r>
      <w:r>
        <w:rPr>
          <w:rStyle w:val="1186"/>
        </w:rPr>
        <w:fldChar w:fldCharType="end"/>
      </w:r>
      <w:r>
        <w:rPr>
          <w:rStyle w:val="1186"/>
        </w:rPr>
        <w:t xml:space="preserve">66</w:t>
      </w:r>
      <w:r>
        <w:rPr>
          <w:rFonts w:ascii="Calibri" w:hAnsi="Calibri"/>
          <w:sz w:val="22"/>
          <w:szCs w:val="22"/>
        </w:rPr>
      </w:r>
      <w:r>
        <w:rPr>
          <w:rFonts w:ascii="Calibri" w:hAnsi="Calibri"/>
          <w:sz w:val="22"/>
          <w:szCs w:val="22"/>
        </w:rPr>
      </w:r>
    </w:p>
    <w:p>
      <w:pPr>
        <w:pStyle w:val="1185"/>
        <w:rPr>
          <w:rFonts w:ascii="Calibri" w:hAnsi="Calibri"/>
          <w:sz w:val="22"/>
          <w:szCs w:val="22"/>
        </w:rPr>
      </w:pPr>
      <w:r>
        <w:rPr>
          <w:rStyle w:val="1186"/>
        </w:rPr>
        <w:fldChar w:fldCharType="begin"/>
      </w:r>
      <w:r>
        <w:rPr>
          <w:rStyle w:val="1186"/>
        </w:rPr>
        <w:instrText xml:space="preserve"> </w:instrText>
      </w:r>
      <w:r>
        <w:instrText xml:space="preserve">HYPERLINK \l "_Toc446937107"</w:instrText>
      </w:r>
      <w:r>
        <w:rPr>
          <w:rStyle w:val="1186"/>
        </w:rPr>
        <w:instrText xml:space="preserve"> </w:instrText>
      </w:r>
      <w:r>
        <w:rPr>
          <w:rStyle w:val="1186"/>
        </w:rPr>
        <w:fldChar w:fldCharType="separate"/>
      </w:r>
      <w:r>
        <w:rPr>
          <w:rStyle w:val="1186"/>
        </w:rPr>
        <w:t xml:space="preserve">15</w:t>
      </w:r>
      <w:r>
        <w:rPr>
          <w:rStyle w:val="1186"/>
        </w:rPr>
        <w:t xml:space="preserve">. </w:t>
      </w:r>
      <w:r>
        <w:rPr>
          <w:rStyle w:val="1186"/>
        </w:rPr>
        <w:t xml:space="preserve">Операции с драгоценными металлами</w:t>
      </w:r>
      <w:r>
        <w:tab/>
      </w:r>
      <w:r>
        <w:rPr>
          <w:rStyle w:val="1186"/>
        </w:rPr>
        <w:fldChar w:fldCharType="end"/>
      </w:r>
      <w:r>
        <w:rPr>
          <w:rStyle w:val="1186"/>
        </w:rPr>
        <w:t xml:space="preserve">71</w:t>
      </w:r>
      <w:r>
        <w:rPr>
          <w:rFonts w:ascii="Calibri" w:hAnsi="Calibri"/>
          <w:sz w:val="22"/>
          <w:szCs w:val="22"/>
        </w:rPr>
      </w:r>
    </w:p>
    <w:p>
      <w:pPr>
        <w:jc w:val="both"/>
        <w:rPr>
          <w:highlight w:val="none"/>
        </w:rPr>
      </w:pPr>
      <w:r>
        <w:rPr>
          <w:highlight w:val="none"/>
        </w:rPr>
      </w:r>
      <w:r>
        <w:rPr>
          <w:rStyle w:val="1186"/>
        </w:rPr>
        <w:fldChar w:fldCharType="begin"/>
      </w:r>
      <w:r>
        <w:rPr>
          <w:rStyle w:val="1186"/>
        </w:rPr>
        <w:instrText xml:space="preserve"> </w:instrText>
      </w:r>
      <w:r>
        <w:instrText xml:space="preserve">HYPERLINK \l "_Toc446937107"</w:instrText>
      </w:r>
      <w:r>
        <w:rPr>
          <w:rStyle w:val="1186"/>
        </w:rPr>
        <w:instrText xml:space="preserve"> </w:instrText>
      </w:r>
      <w:r>
        <w:rPr>
          <w:rStyle w:val="1186"/>
        </w:rPr>
        <w:fldChar w:fldCharType="separate"/>
        <w:t xml:space="preserve">16</w:t>
      </w:r>
      <w:r>
        <w:rPr>
          <w:rStyle w:val="1186"/>
        </w:rPr>
        <w:t xml:space="preserve">. </w:t>
      </w:r>
      <w:r>
        <w:t xml:space="preserve">Операции с использованием цифрового рубля ..........................................................................</w:t>
      </w:r>
      <w:r>
        <w:t xml:space="preserve"> </w:t>
      </w:r>
      <w:r>
        <w:rPr>
          <w:rStyle w:val="1186"/>
        </w:rPr>
        <w:fldChar w:fldCharType="end"/>
        <w:t xml:space="preserve">73</w:t>
      </w:r>
      <w:r>
        <w:rPr>
          <w:rStyle w:val="1186"/>
        </w:rPr>
      </w:r>
      <w:r>
        <w:rPr>
          <w:highlight w:val="none"/>
        </w:rPr>
      </w:r>
    </w:p>
    <w:p>
      <w:pPr>
        <w:pStyle w:val="1160"/>
        <w:jc w:val="both"/>
      </w:pPr>
      <w:r>
        <w:fldChar w:fldCharType="end"/>
      </w:r>
      <w:r/>
    </w:p>
    <w:p>
      <w:pPr>
        <w:pStyle w:val="1156"/>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6"/>
              <w:jc w:val="center"/>
              <w:rPr>
                <w:b/>
                <w:sz w:val="20"/>
                <w:szCs w:val="20"/>
              </w:rPr>
            </w:pPr>
            <w:r>
              <w:rPr>
                <w:b/>
                <w:sz w:val="20"/>
                <w:szCs w:val="20"/>
              </w:rPr>
              <w:t xml:space="preserve">№</w:t>
            </w:r>
            <w:r>
              <w:rPr>
                <w:b/>
                <w:sz w:val="20"/>
                <w:szCs w:val="20"/>
              </w:rPr>
            </w:r>
            <w:r>
              <w:rPr>
                <w:b/>
                <w:sz w:val="20"/>
                <w:szCs w:val="20"/>
              </w:rPr>
            </w:r>
          </w:p>
          <w:p>
            <w:pPr>
              <w:pStyle w:val="1156"/>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6"/>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56"/>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56"/>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6"/>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6"/>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6"/>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04"/>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04"/>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56"/>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56"/>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56"/>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56"/>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56"/>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t xml:space="preserve">-зачисление</w:t>
            </w:r>
            <w:r>
              <w:rPr>
                <w:sz w:val="20"/>
                <w:szCs w:val="20"/>
                <w:highlight w:val="none"/>
                <w:lang w:eastAsia="en-US"/>
              </w:rPr>
              <w:t xml:space="preserve">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6"/>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04"/>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04"/>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04"/>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56"/>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56"/>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6"/>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56"/>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56"/>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56"/>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56"/>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56"/>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56"/>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34"/>
              <w:spacing w:after="40"/>
              <w:rPr>
                <w:sz w:val="20"/>
                <w:szCs w:val="20"/>
              </w:rPr>
            </w:pPr>
            <w:r>
              <w:rPr>
                <w:sz w:val="20"/>
                <w:szCs w:val="20"/>
              </w:rPr>
            </w:r>
            <w:r>
              <w:rPr>
                <w:sz w:val="20"/>
                <w:szCs w:val="20"/>
              </w:rPr>
            </w:r>
            <w:r>
              <w:rPr>
                <w:sz w:val="20"/>
                <w:szCs w:val="20"/>
              </w:rPr>
            </w:r>
          </w:p>
          <w:p>
            <w:pPr>
              <w:pStyle w:val="1156"/>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after="40"/>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6"/>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56"/>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6"/>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6"/>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after="120"/>
            </w:pPr>
            <w:r>
              <w:rPr>
                <w:sz w:val="20"/>
                <w:szCs w:val="20"/>
              </w:rPr>
              <w:t xml:space="preserve">300 руб. за перевод при Суммарном объеме переводов денежных средств до 150 000,00 руб. (включительно) в месяц;</w:t>
            </w:r>
            <w:r>
              <w:rPr>
                <w:sz w:val="20"/>
                <w:szCs w:val="20"/>
              </w:rPr>
            </w:r>
            <w:r/>
          </w:p>
          <w:p>
            <w:pPr>
              <w:pStyle w:val="1156"/>
              <w:jc w:val="center"/>
              <w:spacing w:after="120"/>
            </w:pPr>
            <w:r>
              <w:rPr>
                <w:sz w:val="20"/>
                <w:szCs w:val="20"/>
              </w:rPr>
              <w:t xml:space="preserve">1% от суммы перевода при Суммарном объеме переводов денежных средств с 150 000,01 руб. до 300 000,00 руб. (включительно) в месяц;</w:t>
            </w:r>
            <w:r>
              <w:rPr>
                <w:sz w:val="20"/>
                <w:szCs w:val="20"/>
              </w:rPr>
            </w:r>
            <w:r/>
          </w:p>
          <w:p>
            <w:pPr>
              <w:pStyle w:val="1156"/>
              <w:jc w:val="center"/>
              <w:spacing w:after="120"/>
            </w:pPr>
            <w:r>
              <w:rPr>
                <w:sz w:val="20"/>
                <w:szCs w:val="20"/>
              </w:rPr>
              <w:t xml:space="preserve">1,7% от суммы перевода при Суммарном объеме переводов денежных средств с 300 000,01 руб. до 2 000 000,00 руб. (включительно) в месяц;</w:t>
            </w:r>
            <w:r>
              <w:rPr>
                <w:sz w:val="20"/>
                <w:szCs w:val="20"/>
              </w:rPr>
            </w:r>
            <w:r/>
          </w:p>
          <w:p>
            <w:pPr>
              <w:pStyle w:val="1156"/>
              <w:jc w:val="center"/>
              <w:spacing w:after="120"/>
            </w:pPr>
            <w:r>
              <w:rPr>
                <w:sz w:val="20"/>
                <w:szCs w:val="20"/>
              </w:rPr>
              <w:t xml:space="preserve">3,7% от суммы  перевода при Суммарном объеме переводов денежных средств с 2 000 000,01 руб. до 5 000 000,00 руб. (включительно) в месяц;</w:t>
            </w:r>
            <w:r>
              <w:rPr>
                <w:sz w:val="20"/>
                <w:szCs w:val="20"/>
              </w:rPr>
            </w:r>
            <w:r/>
          </w:p>
          <w:p>
            <w:pPr>
              <w:pStyle w:val="1156"/>
              <w:jc w:val="center"/>
              <w:spacing w:after="120"/>
              <w:rPr>
                <w:sz w:val="20"/>
                <w:szCs w:val="20"/>
              </w:rPr>
            </w:pPr>
            <w:r>
              <w:rPr>
                <w:sz w:val="20"/>
                <w:szCs w:val="20"/>
              </w:rPr>
              <w:t xml:space="preserve">6% от суммы перевода при Суммарном объеме переводов денежных средств свыше 5 000 000,00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56"/>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56"/>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56"/>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56"/>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56"/>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56"/>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56"/>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56"/>
              <w:jc w:val="both"/>
              <w:rPr>
                <w:sz w:val="20"/>
                <w:szCs w:val="20"/>
              </w:rPr>
            </w:pPr>
            <w:r>
              <w:rPr>
                <w:sz w:val="20"/>
                <w:szCs w:val="20"/>
              </w:rPr>
              <w:t xml:space="preserve">- перечисление алиментов, пенсий,</w:t>
            </w:r>
            <w:r>
              <w:rPr>
                <w:sz w:val="20"/>
                <w:szCs w:val="20"/>
              </w:rPr>
            </w:r>
            <w:r>
              <w:rPr>
                <w:sz w:val="20"/>
                <w:szCs w:val="20"/>
              </w:rPr>
            </w:r>
          </w:p>
          <w:p>
            <w:pPr>
              <w:pStyle w:val="1156"/>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56"/>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56"/>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56"/>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56"/>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56"/>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56"/>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56"/>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56"/>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56"/>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56"/>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56"/>
              <w:jc w:val="both"/>
              <w:spacing w:before="40"/>
              <w:rPr>
                <w:sz w:val="20"/>
                <w:szCs w:val="20"/>
              </w:rPr>
            </w:pPr>
            <w:r>
              <w:rPr>
                <w:sz w:val="20"/>
                <w:szCs w:val="20"/>
              </w:rPr>
              <w:t xml:space="preserve">Для </w:t>
            </w:r>
            <w:r>
              <w:rPr>
                <w:sz w:val="20"/>
                <w:szCs w:val="20"/>
              </w:rPr>
              <w:t xml:space="preserve">опре</w:t>
            </w:r>
            <w:r>
              <w:rPr>
                <w:sz w:val="20"/>
                <w:szCs w:val="20"/>
              </w:rPr>
              <w:t xml:space="preserve">деления размера тарифа по каждой операции рассчитывается Суммарный объем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56"/>
              <w:jc w:val="both"/>
              <w:rPr>
                <w:sz w:val="20"/>
                <w:szCs w:val="20"/>
              </w:rPr>
            </w:pPr>
            <w:r>
              <w:rPr>
                <w:sz w:val="20"/>
                <w:szCs w:val="20"/>
              </w:rPr>
            </w:r>
            <w:r>
              <w:rPr>
                <w:sz w:val="20"/>
                <w:szCs w:val="20"/>
              </w:rPr>
              <w:t xml:space="preserve">П</w:t>
            </w:r>
            <w:r>
              <w:rPr>
                <w:sz w:val="20"/>
                <w:szCs w:val="20"/>
              </w:rPr>
              <w:t xml:space="preserve">ри этом комиссия за перевод рассчитывается по ставке, соответствующей достигнутому диапазону Суммарного объема перевода денежных средств, указанному в графе «Тариф». Деление суммы перевода на части, для применения ставки, приходящейся на разные диапазоны, </w:t>
            </w:r>
            <w:r>
              <w:rPr>
                <w:sz w:val="20"/>
                <w:szCs w:val="20"/>
              </w:rPr>
              <w:t xml:space="preserve">не производится</w:t>
            </w:r>
            <w:r>
              <w:rPr>
                <w:sz w:val="20"/>
                <w:szCs w:val="20"/>
              </w:rPr>
            </w:r>
            <w:r>
              <w:rPr>
                <w:sz w:val="20"/>
                <w:szCs w:val="20"/>
              </w:rPr>
            </w:r>
          </w:p>
          <w:p>
            <w:pPr>
              <w:pStyle w:val="1156"/>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56"/>
              <w:jc w:val="both"/>
              <w:rPr>
                <w:sz w:val="20"/>
                <w:szCs w:val="20"/>
              </w:rPr>
            </w:pPr>
            <w:r>
              <w:rPr>
                <w:sz w:val="20"/>
                <w:szCs w:val="20"/>
              </w:rPr>
              <w:t xml:space="preserve">При расчете Суммарного объема не учитываются операции, указанные в пунктах 2, 3, 4 настоящего примечания.</w:t>
            </w:r>
            <w:r>
              <w:rPr>
                <w:sz w:val="20"/>
                <w:szCs w:val="20"/>
              </w:rPr>
            </w:r>
            <w:r>
              <w:rPr>
                <w:sz w:val="20"/>
                <w:szCs w:val="20"/>
              </w:rPr>
            </w:r>
          </w:p>
          <w:p>
            <w:pPr>
              <w:pStyle w:val="1156"/>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6"/>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6"/>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6"/>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6"/>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56"/>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6"/>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56"/>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56"/>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6"/>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56"/>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6"/>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56"/>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56"/>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t xml:space="preserve">-</w:t>
            </w:r>
            <w:r>
              <w:rPr>
                <w:sz w:val="20"/>
                <w:szCs w:val="20"/>
                <w:highlight w:val="none"/>
                <w:lang w:eastAsia="en-US"/>
              </w:rPr>
              <w:t xml:space="preserve">з</w:t>
            </w:r>
            <w:r>
              <w:rPr>
                <w:sz w:val="20"/>
                <w:szCs w:val="20"/>
                <w:highlight w:val="none"/>
                <w:lang w:eastAsia="en-US"/>
              </w:rPr>
              <w:t xml:space="preserve">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5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6"/>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56"/>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56"/>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5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6"/>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56"/>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56"/>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56"/>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5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56"/>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rPr>
                <w:sz w:val="20"/>
                <w:szCs w:val="20"/>
              </w:rPr>
            </w:pPr>
            <w:r>
              <w:rPr>
                <w:sz w:val="20"/>
                <w:szCs w:val="20"/>
              </w:rPr>
              <w:t xml:space="preserve">0,33%</w:t>
            </w:r>
            <w:r>
              <w:rPr>
                <w:sz w:val="20"/>
                <w:szCs w:val="20"/>
              </w:rPr>
            </w:r>
            <w:r>
              <w:rPr>
                <w:sz w:val="20"/>
                <w:szCs w:val="20"/>
              </w:rPr>
            </w:r>
          </w:p>
          <w:p>
            <w:pPr>
              <w:pStyle w:val="1156"/>
              <w:jc w:val="center"/>
              <w:rPr>
                <w:sz w:val="20"/>
                <w:szCs w:val="20"/>
              </w:rPr>
            </w:pPr>
            <w:r>
              <w:rPr>
                <w:sz w:val="20"/>
                <w:szCs w:val="20"/>
              </w:rPr>
              <w:t xml:space="preserve">минимум </w:t>
            </w:r>
            <w:r>
              <w:rPr>
                <w:sz w:val="20"/>
                <w:szCs w:val="20"/>
              </w:rPr>
            </w:r>
            <w:r>
              <w:rPr>
                <w:sz w:val="20"/>
                <w:szCs w:val="20"/>
              </w:rPr>
            </w:r>
          </w:p>
          <w:p>
            <w:pPr>
              <w:pStyle w:val="1156"/>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56"/>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6"/>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6"/>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6"/>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56"/>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56"/>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56"/>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56"/>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56"/>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56"/>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56"/>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6"/>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6"/>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6"/>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56"/>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56"/>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56"/>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56"/>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6"/>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6"/>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6"/>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6"/>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6"/>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56"/>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56"/>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56"/>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56"/>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78"/>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78"/>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8"/>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56"/>
        <w:jc w:val="both"/>
        <w:tabs>
          <w:tab w:val="left" w:pos="1080" w:leader="none"/>
        </w:tabs>
        <w:rPr>
          <w:sz w:val="20"/>
          <w:szCs w:val="20"/>
        </w:rPr>
      </w:pPr>
      <w:r>
        <w:rPr>
          <w:sz w:val="20"/>
          <w:szCs w:val="20"/>
        </w:rPr>
      </w:r>
      <w:r>
        <w:rPr>
          <w:sz w:val="20"/>
          <w:szCs w:val="20"/>
        </w:rPr>
      </w:r>
      <w:r>
        <w:rPr>
          <w:sz w:val="20"/>
          <w:szCs w:val="20"/>
        </w:rPr>
      </w:r>
    </w:p>
    <w:p>
      <w:pPr>
        <w:pStyle w:val="1156"/>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56"/>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56"/>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56"/>
        <w:jc w:val="center"/>
        <w:keepNext/>
        <w:spacing w:before="120" w:after="40"/>
        <w:rPr>
          <w:sz w:val="20"/>
          <w:szCs w:val="20"/>
        </w:rPr>
        <w:outlineLvl w:val="1"/>
      </w:pPr>
      <w:r>
        <w:rPr>
          <w:sz w:val="20"/>
          <w:szCs w:val="20"/>
        </w:rPr>
      </w:r>
      <w:r>
        <w:rPr>
          <w:sz w:val="20"/>
          <w:szCs w:val="20"/>
        </w:rPr>
      </w:r>
      <w:r>
        <w:rPr>
          <w:sz w:val="20"/>
          <w:szCs w:val="20"/>
        </w:rPr>
      </w:r>
    </w:p>
    <w:p>
      <w:pPr>
        <w:pStyle w:val="1160"/>
        <w:rPr>
          <w:lang w:val="ru-RU"/>
        </w:rPr>
      </w:pPr>
      <w:r>
        <w:rPr>
          <w:lang w:val="ru-RU"/>
        </w:rPr>
      </w:r>
      <w:r>
        <w:rPr>
          <w:lang w:val="ru-RU"/>
        </w:rPr>
      </w:r>
      <w:r>
        <w:rPr>
          <w:lang w:val="ru-RU"/>
        </w:rPr>
      </w:r>
    </w:p>
    <w:p>
      <w:pPr>
        <w:pStyle w:val="1160"/>
      </w:pPr>
      <w:r>
        <w:t xml:space="preserve">2.</w:t>
      </w:r>
      <w:r>
        <w:t xml:space="preserve"> </w:t>
      </w:r>
      <w:r>
        <w:t xml:space="preserve">Кассовые</w:t>
      </w:r>
      <w:r>
        <w:t xml:space="preserve"> </w:t>
      </w:r>
      <w:r>
        <w:t xml:space="preserve">операции*</w:t>
      </w:r>
      <w:bookmarkEnd w:id="4"/>
      <w: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15"/>
        <w:gridCol w:w="2126"/>
        <w:gridCol w:w="3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56"/>
              <w:jc w:val="center"/>
              <w:rPr>
                <w:b/>
                <w:sz w:val="20"/>
                <w:szCs w:val="20"/>
              </w:rPr>
            </w:pPr>
            <w:r>
              <w:rPr>
                <w:b/>
                <w:sz w:val="20"/>
                <w:szCs w:val="20"/>
              </w:rPr>
              <w:t xml:space="preserve">№п/п</w:t>
            </w:r>
            <w:r>
              <w:rPr>
                <w:b/>
                <w:sz w:val="20"/>
                <w:szCs w:val="20"/>
              </w:rPr>
            </w:r>
            <w:r>
              <w:rPr>
                <w:b/>
                <w:sz w:val="20"/>
                <w:szCs w:val="20"/>
              </w:rPr>
            </w:r>
          </w:p>
        </w:tc>
        <w:tc>
          <w:tcPr>
            <w:tcW w:w="3815"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6"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3556"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6"/>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156"/>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15" w:type="dxa"/>
            <w:vAlign w:val="top"/>
            <w:textDirection w:val="lrTb"/>
            <w:noWrap w:val="false"/>
          </w:tcPr>
          <w:p>
            <w:pPr>
              <w:pStyle w:val="1156"/>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56"/>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26" w:type="dxa"/>
            <w:vAlign w:val="top"/>
            <w:textDirection w:val="lrTb"/>
            <w:noWrap w:val="false"/>
          </w:tcPr>
          <w:p>
            <w:pPr>
              <w:pStyle w:val="1156"/>
              <w:jc w:val="center"/>
            </w:pPr>
            <w:r>
              <w:rPr>
                <w:sz w:val="20"/>
                <w:szCs w:val="20"/>
              </w:rPr>
              <w:t xml:space="preserve">2% от суммы выдачи при Суммарном объеме выдачи денежных средств до 300 000 руб. (включительно) в месяц;</w:t>
            </w:r>
            <w:r>
              <w:rPr>
                <w:sz w:val="20"/>
                <w:szCs w:val="20"/>
              </w:rPr>
            </w:r>
            <w:r/>
          </w:p>
          <w:p>
            <w:pPr>
              <w:pStyle w:val="1156"/>
              <w:jc w:val="center"/>
            </w:pPr>
            <w:r>
              <w:rPr>
                <w:sz w:val="20"/>
                <w:szCs w:val="20"/>
              </w:rPr>
              <w:t xml:space="preserve">3,5% от суммы выдачи при Суммарном объеме выдачи денежных средств с 300 000,01 руб. до 1 500 000,00 руб. (включительно) в месяц;</w:t>
            </w:r>
            <w:r>
              <w:rPr>
                <w:sz w:val="20"/>
                <w:szCs w:val="20"/>
              </w:rPr>
            </w:r>
            <w:r/>
          </w:p>
          <w:p>
            <w:pPr>
              <w:pStyle w:val="1156"/>
              <w:jc w:val="center"/>
            </w:pPr>
            <w:r>
              <w:rPr>
                <w:sz w:val="20"/>
                <w:szCs w:val="20"/>
              </w:rPr>
              <w:t xml:space="preserve">6,5% от суммы выдачи при Суммарном объеме выдачи денежных средств с 1 500 000,01 руб. до 4 000 000,00 руб. (включительно) в месяц;</w:t>
            </w:r>
            <w:r>
              <w:rPr>
                <w:sz w:val="20"/>
                <w:szCs w:val="20"/>
              </w:rPr>
            </w:r>
            <w:r/>
          </w:p>
          <w:p>
            <w:pPr>
              <w:pStyle w:val="1156"/>
              <w:jc w:val="center"/>
              <w:rPr>
                <w:sz w:val="20"/>
                <w:szCs w:val="20"/>
              </w:rPr>
            </w:pPr>
            <w:r>
              <w:rPr>
                <w:sz w:val="20"/>
                <w:szCs w:val="20"/>
              </w:rPr>
              <w:t xml:space="preserve">10% от суммы выдачи при Суммарном объеме выдачи денежных средств с 4 000 000,01 руб. и выше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156"/>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jc w:val="both"/>
              <w:tabs>
                <w:tab w:val="left" w:pos="0" w:leader="none"/>
                <w:tab w:val="left" w:pos="1134" w:leader="none"/>
              </w:tabs>
              <w:rPr>
                <w:sz w:val="20"/>
                <w:szCs w:val="20"/>
              </w:rPr>
            </w:pPr>
            <w:r>
              <w:rPr>
                <w:bCs/>
                <w:sz w:val="20"/>
                <w:szCs w:val="20"/>
                <w:highlight w:val="none"/>
              </w:rPr>
            </w:r>
            <w:r>
              <w:rPr>
                <w:bCs/>
                <w:sz w:val="20"/>
                <w:szCs w:val="20"/>
                <w:highlight w:val="none"/>
              </w:rPr>
              <w:t xml:space="preserve">П</w:t>
            </w:r>
            <w:r>
              <w:rPr>
                <w:bCs/>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bCs/>
                <w:sz w:val="20"/>
                <w:szCs w:val="20"/>
                <w:highlight w:val="none"/>
              </w:rPr>
              <w:t xml:space="preserve">на разные диапазоны, не производится.</w:t>
            </w:r>
            <w:r>
              <w:rPr>
                <w:sz w:val="20"/>
                <w:szCs w:val="20"/>
              </w:rPr>
            </w:r>
            <w:r>
              <w:rPr>
                <w:sz w:val="20"/>
                <w:szCs w:val="20"/>
              </w:rPr>
            </w:r>
          </w:p>
          <w:p>
            <w:pPr>
              <w:pStyle w:val="1156"/>
              <w:jc w:val="both"/>
              <w:tabs>
                <w:tab w:val="left" w:pos="0" w:leader="none"/>
                <w:tab w:val="left" w:pos="1134" w:leader="none"/>
              </w:tabs>
              <w:rPr>
                <w:sz w:val="20"/>
                <w:szCs w:val="20"/>
                <w:highlight w:val="none"/>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highlight w:val="none"/>
              </w:rPr>
            </w:r>
            <w:r>
              <w:rPr>
                <w:sz w:val="20"/>
                <w:szCs w:val="20"/>
                <w:highlight w:val="none"/>
              </w:rPr>
            </w:r>
          </w:p>
          <w:p>
            <w:pPr>
              <w:pStyle w:val="1156"/>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рассчитанного Суммарного объема денежных средств.</w:t>
            </w:r>
            <w:r>
              <w:rPr>
                <w:bCs/>
                <w:sz w:val="20"/>
                <w:szCs w:val="20"/>
              </w:rPr>
            </w:r>
            <w:r>
              <w:rPr>
                <w:bCs/>
                <w:sz w:val="20"/>
                <w:szCs w:val="20"/>
              </w:rPr>
            </w:r>
          </w:p>
          <w:p>
            <w:pPr>
              <w:pStyle w:val="1156"/>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15" w:type="dxa"/>
            <w:vAlign w:val="top"/>
            <w:textDirection w:val="lrTb"/>
            <w:noWrap w:val="false"/>
          </w:tcPr>
          <w:p>
            <w:pPr>
              <w:pStyle w:val="1156"/>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26" w:type="dxa"/>
            <w:vAlign w:val="top"/>
            <w:textDirection w:val="lrTb"/>
            <w:noWrap w:val="false"/>
          </w:tcPr>
          <w:p>
            <w:pPr>
              <w:pStyle w:val="1156"/>
              <w:jc w:val="center"/>
              <w:spacing w:before="40" w:after="40"/>
            </w:pPr>
            <w:r>
              <w:rPr>
                <w:bCs/>
                <w:sz w:val="20"/>
                <w:szCs w:val="20"/>
              </w:rPr>
              <w:t xml:space="preserve">1,3% от суммы выдачи при Суммарном объеме выдачи денежных средств до 3 500 000,00 руб. (включительно) в месяц,</w:t>
            </w:r>
            <w:r>
              <w:rPr>
                <w:bCs/>
                <w:sz w:val="20"/>
                <w:szCs w:val="20"/>
              </w:rPr>
            </w:r>
            <w:r/>
          </w:p>
          <w:p>
            <w:pPr>
              <w:pStyle w:val="1156"/>
              <w:jc w:val="center"/>
              <w:spacing w:before="40" w:after="40"/>
            </w:pPr>
            <w:r>
              <w:rPr>
                <w:bCs/>
                <w:sz w:val="20"/>
                <w:szCs w:val="20"/>
              </w:rPr>
              <w:t xml:space="preserve">1,5% от суммы выдачи при Суммарном объеме выдачи денежных средств с 3 500 000,01 до 6 000 000,00 руб. (включительно) в месяц,</w:t>
            </w:r>
            <w:r>
              <w:rPr>
                <w:bCs/>
                <w:sz w:val="20"/>
                <w:szCs w:val="20"/>
              </w:rPr>
            </w:r>
            <w:r/>
          </w:p>
          <w:p>
            <w:pPr>
              <w:pStyle w:val="1156"/>
              <w:jc w:val="center"/>
              <w:spacing w:before="40" w:after="40"/>
            </w:pPr>
            <w:r>
              <w:rPr>
                <w:bCs/>
                <w:sz w:val="20"/>
                <w:szCs w:val="20"/>
              </w:rPr>
              <w:t xml:space="preserve">3% от суммы выдачи при Суммарном объеме выдачи денежных средств с 6 000 000,01 до 10 000 000,00 руб. (включительно) в месяц,</w:t>
            </w:r>
            <w:r>
              <w:rPr>
                <w:bCs/>
                <w:sz w:val="20"/>
                <w:szCs w:val="20"/>
              </w:rPr>
            </w:r>
            <w:r/>
          </w:p>
          <w:p>
            <w:pPr>
              <w:pStyle w:val="1156"/>
              <w:jc w:val="center"/>
              <w:spacing w:before="40" w:after="40"/>
            </w:pPr>
            <w:r>
              <w:rPr>
                <w:bCs/>
                <w:sz w:val="20"/>
                <w:szCs w:val="20"/>
              </w:rPr>
              <w:t xml:space="preserve">5% от суммы выдачи при Суммарном объеме выдачи денежных средств с 10 000 000,01 до 15 000 000,00 руб. (включительно) в  месяц,</w:t>
            </w:r>
            <w:r>
              <w:rPr>
                <w:bCs/>
                <w:sz w:val="20"/>
                <w:szCs w:val="20"/>
              </w:rPr>
            </w:r>
            <w:r/>
          </w:p>
          <w:p>
            <w:pPr>
              <w:pStyle w:val="1156"/>
              <w:jc w:val="center"/>
              <w:spacing w:before="40" w:after="40"/>
              <w:rPr>
                <w:bCs/>
                <w:sz w:val="20"/>
                <w:szCs w:val="20"/>
              </w:rPr>
            </w:pPr>
            <w:r>
              <w:rPr>
                <w:bCs/>
                <w:sz w:val="20"/>
                <w:szCs w:val="20"/>
              </w:rPr>
              <w:t xml:space="preserve">10% от суммы выдачи при Суммарном объеме выдачи денежных средств c 15 000 000,01 руб. и выше в месяц</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156"/>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bCs/>
                <w:sz w:val="20"/>
                <w:szCs w:val="20"/>
                <w:highlight w:val="none"/>
              </w:rPr>
              <w:t xml:space="preserve">П</w:t>
            </w:r>
            <w:r>
              <w:rPr>
                <w:bCs/>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bCs/>
                <w:sz w:val="20"/>
                <w:szCs w:val="20"/>
                <w:highlight w:val="none"/>
              </w:rPr>
              <w:t xml:space="preserve">на разные диапазоны, не производится.</w:t>
            </w:r>
            <w:r>
              <w:rPr>
                <w:sz w:val="20"/>
                <w:szCs w:val="20"/>
              </w:rPr>
            </w:r>
            <w:r>
              <w:rPr>
                <w:sz w:val="20"/>
                <w:szCs w:val="20"/>
              </w:rPr>
            </w:r>
          </w:p>
          <w:p>
            <w:pPr>
              <w:pStyle w:val="1156"/>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56"/>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рассчитанный Суммарный объем денежных средств.</w:t>
            </w:r>
            <w:r>
              <w:rPr>
                <w:bCs/>
                <w:sz w:val="20"/>
                <w:szCs w:val="20"/>
              </w:rPr>
            </w:r>
            <w:r>
              <w:rPr>
                <w:bCs/>
                <w:sz w:val="20"/>
                <w:szCs w:val="20"/>
              </w:rPr>
            </w:r>
          </w:p>
          <w:p>
            <w:pPr>
              <w:pStyle w:val="1156"/>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2.4.</w:t>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6" w:type="dxa"/>
            <w:vAlign w:val="top"/>
            <w:textDirection w:val="lrTb"/>
            <w:noWrap w:val="false"/>
          </w:tcPr>
          <w:p>
            <w:pPr>
              <w:pStyle w:val="1156"/>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56"/>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56"/>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56"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56"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56"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6"/>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56" w:type="dxa"/>
            <w:vAlign w:val="top"/>
            <w:vMerge w:val="restart"/>
            <w:textDirection w:val="lrTb"/>
            <w:noWrap w:val="false"/>
          </w:tcPr>
          <w:p>
            <w:pPr>
              <w:pStyle w:val="1156"/>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5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56"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56"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56"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bCs/>
                <w:sz w:val="20"/>
                <w:szCs w:val="20"/>
              </w:rPr>
              <w:t xml:space="preserve">0,5% от суммы,</w:t>
            </w:r>
            <w:r>
              <w:rPr>
                <w:bCs/>
                <w:sz w:val="20"/>
                <w:szCs w:val="20"/>
              </w:rPr>
            </w:r>
            <w:r>
              <w:rPr>
                <w:bCs/>
                <w:sz w:val="20"/>
                <w:szCs w:val="20"/>
              </w:rPr>
            </w:r>
          </w:p>
          <w:p>
            <w:pPr>
              <w:pStyle w:val="1156"/>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5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bCs/>
                <w:sz w:val="20"/>
                <w:szCs w:val="20"/>
              </w:rPr>
              <w:t xml:space="preserve">2,5% от суммы,</w:t>
            </w:r>
            <w:r>
              <w:rPr>
                <w:bCs/>
                <w:sz w:val="20"/>
                <w:szCs w:val="20"/>
              </w:rPr>
            </w:r>
            <w:r>
              <w:rPr>
                <w:bCs/>
                <w:sz w:val="20"/>
                <w:szCs w:val="20"/>
              </w:rPr>
            </w:r>
          </w:p>
          <w:p>
            <w:pPr>
              <w:pStyle w:val="1156"/>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56"/>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56"/>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156"/>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56"/>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56"/>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56"/>
        <w:rPr>
          <w:bCs/>
          <w:sz w:val="20"/>
          <w:szCs w:val="20"/>
          <w:u w:val="single"/>
        </w:rPr>
      </w:pPr>
      <w:r>
        <w:rPr>
          <w:bCs/>
          <w:sz w:val="20"/>
          <w:szCs w:val="20"/>
          <w:u w:val="single"/>
        </w:rPr>
      </w:r>
      <w:r>
        <w:rPr>
          <w:bCs/>
          <w:sz w:val="20"/>
          <w:szCs w:val="20"/>
          <w:u w:val="single"/>
        </w:rPr>
      </w:r>
      <w:r>
        <w:rPr>
          <w:bCs/>
          <w:sz w:val="20"/>
          <w:szCs w:val="20"/>
          <w:u w:val="single"/>
        </w:rPr>
      </w:r>
    </w:p>
    <w:p>
      <w:pPr>
        <w:pStyle w:val="1156"/>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56"/>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56"/>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56"/>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56"/>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56"/>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56"/>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56"/>
        <w:ind w:firstLine="540"/>
        <w:jc w:val="both"/>
        <w:spacing w:before="40"/>
        <w:rPr>
          <w:b/>
          <w:bCs/>
          <w:sz w:val="2"/>
          <w:szCs w:val="2"/>
        </w:rPr>
      </w:pPr>
      <w:r>
        <w:rPr>
          <w:b/>
          <w:bCs/>
          <w:sz w:val="2"/>
          <w:szCs w:val="2"/>
        </w:rPr>
      </w:r>
      <w:r>
        <w:rPr>
          <w:b/>
          <w:bCs/>
          <w:sz w:val="2"/>
          <w:szCs w:val="2"/>
        </w:rPr>
      </w:r>
      <w:r>
        <w:rPr>
          <w:b/>
          <w:bCs/>
          <w:sz w:val="2"/>
          <w:szCs w:val="2"/>
        </w:rPr>
      </w:r>
    </w:p>
    <w:p>
      <w:pPr>
        <w:pStyle w:val="1156"/>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56"/>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56"/>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56"/>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56"/>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56"/>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56"/>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56"/>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56"/>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56"/>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56"/>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56"/>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56"/>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56"/>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56"/>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56"/>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56"/>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56"/>
              <w:jc w:val="both"/>
              <w:rPr>
                <w:bCs/>
                <w:sz w:val="20"/>
                <w:szCs w:val="20"/>
              </w:rPr>
            </w:pPr>
            <w:r>
              <w:rPr>
                <w:bCs/>
                <w:sz w:val="20"/>
                <w:szCs w:val="20"/>
              </w:rPr>
            </w:r>
            <w:r>
              <w:rPr>
                <w:bCs/>
                <w:sz w:val="20"/>
                <w:szCs w:val="20"/>
              </w:rPr>
            </w:r>
            <w:r>
              <w:rPr>
                <w:bCs/>
                <w:sz w:val="20"/>
                <w:szCs w:val="20"/>
              </w:rPr>
            </w:r>
          </w:p>
          <w:p>
            <w:pPr>
              <w:pStyle w:val="115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6"/>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56"/>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56"/>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5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5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5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56"/>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5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56"/>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6"/>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56"/>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56"/>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56"/>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56"/>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56"/>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56"/>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6"/>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56"/>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6"/>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56"/>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56"/>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56"/>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56"/>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56"/>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56"/>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56"/>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56"/>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6"/>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56"/>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6"/>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5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5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56"/>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5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56"/>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56"/>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56"/>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3 000 руб.</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6"/>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56"/>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56"/>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56"/>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56"/>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5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56"/>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56"/>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56"/>
              <w:jc w:val="both"/>
              <w:rPr>
                <w:sz w:val="20"/>
                <w:szCs w:val="20"/>
              </w:rPr>
            </w:pPr>
            <w:r>
              <w:rPr>
                <w:sz w:val="20"/>
                <w:szCs w:val="20"/>
              </w:rPr>
              <w:t xml:space="preserve">Комиссия взимается:</w:t>
            </w:r>
            <w:r>
              <w:rPr>
                <w:sz w:val="20"/>
                <w:szCs w:val="20"/>
              </w:rPr>
            </w:r>
            <w:r>
              <w:rPr>
                <w:sz w:val="20"/>
                <w:szCs w:val="20"/>
              </w:rPr>
            </w:r>
          </w:p>
          <w:p>
            <w:pPr>
              <w:pStyle w:val="1156"/>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56"/>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56"/>
              <w:contextualSpacing/>
              <w:jc w:val="center"/>
              <w:rPr>
                <w:sz w:val="20"/>
                <w:szCs w:val="20"/>
              </w:rPr>
            </w:pPr>
            <w:r>
              <w:rPr>
                <w:sz w:val="20"/>
                <w:szCs w:val="20"/>
              </w:rPr>
              <w:t xml:space="preserve">0,12%</w:t>
            </w:r>
            <w:r>
              <w:rPr>
                <w:sz w:val="20"/>
                <w:szCs w:val="20"/>
              </w:rPr>
            </w:r>
            <w:r>
              <w:rPr>
                <w:sz w:val="20"/>
                <w:szCs w:val="20"/>
              </w:rPr>
            </w:r>
          </w:p>
          <w:p>
            <w:pPr>
              <w:pStyle w:val="1156"/>
              <w:contextualSpacing/>
              <w:jc w:val="center"/>
              <w:rPr>
                <w:sz w:val="20"/>
                <w:szCs w:val="20"/>
              </w:rPr>
            </w:pPr>
            <w:r>
              <w:rPr>
                <w:sz w:val="20"/>
                <w:szCs w:val="20"/>
              </w:rPr>
              <w:t xml:space="preserve">минимум 250 руб.,</w:t>
            </w:r>
            <w:r>
              <w:rPr>
                <w:sz w:val="20"/>
                <w:szCs w:val="20"/>
              </w:rPr>
            </w:r>
            <w:r>
              <w:rPr>
                <w:sz w:val="20"/>
                <w:szCs w:val="20"/>
              </w:rPr>
            </w:r>
          </w:p>
          <w:p>
            <w:pPr>
              <w:pStyle w:val="1156"/>
              <w:contextualSpacing/>
              <w:jc w:val="center"/>
              <w:rPr>
                <w:sz w:val="20"/>
                <w:szCs w:val="20"/>
              </w:rPr>
            </w:pPr>
            <w:r>
              <w:rPr>
                <w:sz w:val="20"/>
                <w:szCs w:val="20"/>
              </w:rPr>
              <w:t xml:space="preserve">максимум 10 000 руб.</w:t>
            </w:r>
            <w:r>
              <w:rPr>
                <w:sz w:val="20"/>
                <w:szCs w:val="20"/>
              </w:rPr>
            </w:r>
            <w:r>
              <w:rPr>
                <w:sz w:val="20"/>
                <w:szCs w:val="20"/>
              </w:rPr>
            </w:r>
          </w:p>
          <w:p>
            <w:pPr>
              <w:pStyle w:val="1156"/>
              <w:contextualSpacing/>
              <w:jc w:val="center"/>
              <w:rPr>
                <w:sz w:val="20"/>
                <w:szCs w:val="20"/>
              </w:rPr>
            </w:pPr>
            <w:r>
              <w:rPr>
                <w:sz w:val="20"/>
                <w:szCs w:val="20"/>
              </w:rPr>
              <w:t xml:space="preserve">для ГО, ЦРМБ и ЦКБ,</w:t>
            </w:r>
            <w:r>
              <w:rPr>
                <w:sz w:val="20"/>
                <w:szCs w:val="20"/>
              </w:rPr>
            </w:r>
            <w:r>
              <w:rPr>
                <w:sz w:val="20"/>
                <w:szCs w:val="20"/>
              </w:rPr>
            </w:r>
          </w:p>
          <w:p>
            <w:pPr>
              <w:pStyle w:val="1156"/>
              <w:contextualSpacing/>
              <w:jc w:val="center"/>
              <w:rPr>
                <w:sz w:val="20"/>
                <w:szCs w:val="20"/>
              </w:rPr>
            </w:pPr>
            <w:r>
              <w:rPr>
                <w:sz w:val="20"/>
                <w:szCs w:val="20"/>
              </w:rPr>
              <w:t xml:space="preserve">минимум 150 руб.,</w:t>
            </w:r>
            <w:r>
              <w:rPr>
                <w:sz w:val="20"/>
                <w:szCs w:val="20"/>
              </w:rPr>
            </w:r>
            <w:r>
              <w:rPr>
                <w:sz w:val="20"/>
                <w:szCs w:val="20"/>
              </w:rPr>
            </w:r>
          </w:p>
          <w:p>
            <w:pPr>
              <w:pStyle w:val="1156"/>
              <w:contextualSpacing/>
              <w:jc w:val="center"/>
              <w:rPr>
                <w:sz w:val="20"/>
                <w:szCs w:val="20"/>
              </w:rPr>
            </w:pPr>
            <w:r>
              <w:rPr>
                <w:sz w:val="20"/>
                <w:szCs w:val="20"/>
              </w:rPr>
              <w:t xml:space="preserve">максимум 5 000 руб.</w:t>
            </w:r>
            <w:r>
              <w:rPr>
                <w:sz w:val="20"/>
                <w:szCs w:val="20"/>
              </w:rPr>
            </w:r>
            <w:r>
              <w:rPr>
                <w:sz w:val="20"/>
                <w:szCs w:val="20"/>
              </w:rPr>
            </w:r>
          </w:p>
          <w:p>
            <w:pPr>
              <w:pStyle w:val="1156"/>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56"/>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56"/>
              <w:jc w:val="both"/>
              <w:rPr>
                <w:b/>
                <w:sz w:val="20"/>
                <w:szCs w:val="20"/>
              </w:rPr>
            </w:pPr>
            <w:r>
              <w:rPr>
                <w:b/>
                <w:sz w:val="20"/>
                <w:szCs w:val="20"/>
              </w:rPr>
              <w:t xml:space="preserve">Комиссия не взимается:</w:t>
            </w:r>
            <w:r>
              <w:rPr>
                <w:b/>
                <w:sz w:val="20"/>
                <w:szCs w:val="20"/>
              </w:rPr>
            </w:r>
            <w:r>
              <w:rPr>
                <w:b/>
                <w:sz w:val="20"/>
                <w:szCs w:val="20"/>
              </w:rPr>
            </w:r>
          </w:p>
          <w:p>
            <w:pPr>
              <w:pStyle w:val="1156"/>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56"/>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56"/>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56"/>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56"/>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56"/>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5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6"/>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56"/>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56"/>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56"/>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6"/>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56"/>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56"/>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56"/>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56"/>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56"/>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56"/>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56"/>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56"/>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56"/>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56"/>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56"/>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56"/>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56"/>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56"/>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56"/>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56"/>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56"/>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56"/>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56"/>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56"/>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56"/>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56"/>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56"/>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56"/>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56"/>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56"/>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56"/>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56"/>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56"/>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56"/>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56"/>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56"/>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56"/>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56"/>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56"/>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56"/>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56"/>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56"/>
        <w:jc w:val="both"/>
        <w:spacing w:before="120"/>
        <w:rPr>
          <w:sz w:val="20"/>
          <w:szCs w:val="20"/>
        </w:rPr>
      </w:pPr>
      <w:r>
        <w:rPr>
          <w:sz w:val="20"/>
          <w:szCs w:val="20"/>
        </w:rPr>
      </w:r>
      <w:r>
        <w:rPr>
          <w:sz w:val="20"/>
          <w:szCs w:val="20"/>
        </w:rPr>
      </w:r>
      <w:r>
        <w:rPr>
          <w:sz w:val="20"/>
          <w:szCs w:val="20"/>
        </w:rPr>
      </w:r>
    </w:p>
    <w:p>
      <w:pPr>
        <w:pStyle w:val="1156"/>
      </w:pPr>
      <w:r>
        <w:rPr>
          <w:rFonts w:eastAsia="Calibri"/>
          <w:sz w:val="20"/>
          <w:szCs w:val="20"/>
          <w:lang w:eastAsia="en-US"/>
        </w:rPr>
        <w:t xml:space="preserve">       </w:t>
      </w:r>
      <w:r/>
    </w:p>
    <w:p>
      <w:pPr>
        <w:pStyle w:val="1160"/>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56"/>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56"/>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56"/>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56"/>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56"/>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56"/>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56"/>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56"/>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6"/>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56"/>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56"/>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56"/>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56"/>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56"/>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56"/>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56"/>
              <w:jc w:val="both"/>
              <w:spacing w:before="40"/>
              <w:rPr>
                <w:sz w:val="20"/>
                <w:szCs w:val="20"/>
              </w:rPr>
            </w:pPr>
            <w:r>
              <w:rPr>
                <w:sz w:val="20"/>
                <w:szCs w:val="20"/>
              </w:rPr>
              <w:t xml:space="preserve">Комиссия включает НДС.</w:t>
            </w:r>
            <w:r>
              <w:rPr>
                <w:sz w:val="20"/>
                <w:szCs w:val="20"/>
              </w:rPr>
            </w:r>
            <w:r>
              <w:rPr>
                <w:sz w:val="20"/>
                <w:szCs w:val="20"/>
              </w:rPr>
            </w:r>
          </w:p>
          <w:p>
            <w:pPr>
              <w:pStyle w:val="1156"/>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56"/>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60"/>
      </w:pPr>
      <w:r>
        <w:t xml:space="preserve">5.</w:t>
      </w:r>
      <w:r>
        <w:t xml:space="preserve"> </w:t>
      </w:r>
      <w:bookmarkStart w:id="6" w:name="_Toc446937098"/>
      <w:r>
        <w:t xml:space="preserve">Документарные</w:t>
      </w:r>
      <w:r>
        <w:t xml:space="preserve"> </w:t>
      </w:r>
      <w:r>
        <w:t xml:space="preserve">операции</w:t>
      </w:r>
      <w:bookmarkEnd w:id="6"/>
      <w:r/>
      <w:r/>
    </w:p>
    <w:p>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rPr>
                <w:b/>
                <w:sz w:val="20"/>
                <w:szCs w:val="20"/>
              </w:rPr>
            </w:pPr>
            <w:r>
              <w:rPr>
                <w:b/>
                <w:sz w:val="20"/>
                <w:szCs w:val="20"/>
              </w:rPr>
              <w:t xml:space="preserve">№</w:t>
            </w:r>
            <w:r>
              <w:rPr>
                <w:b/>
                <w:sz w:val="20"/>
                <w:szCs w:val="20"/>
              </w:rPr>
            </w:r>
            <w:r>
              <w:rPr>
                <w:b/>
                <w:sz w:val="20"/>
                <w:szCs w:val="20"/>
              </w:rPr>
            </w:r>
          </w:p>
          <w:p>
            <w:pPr>
              <w:pStyle w:val="1156"/>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5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56"/>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56"/>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56"/>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56"/>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5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5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56"/>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56"/>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56"/>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5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6"/>
              <w:jc w:val="center"/>
              <w:rPr>
                <w:bCs/>
                <w:sz w:val="20"/>
                <w:szCs w:val="20"/>
              </w:rPr>
            </w:pPr>
            <w:r>
              <w:rPr>
                <w:bCs/>
                <w:sz w:val="20"/>
                <w:szCs w:val="20"/>
              </w:rPr>
              <w:t xml:space="preserve">минимум 5 000 руб.,</w:t>
            </w:r>
            <w:r>
              <w:rPr>
                <w:bCs/>
                <w:sz w:val="20"/>
                <w:szCs w:val="20"/>
              </w:rPr>
            </w:r>
            <w:r>
              <w:rPr>
                <w:bCs/>
                <w:sz w:val="20"/>
                <w:szCs w:val="20"/>
              </w:rPr>
            </w:r>
          </w:p>
          <w:p>
            <w:pPr>
              <w:pStyle w:val="1156"/>
              <w:jc w:val="center"/>
              <w:rPr>
                <w:bCs/>
                <w:sz w:val="20"/>
                <w:szCs w:val="20"/>
              </w:rPr>
            </w:pPr>
            <w:r>
              <w:rPr>
                <w:bCs/>
                <w:sz w:val="20"/>
                <w:szCs w:val="20"/>
              </w:rPr>
              <w:t xml:space="preserve">максимум 50 000 руб.,</w:t>
            </w:r>
            <w:r>
              <w:rPr>
                <w:bCs/>
                <w:sz w:val="20"/>
                <w:szCs w:val="20"/>
              </w:rPr>
            </w:r>
            <w:r>
              <w:rPr>
                <w:bCs/>
                <w:sz w:val="20"/>
                <w:szCs w:val="20"/>
              </w:rPr>
            </w:r>
          </w:p>
          <w:p>
            <w:pPr>
              <w:pStyle w:val="115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5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6"/>
              <w:jc w:val="center"/>
              <w:rPr>
                <w:bCs/>
                <w:sz w:val="20"/>
                <w:szCs w:val="20"/>
              </w:rPr>
            </w:pPr>
            <w:r>
              <w:rPr>
                <w:bCs/>
                <w:sz w:val="20"/>
                <w:szCs w:val="20"/>
              </w:rPr>
              <w:t xml:space="preserve">минимум 5 000 руб.,</w:t>
            </w:r>
            <w:r>
              <w:rPr>
                <w:bCs/>
                <w:sz w:val="20"/>
                <w:szCs w:val="20"/>
              </w:rPr>
            </w:r>
            <w:r>
              <w:rPr>
                <w:bCs/>
                <w:sz w:val="20"/>
                <w:szCs w:val="20"/>
              </w:rPr>
            </w:r>
          </w:p>
          <w:p>
            <w:pPr>
              <w:pStyle w:val="115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56"/>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6"/>
              <w:jc w:val="center"/>
              <w:rPr>
                <w:bCs/>
                <w:sz w:val="20"/>
                <w:szCs w:val="20"/>
              </w:rPr>
            </w:pPr>
            <w:r>
              <w:rPr>
                <w:bCs/>
                <w:sz w:val="20"/>
                <w:szCs w:val="20"/>
              </w:rPr>
              <w:t xml:space="preserve">минимум 5000 руб.,</w:t>
            </w:r>
            <w:r>
              <w:rPr>
                <w:bCs/>
                <w:sz w:val="20"/>
                <w:szCs w:val="20"/>
              </w:rPr>
            </w:r>
            <w:r>
              <w:rPr>
                <w:bCs/>
                <w:sz w:val="20"/>
                <w:szCs w:val="20"/>
              </w:rPr>
            </w:r>
          </w:p>
          <w:p>
            <w:pPr>
              <w:pStyle w:val="115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5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5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56"/>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56"/>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56"/>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56"/>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56"/>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56"/>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5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5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56"/>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56"/>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56"/>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56"/>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56"/>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56"/>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5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56"/>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56"/>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56"/>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56"/>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56"/>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56"/>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6"/>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5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5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56"/>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56"/>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56"/>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56"/>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5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56"/>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56"/>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5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56"/>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56"/>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5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56"/>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sz w:val="20"/>
                <w:szCs w:val="20"/>
              </w:rPr>
            </w:pPr>
            <w:r>
              <w:rPr>
                <w:sz w:val="20"/>
                <w:szCs w:val="20"/>
              </w:rPr>
              <w:t xml:space="preserve">0,15% от суммы,</w:t>
            </w:r>
            <w:r>
              <w:rPr>
                <w:sz w:val="20"/>
                <w:szCs w:val="20"/>
              </w:rPr>
            </w:r>
            <w:r>
              <w:rPr>
                <w:sz w:val="20"/>
                <w:szCs w:val="20"/>
              </w:rPr>
            </w:r>
          </w:p>
          <w:p>
            <w:pPr>
              <w:pStyle w:val="115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56"/>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sz w:val="20"/>
                <w:szCs w:val="20"/>
              </w:rPr>
            </w:pPr>
            <w:r>
              <w:rPr>
                <w:sz w:val="20"/>
                <w:szCs w:val="20"/>
              </w:rPr>
              <w:t xml:space="preserve">0,15% от суммы,</w:t>
            </w:r>
            <w:r>
              <w:rPr>
                <w:sz w:val="20"/>
                <w:szCs w:val="20"/>
              </w:rPr>
            </w:r>
            <w:r>
              <w:rPr>
                <w:sz w:val="20"/>
                <w:szCs w:val="20"/>
              </w:rPr>
            </w:r>
          </w:p>
          <w:p>
            <w:pPr>
              <w:pStyle w:val="115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56"/>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56"/>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56"/>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56"/>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56"/>
              <w:rPr>
                <w:sz w:val="20"/>
                <w:szCs w:val="20"/>
              </w:rPr>
            </w:pPr>
            <w:r>
              <w:rPr>
                <w:sz w:val="20"/>
                <w:szCs w:val="20"/>
              </w:rPr>
            </w:r>
            <w:r>
              <w:rPr>
                <w:sz w:val="20"/>
                <w:szCs w:val="20"/>
              </w:rPr>
            </w:r>
            <w:r>
              <w:rPr>
                <w:sz w:val="20"/>
                <w:szCs w:val="20"/>
              </w:rPr>
            </w:r>
          </w:p>
        </w:tc>
      </w:tr>
    </w:tbl>
    <w:p>
      <w:pPr>
        <w:pStyle w:val="1156"/>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56"/>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56"/>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56"/>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56"/>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56"/>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56"/>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56"/>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56"/>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56"/>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56"/>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56"/>
        <w:rPr>
          <w:lang w:eastAsia="en-US"/>
        </w:rPr>
      </w:pPr>
      <w:r>
        <w:rPr>
          <w:lang w:eastAsia="en-US"/>
        </w:rPr>
      </w:r>
      <w:r>
        <w:rPr>
          <w:lang w:eastAsia="en-US"/>
        </w:rPr>
      </w:r>
      <w:r>
        <w:rPr>
          <w:lang w:eastAsia="en-US"/>
        </w:rPr>
      </w:r>
    </w:p>
    <w:p>
      <w:pPr>
        <w:pStyle w:val="1156"/>
      </w:pPr>
      <w:r/>
      <w:r/>
    </w:p>
    <w:p>
      <w:pPr>
        <w:pStyle w:val="1156"/>
        <w:rPr>
          <w:sz w:val="20"/>
          <w:szCs w:val="20"/>
        </w:rPr>
      </w:pPr>
      <w:r>
        <w:rPr>
          <w:sz w:val="20"/>
          <w:szCs w:val="20"/>
        </w:rPr>
      </w:r>
      <w:r>
        <w:rPr>
          <w:sz w:val="20"/>
          <w:szCs w:val="20"/>
        </w:rPr>
      </w:r>
      <w:r>
        <w:rPr>
          <w:sz w:val="20"/>
          <w:szCs w:val="20"/>
        </w:rPr>
      </w:r>
    </w:p>
    <w:p>
      <w:pPr>
        <w:pStyle w:val="1160"/>
      </w:pPr>
      <w:r/>
      <w:bookmarkStart w:id="7" w:name="_Toc446937099"/>
      <w:r>
        <w:t xml:space="preserve">6.</w:t>
      </w:r>
      <w:r>
        <w:t xml:space="preserve"> </w:t>
      </w:r>
      <w:r>
        <w:t xml:space="preserve">Гарантийные</w:t>
      </w:r>
      <w:r>
        <w:t xml:space="preserve"> </w:t>
      </w:r>
      <w:r>
        <w:t xml:space="preserve">операции</w:t>
      </w:r>
      <w:bookmarkEnd w:id="7"/>
      <w:r/>
      <w:r/>
    </w:p>
    <w:p>
      <w:pPr>
        <w:pStyle w:val="1156"/>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5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5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56"/>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56"/>
              <w:jc w:val="both"/>
              <w:rPr>
                <w:sz w:val="20"/>
                <w:szCs w:val="20"/>
              </w:rPr>
            </w:pPr>
            <w:r>
              <w:rPr>
                <w:sz w:val="20"/>
                <w:szCs w:val="20"/>
              </w:rPr>
            </w:r>
            <w:r>
              <w:rPr>
                <w:sz w:val="20"/>
                <w:szCs w:val="20"/>
              </w:rPr>
            </w:r>
            <w:r>
              <w:rPr>
                <w:sz w:val="20"/>
                <w:szCs w:val="20"/>
              </w:rPr>
            </w:r>
          </w:p>
          <w:p>
            <w:pPr>
              <w:pStyle w:val="1205"/>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56"/>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56"/>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5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5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56"/>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6"/>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56"/>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56"/>
              <w:jc w:val="both"/>
              <w:rPr>
                <w:sz w:val="20"/>
                <w:szCs w:val="20"/>
              </w:rPr>
            </w:pPr>
            <w:r>
              <w:rPr>
                <w:sz w:val="20"/>
                <w:szCs w:val="20"/>
              </w:rPr>
            </w:r>
            <w:r>
              <w:rPr>
                <w:sz w:val="20"/>
                <w:szCs w:val="20"/>
              </w:rPr>
            </w:r>
            <w:r>
              <w:rPr>
                <w:sz w:val="20"/>
                <w:szCs w:val="20"/>
              </w:rPr>
            </w:r>
          </w:p>
          <w:p>
            <w:pPr>
              <w:pStyle w:val="1205"/>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56"/>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56"/>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56"/>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56"/>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5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5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56"/>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6.2.2.</w:t>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56"/>
              <w:jc w:val="both"/>
              <w:rPr>
                <w:sz w:val="20"/>
                <w:szCs w:val="20"/>
              </w:rPr>
            </w:pPr>
            <w:r>
              <w:rPr>
                <w:sz w:val="20"/>
                <w:szCs w:val="20"/>
              </w:rPr>
            </w:r>
            <w:r>
              <w:rPr>
                <w:sz w:val="20"/>
                <w:szCs w:val="20"/>
              </w:rPr>
            </w:r>
            <w:r>
              <w:rPr>
                <w:sz w:val="20"/>
                <w:szCs w:val="20"/>
              </w:rPr>
            </w:r>
          </w:p>
          <w:p>
            <w:pPr>
              <w:pStyle w:val="1205"/>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56"/>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56"/>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56"/>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56"/>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56"/>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56"/>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5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56"/>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56"/>
              <w:jc w:val="center"/>
              <w:rPr>
                <w:bCs/>
                <w:sz w:val="20"/>
                <w:szCs w:val="20"/>
              </w:rPr>
            </w:pPr>
            <w:r>
              <w:rPr>
                <w:bCs/>
                <w:sz w:val="20"/>
                <w:szCs w:val="20"/>
              </w:rPr>
              <w:t xml:space="preserve">7 500 руб.</w:t>
            </w:r>
            <w:r>
              <w:rPr>
                <w:bCs/>
                <w:sz w:val="20"/>
                <w:szCs w:val="20"/>
              </w:rPr>
            </w:r>
            <w:r>
              <w:rPr>
                <w:bCs/>
                <w:sz w:val="20"/>
                <w:szCs w:val="20"/>
              </w:rPr>
            </w:r>
          </w:p>
          <w:p>
            <w:pPr>
              <w:pStyle w:val="115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56"/>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56"/>
              <w:jc w:val="center"/>
              <w:rPr>
                <w:sz w:val="20"/>
                <w:szCs w:val="20"/>
              </w:rPr>
            </w:pPr>
            <w:r>
              <w:rPr>
                <w:sz w:val="20"/>
                <w:szCs w:val="20"/>
              </w:rPr>
              <w:t xml:space="preserve">3 500 руб.</w:t>
            </w:r>
            <w:r>
              <w:rPr>
                <w:sz w:val="20"/>
                <w:szCs w:val="20"/>
              </w:rPr>
            </w:r>
            <w:r>
              <w:rPr>
                <w:sz w:val="20"/>
                <w:szCs w:val="20"/>
              </w:rPr>
            </w:r>
          </w:p>
          <w:p>
            <w:pPr>
              <w:pStyle w:val="115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5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56"/>
              <w:jc w:val="center"/>
              <w:rPr>
                <w:sz w:val="20"/>
                <w:szCs w:val="20"/>
              </w:rPr>
            </w:pPr>
            <w:r>
              <w:rPr>
                <w:sz w:val="20"/>
                <w:szCs w:val="20"/>
              </w:rPr>
              <w:t xml:space="preserve">2 500 руб.</w:t>
            </w:r>
            <w:r>
              <w:rPr>
                <w:sz w:val="20"/>
                <w:szCs w:val="20"/>
              </w:rPr>
            </w:r>
            <w:r>
              <w:rPr>
                <w:sz w:val="20"/>
                <w:szCs w:val="20"/>
              </w:rPr>
            </w:r>
          </w:p>
          <w:p>
            <w:pPr>
              <w:pStyle w:val="115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56"/>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56"/>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56"/>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56"/>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56"/>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56"/>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56"/>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56"/>
        <w:rPr>
          <w:sz w:val="20"/>
          <w:szCs w:val="20"/>
        </w:rPr>
      </w:pPr>
      <w:r>
        <w:rPr>
          <w:sz w:val="20"/>
          <w:szCs w:val="20"/>
        </w:rPr>
      </w:r>
      <w:r>
        <w:rPr>
          <w:sz w:val="20"/>
          <w:szCs w:val="20"/>
        </w:rPr>
      </w:r>
      <w:r>
        <w:rPr>
          <w:sz w:val="20"/>
          <w:szCs w:val="20"/>
        </w:rPr>
      </w:r>
    </w:p>
    <w:p>
      <w:pPr>
        <w:pStyle w:val="1160"/>
      </w:pPr>
      <w:r/>
      <w:bookmarkStart w:id="8" w:name="_Toc315277219"/>
      <w:r/>
      <w:bookmarkStart w:id="9" w:name="_Toc446937100"/>
      <w:r/>
      <w:r/>
    </w:p>
    <w:p>
      <w:pPr>
        <w:pStyle w:val="1160"/>
      </w:pPr>
      <w:r/>
      <w:r/>
    </w:p>
    <w:p>
      <w:pPr>
        <w:pStyle w:val="1160"/>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p>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56"/>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5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5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5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56"/>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56"/>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56"/>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56"/>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56"/>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56"/>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56"/>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56"/>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56"/>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56"/>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56"/>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56"/>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56"/>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56"/>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56"/>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56"/>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56"/>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56"/>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56"/>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56"/>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56"/>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56"/>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56"/>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56"/>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56"/>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56"/>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56"/>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56"/>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56"/>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56"/>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56"/>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56"/>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56"/>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56"/>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56"/>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56"/>
              <w:jc w:val="center"/>
              <w:spacing w:before="40"/>
              <w:rPr>
                <w:bCs/>
                <w:sz w:val="20"/>
                <w:szCs w:val="20"/>
              </w:rPr>
            </w:pPr>
            <w:r>
              <w:rPr>
                <w:bCs/>
                <w:sz w:val="20"/>
                <w:szCs w:val="20"/>
              </w:rPr>
              <w:t xml:space="preserve">2000 руб. </w:t>
            </w:r>
            <w:r>
              <w:rPr>
                <w:bCs/>
                <w:sz w:val="20"/>
                <w:szCs w:val="20"/>
              </w:rPr>
            </w:r>
            <w:r>
              <w:rPr>
                <w:bCs/>
                <w:sz w:val="20"/>
                <w:szCs w:val="20"/>
              </w:rPr>
            </w:r>
          </w:p>
          <w:p>
            <w:pPr>
              <w:pStyle w:val="1156"/>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56"/>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56"/>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56"/>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56"/>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56"/>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56"/>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56"/>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56"/>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6"/>
              <w:jc w:val="both"/>
              <w:rPr>
                <w:bCs/>
                <w:sz w:val="20"/>
                <w:szCs w:val="20"/>
              </w:rPr>
            </w:pPr>
            <w:r>
              <w:rPr>
                <w:bCs/>
                <w:sz w:val="20"/>
                <w:szCs w:val="20"/>
              </w:rPr>
            </w:r>
            <w:r>
              <w:rPr>
                <w:bCs/>
                <w:sz w:val="20"/>
                <w:szCs w:val="20"/>
              </w:rPr>
            </w:r>
            <w:r>
              <w:rPr>
                <w:bCs/>
                <w:sz w:val="20"/>
                <w:szCs w:val="20"/>
              </w:rPr>
            </w:r>
          </w:p>
          <w:p>
            <w:pPr>
              <w:pStyle w:val="1156"/>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56"/>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5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56"/>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56"/>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56"/>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56"/>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56"/>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56"/>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56"/>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56"/>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56"/>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56"/>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5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p>
            <w:pPr>
              <w:pStyle w:val="1156"/>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56"/>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56"/>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56"/>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5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6"/>
              <w:jc w:val="both"/>
              <w:spacing w:before="40" w:after="40"/>
              <w:rPr>
                <w:bCs/>
                <w:sz w:val="20"/>
                <w:szCs w:val="20"/>
              </w:rPr>
            </w:pPr>
            <w:r>
              <w:rPr>
                <w:bCs/>
                <w:sz w:val="20"/>
                <w:szCs w:val="20"/>
              </w:rPr>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56"/>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56"/>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56"/>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5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6"/>
              <w:jc w:val="both"/>
              <w:spacing w:before="40" w:after="40"/>
              <w:rPr>
                <w:bCs/>
                <w:sz w:val="20"/>
                <w:szCs w:val="20"/>
              </w:rPr>
            </w:pPr>
            <w:r>
              <w:rPr>
                <w:bCs/>
                <w:sz w:val="20"/>
                <w:szCs w:val="20"/>
              </w:rPr>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6"/>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5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6"/>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56"/>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56"/>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5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6"/>
              <w:jc w:val="both"/>
              <w:spacing w:before="40" w:after="40"/>
              <w:rPr>
                <w:bCs/>
                <w:sz w:val="20"/>
                <w:szCs w:val="20"/>
              </w:rPr>
            </w:pPr>
            <w:r>
              <w:rPr>
                <w:bCs/>
                <w:sz w:val="20"/>
                <w:szCs w:val="20"/>
              </w:rPr>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56"/>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56"/>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56"/>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56"/>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5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56"/>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56"/>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56"/>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56"/>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56"/>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56"/>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56"/>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56"/>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56"/>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56"/>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56"/>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56"/>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56"/>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76" w:type="dxa"/>
            <w:vAlign w:val="top"/>
            <w:vMerge w:val="restart"/>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w:t>
            </w:r>
            <w:r>
              <w:rPr>
                <w:rFonts w:ascii="Times New Roman" w:hAnsi="Times New Roman"/>
                <w:sz w:val="20"/>
                <w:szCs w:val="20"/>
                <w:highlight w:val="none"/>
              </w:rPr>
              <w:t xml:space="preserve">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178"/>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78"/>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56"/>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56"/>
        <w:jc w:val="both"/>
        <w:rPr>
          <w:sz w:val="20"/>
          <w:szCs w:val="20"/>
          <w:highlight w:val="none"/>
        </w:rPr>
      </w:pPr>
      <w:r>
        <w:rPr>
          <w:sz w:val="20"/>
          <w:szCs w:val="20"/>
        </w:rPr>
        <w:t xml:space="preserve">** Срок действия – с 23.03.2018 по 06.03.2019 включительно</w:t>
      </w:r>
      <w:r>
        <w:rPr>
          <w:sz w:val="20"/>
          <w:szCs w:val="20"/>
          <w:highlight w:val="none"/>
        </w:rPr>
      </w:r>
      <w:r>
        <w:rPr>
          <w:sz w:val="20"/>
          <w:szCs w:val="20"/>
          <w:highlight w:val="none"/>
        </w:rPr>
      </w:r>
    </w:p>
    <w:p>
      <w:pPr>
        <w:jc w:val="both"/>
        <w:rPr>
          <w:sz w:val="20"/>
          <w:szCs w:val="20"/>
        </w:rPr>
      </w:pPr>
      <w:r>
        <w:rPr>
          <w:sz w:val="20"/>
          <w:szCs w:val="20"/>
          <w:highlight w:val="non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sz w:val="20"/>
          <w:szCs w:val="20"/>
        </w:rPr>
      </w:r>
      <w:r>
        <w:rPr>
          <w:sz w:val="20"/>
          <w:szCs w:val="20"/>
        </w:rPr>
      </w:r>
    </w:p>
    <w:p>
      <w:pPr>
        <w:pStyle w:val="1156"/>
        <w:jc w:val="both"/>
        <w:rPr>
          <w:bCs/>
          <w:iCs/>
          <w:sz w:val="20"/>
          <w:szCs w:val="20"/>
        </w:rPr>
      </w:pPr>
      <w:r>
        <w:rPr>
          <w:bCs/>
          <w:iCs/>
          <w:sz w:val="20"/>
          <w:szCs w:val="20"/>
        </w:rPr>
      </w:r>
      <w:r>
        <w:rPr>
          <w:bCs/>
          <w:iCs/>
          <w:sz w:val="20"/>
          <w:szCs w:val="20"/>
        </w:rPr>
      </w:r>
      <w:r>
        <w:rPr>
          <w:bCs/>
          <w:iCs/>
          <w:sz w:val="20"/>
          <w:szCs w:val="20"/>
        </w:rPr>
      </w:r>
    </w:p>
    <w:p>
      <w:pPr>
        <w:pStyle w:val="1156"/>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56"/>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56"/>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56"/>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56"/>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56"/>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56"/>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56"/>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56"/>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56"/>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56"/>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56"/>
        <w:rPr>
          <w:sz w:val="20"/>
          <w:szCs w:val="20"/>
        </w:rPr>
      </w:pPr>
      <w:r>
        <w:rPr>
          <w:sz w:val="20"/>
          <w:szCs w:val="20"/>
        </w:rPr>
      </w:r>
      <w:r>
        <w:rPr>
          <w:sz w:val="20"/>
          <w:szCs w:val="20"/>
        </w:rPr>
        <w:t xml:space="preserve">5</w:t>
      </w:r>
      <w:r>
        <w:rPr>
          <w:sz w:val="20"/>
          <w:szCs w:val="20"/>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sz w:val="20"/>
          <w:szCs w:val="20"/>
        </w:rPr>
        <w:t xml:space="preserve">о</w:t>
      </w:r>
      <w:r>
        <w:rPr>
          <w:sz w:val="20"/>
          <w:szCs w:val="20"/>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sz w:val="20"/>
          <w:szCs w:val="20"/>
        </w:rPr>
        <w:t xml:space="preserve">ж</w:t>
      </w:r>
      <w:r>
        <w:rPr>
          <w:sz w:val="20"/>
          <w:szCs w:val="20"/>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sz w:val="20"/>
          <w:szCs w:val="20"/>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sz w:val="20"/>
          <w:szCs w:val="20"/>
        </w:rPr>
      </w:r>
      <w:r>
        <w:rPr>
          <w:sz w:val="20"/>
          <w:szCs w:val="20"/>
        </w:rPr>
      </w:r>
    </w:p>
    <w:p>
      <w:pPr>
        <w:pStyle w:val="1160"/>
      </w:pPr>
      <w:r>
        <w:rPr>
          <w:highlight w:val="none"/>
        </w:rPr>
      </w:r>
      <w:r>
        <w:rPr>
          <w:highlight w:val="none"/>
        </w:rPr>
      </w:r>
      <w:r/>
    </w:p>
    <w:p>
      <w:pPr>
        <w:pStyle w:val="1160"/>
        <w:rPr>
          <w:highlight w:val="none"/>
        </w:rPr>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Pr>
          <w:highlight w:val="none"/>
        </w:rPr>
      </w:r>
      <w:r>
        <w:rPr>
          <w:highlight w:val="none"/>
        </w:rPr>
      </w:r>
    </w:p>
    <w:p>
      <w:pPr>
        <w:pStyle w:val="1156"/>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56"/>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56"/>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56"/>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56"/>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56"/>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56"/>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56"/>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56"/>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6"/>
      </w:pPr>
      <w:r/>
      <w:r/>
    </w:p>
    <w:p>
      <w:pPr>
        <w:pStyle w:val="1160"/>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56"/>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56"/>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56"/>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56"/>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56"/>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56"/>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56"/>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56"/>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56"/>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56"/>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56"/>
      </w:pPr>
      <w:r/>
      <w:r/>
    </w:p>
    <w:p>
      <w:pPr>
        <w:pStyle w:val="1160"/>
      </w:pPr>
      <w:r/>
      <w:bookmarkStart w:id="13" w:name="_Toc446937103"/>
      <w:r/>
      <w:r/>
    </w:p>
    <w:p>
      <w:pPr>
        <w:pStyle w:val="1160"/>
      </w:pPr>
      <w:r>
        <w:t xml:space="preserve">10.</w:t>
      </w:r>
      <w:r>
        <w:t xml:space="preserve"> </w:t>
      </w:r>
      <w:r>
        <w:t xml:space="preserve">Услуги</w:t>
      </w:r>
      <w:r>
        <w:t xml:space="preserve"> </w:t>
      </w:r>
      <w:r>
        <w:t xml:space="preserve">инкассации</w:t>
      </w:r>
      <w:r>
        <w:t xml:space="preserve"> </w:t>
      </w:r>
      <w:bookmarkEnd w:id="13"/>
      <w:r/>
      <w:r/>
    </w:p>
    <w:p>
      <w:pPr>
        <w:pStyle w:val="1156"/>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56"/>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56"/>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56"/>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6"/>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6"/>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56"/>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56"/>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6"/>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56"/>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56"/>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56"/>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56"/>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56"/>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56"/>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6"/>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6"/>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56"/>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6"/>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56"/>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56"/>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56"/>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56"/>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56"/>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56"/>
      </w:pPr>
      <w:r/>
      <w:r/>
    </w:p>
    <w:p>
      <w:pPr>
        <w:pStyle w:val="1160"/>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56"/>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56"/>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5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56"/>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56"/>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56"/>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56"/>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56"/>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56"/>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56"/>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56"/>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56"/>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6"/>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56"/>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56"/>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56"/>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56"/>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6"/>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56"/>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6"/>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56"/>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56"/>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56"/>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56"/>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6"/>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56"/>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56"/>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56"/>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6"/>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56"/>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56"/>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56"/>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56"/>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6"/>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56"/>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6"/>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56"/>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56"/>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56"/>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6"/>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56"/>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56"/>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56"/>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56"/>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56"/>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56"/>
        <w:rPr>
          <w:lang w:val="en-US" w:eastAsia="en-US"/>
        </w:rPr>
      </w:pPr>
      <w:r>
        <w:rPr>
          <w:lang w:val="en-US" w:eastAsia="en-US"/>
        </w:rPr>
      </w:r>
      <w:r>
        <w:rPr>
          <w:lang w:val="en-US" w:eastAsia="en-US"/>
        </w:rPr>
      </w:r>
      <w:r>
        <w:rPr>
          <w:lang w:val="en-US" w:eastAsia="en-US"/>
        </w:rPr>
      </w:r>
    </w:p>
    <w:p>
      <w:pPr>
        <w:pStyle w:val="1156"/>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6"/>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56"/>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6"/>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6"/>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56"/>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 </w:t>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6"/>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6"/>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3"/>
            </w:r>
            <w:r>
              <w:rPr>
                <w:sz w:val="20"/>
                <w:szCs w:val="20"/>
              </w:rPr>
              <w:t xml:space="preserve"> со дня, следующего за: </w:t>
            </w:r>
            <w:r>
              <w:rPr>
                <w:sz w:val="20"/>
                <w:szCs w:val="20"/>
              </w:rPr>
            </w:r>
            <w:r>
              <w:rPr>
                <w:sz w:val="20"/>
                <w:szCs w:val="20"/>
              </w:rPr>
            </w:r>
          </w:p>
          <w:p>
            <w:pPr>
              <w:pStyle w:val="1156"/>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56"/>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56"/>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56"/>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56"/>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04"/>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56"/>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56"/>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sz w:val="20"/>
                <w:szCs w:val="20"/>
              </w:rPr>
              <w:footnoteReference w:id="4"/>
            </w:r>
            <w:r>
              <w:rPr>
                <w:bCs/>
                <w:sz w:val="20"/>
                <w:szCs w:val="20"/>
              </w:rPr>
            </w:r>
            <w:r>
              <w:rPr>
                <w:bCs/>
                <w:sz w:val="20"/>
                <w:szCs w:val="20"/>
              </w:rPr>
            </w:r>
          </w:p>
          <w:p>
            <w:pPr>
              <w:pStyle w:val="1156"/>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p>
            <w:pPr>
              <w:pStyle w:val="1156"/>
              <w:ind w:left="72"/>
              <w:jc w:val="center"/>
              <w:spacing w:before="40"/>
              <w:rPr>
                <w:sz w:val="20"/>
                <w:szCs w:val="20"/>
              </w:rPr>
            </w:pPr>
            <w:r>
              <w:rPr>
                <w:sz w:val="20"/>
                <w:szCs w:val="20"/>
              </w:rPr>
              <w:t xml:space="preserve">Не более </w:t>
            </w:r>
            <w:r>
              <w:rPr>
                <w:sz w:val="20"/>
                <w:szCs w:val="20"/>
              </w:rPr>
            </w:r>
            <w:r>
              <w:rPr>
                <w:sz w:val="20"/>
                <w:szCs w:val="20"/>
              </w:rPr>
            </w:r>
          </w:p>
          <w:p>
            <w:pPr>
              <w:pStyle w:val="1156"/>
              <w:ind w:left="72"/>
              <w:jc w:val="center"/>
              <w:spacing w:before="40"/>
              <w:rPr>
                <w:sz w:val="20"/>
                <w:szCs w:val="20"/>
              </w:rPr>
            </w:pPr>
            <w:r>
              <w:rPr>
                <w:sz w:val="20"/>
                <w:szCs w:val="20"/>
              </w:rPr>
              <w:t xml:space="preserve">1% годовых</w:t>
            </w:r>
            <w:r>
              <w:rPr>
                <w:sz w:val="20"/>
                <w:szCs w:val="20"/>
              </w:rPr>
            </w:r>
            <w:r>
              <w:rPr>
                <w:sz w:val="20"/>
                <w:szCs w:val="20"/>
              </w:rPr>
            </w:r>
          </w:p>
          <w:p>
            <w:pPr>
              <w:pStyle w:val="1156"/>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rPr>
                <w:sz w:val="20"/>
                <w:szCs w:val="20"/>
              </w:rPr>
            </w:pPr>
            <w:r>
              <w:rPr>
                <w:sz w:val="20"/>
                <w:szCs w:val="20"/>
              </w:rPr>
              <w:t xml:space="preserve">При изменении:</w:t>
            </w:r>
            <w:r>
              <w:rPr>
                <w:sz w:val="20"/>
                <w:szCs w:val="20"/>
              </w:rPr>
            </w:r>
            <w:r>
              <w:rPr>
                <w:sz w:val="20"/>
                <w:szCs w:val="20"/>
              </w:rPr>
            </w:r>
          </w:p>
          <w:p>
            <w:pPr>
              <w:pStyle w:val="1156"/>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56"/>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56"/>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56"/>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56"/>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56"/>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56"/>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56"/>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56"/>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56"/>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56"/>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56"/>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56"/>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56"/>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56"/>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56"/>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56"/>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56"/>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56"/>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56"/>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56"/>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56"/>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56"/>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56"/>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5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56"/>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6"/>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56"/>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56"/>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56"/>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p>
            <w:pPr>
              <w:pStyle w:val="1156"/>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56"/>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56"/>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6"/>
              <w:ind w:left="74"/>
              <w:jc w:val="center"/>
              <w:spacing w:before="40"/>
              <w:rPr>
                <w:sz w:val="20"/>
                <w:szCs w:val="20"/>
              </w:rPr>
            </w:pPr>
            <w:r>
              <w:rPr>
                <w:sz w:val="20"/>
                <w:szCs w:val="20"/>
              </w:rPr>
              <w:t xml:space="preserve">Не взимается</w:t>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p>
            <w:pPr>
              <w:pStyle w:val="1156"/>
              <w:ind w:left="74"/>
              <w:jc w:val="center"/>
              <w:spacing w:before="40"/>
              <w:rPr>
                <w:sz w:val="20"/>
                <w:szCs w:val="20"/>
              </w:rPr>
            </w:pPr>
            <w:r>
              <w:rPr>
                <w:sz w:val="20"/>
                <w:szCs w:val="20"/>
              </w:rPr>
            </w:r>
            <w:r>
              <w:rPr>
                <w:sz w:val="20"/>
                <w:szCs w:val="20"/>
              </w:rPr>
            </w:r>
            <w:r>
              <w:rPr>
                <w:sz w:val="20"/>
                <w:szCs w:val="20"/>
              </w:rPr>
            </w:r>
          </w:p>
          <w:p>
            <w:pPr>
              <w:pStyle w:val="1156"/>
              <w:ind w:left="74"/>
              <w:jc w:val="center"/>
              <w:spacing w:before="40"/>
              <w:rPr>
                <w:sz w:val="20"/>
                <w:szCs w:val="20"/>
              </w:rPr>
            </w:pPr>
            <w:r>
              <w:rPr>
                <w:sz w:val="20"/>
                <w:szCs w:val="20"/>
              </w:rPr>
              <w:t xml:space="preserve">Не более</w:t>
            </w:r>
            <w:r>
              <w:rPr>
                <w:sz w:val="20"/>
                <w:szCs w:val="20"/>
              </w:rPr>
            </w:r>
            <w:r>
              <w:rPr>
                <w:sz w:val="20"/>
                <w:szCs w:val="20"/>
              </w:rPr>
            </w:r>
          </w:p>
          <w:p>
            <w:pPr>
              <w:pStyle w:val="1156"/>
              <w:ind w:left="74"/>
              <w:jc w:val="center"/>
              <w:spacing w:before="40"/>
              <w:rPr>
                <w:sz w:val="20"/>
                <w:szCs w:val="20"/>
              </w:rPr>
            </w:pPr>
            <w:r>
              <w:rPr>
                <w:sz w:val="20"/>
                <w:szCs w:val="20"/>
              </w:rPr>
              <w:t xml:space="preserve">1,5% годовых</w:t>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rPr>
                <w:sz w:val="20"/>
                <w:szCs w:val="20"/>
              </w:rPr>
            </w:pPr>
            <w:r>
              <w:rPr>
                <w:sz w:val="20"/>
                <w:szCs w:val="20"/>
              </w:rPr>
              <w:t xml:space="preserve">0,2% от суммы, </w:t>
            </w:r>
            <w:r>
              <w:rPr>
                <w:sz w:val="20"/>
                <w:szCs w:val="20"/>
              </w:rPr>
            </w:r>
            <w:r>
              <w:rPr>
                <w:sz w:val="20"/>
                <w:szCs w:val="20"/>
              </w:rPr>
            </w:r>
          </w:p>
          <w:p>
            <w:pPr>
              <w:pStyle w:val="1156"/>
              <w:jc w:val="center"/>
              <w:spacing w:before="40" w:after="40"/>
              <w:rPr>
                <w:sz w:val="20"/>
                <w:szCs w:val="20"/>
              </w:rPr>
            </w:pPr>
            <w:r>
              <w:rPr>
                <w:sz w:val="20"/>
                <w:szCs w:val="20"/>
              </w:rPr>
              <w:t xml:space="preserve">минимум - 30 000 руб.,</w:t>
            </w:r>
            <w:r>
              <w:rPr>
                <w:sz w:val="20"/>
                <w:szCs w:val="20"/>
              </w:rPr>
            </w:r>
            <w:r>
              <w:rPr>
                <w:sz w:val="20"/>
                <w:szCs w:val="20"/>
              </w:rPr>
            </w:r>
          </w:p>
          <w:p>
            <w:pPr>
              <w:pStyle w:val="1156"/>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56"/>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56"/>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56"/>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56"/>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56"/>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56"/>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56"/>
              <w:jc w:val="both"/>
              <w:spacing w:before="40"/>
              <w:rPr>
                <w:sz w:val="20"/>
                <w:szCs w:val="20"/>
              </w:rPr>
            </w:pPr>
            <w:r>
              <w:rPr>
                <w:sz w:val="20"/>
                <w:szCs w:val="20"/>
              </w:rPr>
            </w:r>
            <w:r>
              <w:rPr>
                <w:sz w:val="20"/>
                <w:szCs w:val="20"/>
              </w:rPr>
            </w:r>
            <w:r>
              <w:rPr>
                <w:sz w:val="20"/>
                <w:szCs w:val="20"/>
              </w:rPr>
            </w:r>
          </w:p>
        </w:tc>
      </w:tr>
    </w:tbl>
    <w:p>
      <w:pPr>
        <w:pStyle w:val="1156"/>
        <w:ind w:left="284"/>
        <w:jc w:val="both"/>
        <w:rPr>
          <w:bCs/>
          <w:sz w:val="20"/>
          <w:szCs w:val="20"/>
        </w:rPr>
      </w:pPr>
      <w:r>
        <w:rPr>
          <w:bCs/>
          <w:sz w:val="20"/>
          <w:szCs w:val="20"/>
        </w:rPr>
      </w:r>
      <w:r>
        <w:rPr>
          <w:bCs/>
          <w:sz w:val="20"/>
          <w:szCs w:val="20"/>
        </w:rPr>
      </w:r>
      <w:r>
        <w:rPr>
          <w:bCs/>
          <w:sz w:val="20"/>
          <w:szCs w:val="20"/>
        </w:rPr>
      </w:r>
    </w:p>
    <w:p>
      <w:pPr>
        <w:pStyle w:val="1156"/>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56"/>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56"/>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56"/>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56"/>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56"/>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56"/>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56"/>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5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56"/>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56"/>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56"/>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56"/>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56"/>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56"/>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56"/>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rPr>
      </w:r>
      <w:r>
        <w:rPr>
          <w:sz w:val="20"/>
          <w:szCs w:val="20"/>
        </w:rPr>
      </w:r>
    </w:p>
    <w:p>
      <w:pPr>
        <w:pStyle w:val="1156"/>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56"/>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56"/>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56"/>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56"/>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56"/>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56"/>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56"/>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56"/>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56"/>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56"/>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56"/>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5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56"/>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56"/>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5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56"/>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56"/>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56"/>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56"/>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56"/>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56"/>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56"/>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56"/>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56"/>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56"/>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56"/>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156"/>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156"/>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56"/>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56"/>
        <w:jc w:val="both"/>
        <w:rPr>
          <w:bCs/>
          <w:iCs/>
          <w:sz w:val="20"/>
          <w:szCs w:val="20"/>
        </w:rPr>
        <w:outlineLvl w:val="5"/>
      </w:pPr>
      <w:r>
        <w:rPr>
          <w:bCs/>
          <w:iCs/>
          <w:sz w:val="20"/>
          <w:szCs w:val="20"/>
        </w:rPr>
      </w:r>
      <w:r>
        <w:rPr>
          <w:bCs/>
          <w:iCs/>
          <w:sz w:val="20"/>
          <w:szCs w:val="20"/>
        </w:rPr>
      </w:r>
      <w:r>
        <w:rPr>
          <w:bCs/>
          <w:iCs/>
          <w:sz w:val="20"/>
          <w:szCs w:val="20"/>
        </w:rPr>
      </w:r>
    </w:p>
    <w:p>
      <w:pPr>
        <w:pStyle w:val="1156"/>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iCs/>
          <w:sz w:val="20"/>
          <w:szCs w:val="20"/>
          <w:highlight w:val="none"/>
        </w:rPr>
      </w:r>
      <w:r>
        <w:rPr>
          <w:iCs/>
          <w:sz w:val="20"/>
          <w:szCs w:val="20"/>
          <w:highlight w:val="none"/>
        </w:rPr>
      </w:r>
    </w:p>
    <w:p>
      <w:pPr>
        <w:pStyle w:val="1156"/>
        <w:ind w:firstLine="540"/>
        <w:jc w:val="both"/>
        <w:spacing w:before="40"/>
        <w:rPr>
          <w:b/>
          <w:bCs/>
          <w:sz w:val="2"/>
          <w:szCs w:val="2"/>
        </w:rPr>
      </w:pPr>
      <w:r>
        <w:rPr>
          <w:b/>
          <w:bCs/>
          <w:sz w:val="2"/>
          <w:szCs w:val="2"/>
        </w:rPr>
      </w:r>
      <w:r>
        <w:rPr>
          <w:b/>
          <w:bCs/>
          <w:sz w:val="2"/>
          <w:szCs w:val="2"/>
        </w:rPr>
      </w:r>
      <w:r>
        <w:rPr>
          <w:b/>
          <w:bCs/>
          <w:sz w:val="2"/>
          <w:szCs w:val="2"/>
        </w:rPr>
      </w:r>
    </w:p>
    <w:p>
      <w:pPr>
        <w:pStyle w:val="1156"/>
      </w:pPr>
      <w:r/>
      <w:r/>
    </w:p>
    <w:p>
      <w:pPr>
        <w:pStyle w:val="1160"/>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r/>
      <w:r/>
    </w:p>
    <w:p>
      <w: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56"/>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56"/>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56"/>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56"/>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jc w:val="center"/>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56"/>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trPr>
        <w:tc>
          <w:tcPr>
            <w:tcW w:w="993" w:type="dxa"/>
            <w:vAlign w:val="top"/>
            <w:textDirection w:val="lrTb"/>
            <w:noWrap w:val="false"/>
          </w:tcPr>
          <w:p>
            <w:pPr>
              <w:pStyle w:val="1156"/>
              <w:jc w:val="center"/>
              <w:spacing w:before="40" w:after="40"/>
              <w:widowControl w:val="off"/>
              <w:rPr>
                <w:sz w:val="20"/>
                <w:szCs w:val="20"/>
              </w:rPr>
            </w:pPr>
            <w:r>
              <w:rPr>
                <w:sz w:val="20"/>
                <w:szCs w:val="20"/>
              </w:rPr>
              <w:t xml:space="preserve">13.3.</w:t>
            </w:r>
            <w:r>
              <w:rPr>
                <w:sz w:val="20"/>
                <w:szCs w:val="20"/>
              </w:rPr>
            </w:r>
            <w:r>
              <w:rPr>
                <w:sz w:val="20"/>
                <w:szCs w:val="20"/>
              </w:rPr>
            </w:r>
          </w:p>
          <w:p>
            <w:pPr>
              <w:pStyle w:val="1156"/>
              <w:jc w:val="left"/>
              <w:spacing w:before="40" w:after="40"/>
              <w:widowControl w:val="off"/>
              <w:rPr>
                <w:sz w:val="20"/>
                <w:szCs w:val="20"/>
              </w:rPr>
            </w:pPr>
            <w:r>
              <w:rPr>
                <w:sz w:val="20"/>
                <w:szCs w:val="20"/>
              </w:rPr>
            </w:r>
            <w:r>
              <w:rPr>
                <w:sz w:val="20"/>
                <w:szCs w:val="20"/>
              </w:rPr>
            </w:r>
            <w:r>
              <w:rPr>
                <w:sz w:val="20"/>
                <w:szCs w:val="20"/>
              </w:rPr>
            </w:r>
          </w:p>
        </w:tc>
        <w:tc>
          <w:tcPr>
            <w:tcW w:w="3826" w:type="dxa"/>
            <w:vAlign w:val="center"/>
            <w:textDirection w:val="lrTb"/>
            <w:noWrap w:val="false"/>
          </w:tcPr>
          <w:p>
            <w:pPr>
              <w:pStyle w:val="1156"/>
              <w:ind w:left="72"/>
              <w:jc w:val="both"/>
              <w:spacing w:before="40" w:after="40" w:line="240" w:lineRule="auto"/>
              <w:rPr>
                <w:rFonts w:ascii="Times New Roman" w:hAnsi="Times New Roman" w:eastAsia="Times New Roman"/>
                <w:bCs/>
                <w:highlight w:val="white"/>
              </w:rPr>
            </w:pPr>
            <w:r>
              <w:rPr>
                <w:rFonts w:ascii="Times New Roman" w:hAnsi="Times New Roman"/>
                <w:sz w:val="20"/>
                <w:szCs w:val="20"/>
                <w:highlight w:val="white"/>
                <w:lang w:val="en-US"/>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41"/>
                <w:rFonts w:ascii="Times New Roman" w:hAnsi="Times New Roman" w:eastAsia="Times New Roman"/>
                <w:sz w:val="20"/>
                <w:szCs w:val="20"/>
                <w:highlight w:val="white"/>
                <w:lang w:eastAsia="ru-RU"/>
              </w:rPr>
              <w:footnoteReference w:id="7"/>
            </w:r>
            <w:r>
              <w:rPr>
                <w:rFonts w:ascii="Times New Roman" w:hAnsi="Times New Roman" w:eastAsia="Times New Roman"/>
                <w:bCs/>
                <w:highlight w:val="white"/>
              </w:rPr>
            </w:r>
            <w:r>
              <w:rPr>
                <w:rFonts w:ascii="Times New Roman" w:hAnsi="Times New Roman" w:eastAsia="Times New Roman"/>
                <w:bCs/>
                <w:highlight w:val="white"/>
              </w:rPr>
            </w:r>
          </w:p>
        </w:tc>
        <w:tc>
          <w:tcPr>
            <w:tcW w:w="1985" w:type="dxa"/>
            <w:vAlign w:val="top"/>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jc w:val="both"/>
              <w:spacing w:before="40" w:beforeAutospacing="0" w:after="40" w:afterAutospacing="0" w:line="240" w:lineRule="auto"/>
              <w:rPr>
                <w:highlight w:val="white"/>
              </w:rPr>
            </w:pP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Style w:val="1141"/>
                <w:rFonts w:ascii="Times New Roman" w:hAnsi="Times New Roman" w:eastAsia="Times New Roman"/>
                <w:sz w:val="20"/>
                <w:szCs w:val="20"/>
                <w:highlight w:val="white"/>
                <w:lang w:eastAsia="ru-RU"/>
              </w:rPr>
              <w:footnoteReference w:id="8"/>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56"/>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56"/>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6"/>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56"/>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5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56"/>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56"/>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5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56"/>
              <w:jc w:val="center"/>
              <w:spacing w:before="40" w:after="40"/>
              <w:rPr>
                <w:b/>
                <w:sz w:val="20"/>
                <w:szCs w:val="20"/>
              </w:rPr>
            </w:pPr>
            <w:r>
              <w:rPr>
                <w:b/>
                <w:sz w:val="20"/>
                <w:szCs w:val="20"/>
              </w:rPr>
            </w:r>
            <w:r>
              <w:rPr>
                <w:b/>
                <w:sz w:val="20"/>
                <w:szCs w:val="20"/>
              </w:rPr>
            </w:r>
            <w:r>
              <w:rPr>
                <w:b/>
                <w:sz w:val="20"/>
                <w:szCs w:val="20"/>
              </w:rPr>
            </w:r>
          </w:p>
        </w:tc>
      </w:tr>
    </w:tbl>
    <w:p>
      <w:pPr>
        <w:pStyle w:val="1156"/>
        <w:rPr>
          <w:i/>
          <w:sz w:val="16"/>
          <w:szCs w:val="16"/>
        </w:rPr>
      </w:pPr>
      <w:r>
        <w:rPr>
          <w:i/>
          <w:sz w:val="16"/>
          <w:szCs w:val="16"/>
        </w:rPr>
      </w:r>
      <w:r>
        <w:rPr>
          <w:i/>
          <w:sz w:val="16"/>
          <w:szCs w:val="16"/>
        </w:rPr>
      </w:r>
      <w:r>
        <w:rPr>
          <w:i/>
          <w:sz w:val="16"/>
          <w:szCs w:val="16"/>
        </w:rPr>
      </w:r>
    </w:p>
    <w:p>
      <w:pPr>
        <w:pStyle w:val="1156"/>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56"/>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56"/>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56"/>
      </w:pPr>
      <w:r/>
      <w:r/>
    </w:p>
    <w:p>
      <w:pPr>
        <w:pStyle w:val="1160"/>
      </w:pPr>
      <w:r>
        <w:t xml:space="preserve">14.</w:t>
      </w:r>
      <w:r>
        <w:t xml:space="preserve"> </w:t>
      </w:r>
      <w:r>
        <w:t xml:space="preserve">Депозитарные</w:t>
      </w:r>
      <w:r>
        <w:t xml:space="preserve"> </w:t>
      </w:r>
      <w:r>
        <w:t xml:space="preserve">услуги</w:t>
      </w:r>
      <w:r/>
    </w:p>
    <w:tbl>
      <w:tblPr>
        <w:tblW w:w="1033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9"/>
        <w:gridCol w:w="3041"/>
        <w:gridCol w:w="1046"/>
        <w:gridCol w:w="1128"/>
        <w:gridCol w:w="610"/>
        <w:gridCol w:w="869"/>
        <w:gridCol w:w="2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69" w:type="dxa"/>
            <w:vAlign w:val="top"/>
            <w:textDirection w:val="lrTb"/>
            <w:noWrap w:val="false"/>
          </w:tcPr>
          <w:p>
            <w:pPr>
              <w:pStyle w:val="1156"/>
              <w:jc w:val="center"/>
              <w:rPr>
                <w:b/>
                <w:sz w:val="20"/>
                <w:szCs w:val="20"/>
              </w:rPr>
            </w:pPr>
            <w:r>
              <w:rPr>
                <w:b/>
                <w:sz w:val="20"/>
                <w:szCs w:val="20"/>
              </w:rPr>
            </w:r>
            <w:r>
              <w:rPr>
                <w:b/>
                <w:sz w:val="20"/>
                <w:szCs w:val="20"/>
              </w:rPr>
            </w:r>
            <w:r>
              <w:rPr>
                <w:b/>
                <w:sz w:val="20"/>
                <w:szCs w:val="20"/>
              </w:rPr>
            </w:r>
          </w:p>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041"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174"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gridSpan w:val="3"/>
            <w:tcW w:w="4252"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14.1.</w:t>
            </w:r>
            <w:r>
              <w:rPr>
                <w:sz w:val="20"/>
                <w:szCs w:val="20"/>
              </w:rPr>
            </w:r>
            <w:r>
              <w:rPr>
                <w:sz w:val="20"/>
                <w:szCs w:val="20"/>
              </w:rPr>
            </w:r>
          </w:p>
        </w:tc>
        <w:tc>
          <w:tcPr>
            <w:gridSpan w:val="6"/>
            <w:tcW w:w="9467" w:type="dxa"/>
            <w:vAlign w:val="top"/>
            <w:textDirection w:val="lrTb"/>
            <w:noWrap w:val="false"/>
          </w:tcPr>
          <w:p>
            <w:pPr>
              <w:pStyle w:val="1156"/>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14.1.1.</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Открытие счета депо</w:t>
            </w:r>
            <w:r>
              <w:rPr>
                <w:sz w:val="20"/>
                <w:szCs w:val="20"/>
              </w:rPr>
            </w:r>
            <w:r>
              <w:rPr>
                <w:sz w:val="20"/>
                <w:szCs w:val="20"/>
              </w:rPr>
            </w:r>
          </w:p>
        </w:tc>
        <w:tc>
          <w:tcPr>
            <w:gridSpan w:val="2"/>
            <w:tcW w:w="2174" w:type="dxa"/>
            <w:vAlign w:val="top"/>
            <w:textDirection w:val="lrTb"/>
            <w:noWrap w:val="false"/>
          </w:tcPr>
          <w:p>
            <w:pPr>
              <w:pStyle w:val="1156"/>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56"/>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4252"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14.1.2.</w:t>
            </w:r>
            <w:r>
              <w:rPr>
                <w:sz w:val="20"/>
                <w:szCs w:val="20"/>
              </w:rPr>
            </w:r>
            <w:r>
              <w:rPr>
                <w:sz w:val="20"/>
                <w:szCs w:val="20"/>
              </w:rPr>
            </w:r>
          </w:p>
        </w:tc>
        <w:tc>
          <w:tcPr>
            <w:tcW w:w="3041" w:type="dxa"/>
            <w:vAlign w:val="top"/>
            <w:textDirection w:val="lrTb"/>
            <w:noWrap w:val="false"/>
          </w:tcPr>
          <w:p>
            <w:pPr>
              <w:pStyle w:val="1156"/>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2174" w:type="dxa"/>
            <w:vAlign w:val="top"/>
            <w:textDirection w:val="lrTb"/>
            <w:noWrap w:val="false"/>
          </w:tcPr>
          <w:p>
            <w:pPr>
              <w:pStyle w:val="1156"/>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4252"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14.1.3.</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Ведение счета депо</w:t>
            </w:r>
            <w:r>
              <w:rPr>
                <w:sz w:val="20"/>
                <w:szCs w:val="20"/>
              </w:rPr>
            </w:r>
            <w:r>
              <w:rPr>
                <w:sz w:val="20"/>
                <w:szCs w:val="20"/>
              </w:rPr>
            </w:r>
          </w:p>
        </w:tc>
        <w:tc>
          <w:tcPr>
            <w:gridSpan w:val="2"/>
            <w:tcW w:w="2174" w:type="dxa"/>
            <w:vAlign w:val="top"/>
            <w:textDirection w:val="lrTb"/>
            <w:noWrap w:val="false"/>
          </w:tcPr>
          <w:p>
            <w:pPr>
              <w:pStyle w:val="1156"/>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4252"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14.1.4.</w:t>
            </w:r>
            <w:r>
              <w:rPr>
                <w:sz w:val="20"/>
                <w:szCs w:val="20"/>
              </w:rPr>
            </w:r>
            <w:r>
              <w:rPr>
                <w:sz w:val="20"/>
                <w:szCs w:val="20"/>
              </w:rPr>
            </w:r>
          </w:p>
        </w:tc>
        <w:tc>
          <w:tcPr>
            <w:tcW w:w="3041" w:type="dxa"/>
            <w:vAlign w:val="top"/>
            <w:textDirection w:val="lrTb"/>
            <w:noWrap w:val="false"/>
          </w:tcPr>
          <w:p>
            <w:pPr>
              <w:pStyle w:val="1156"/>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2174" w:type="dxa"/>
            <w:vAlign w:val="top"/>
            <w:textDirection w:val="lrTb"/>
            <w:noWrap w:val="false"/>
          </w:tcPr>
          <w:p>
            <w:pPr>
              <w:pStyle w:val="1156"/>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4252"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4252"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14.2.1.</w:t>
            </w:r>
            <w:r>
              <w:rPr>
                <w:sz w:val="20"/>
                <w:szCs w:val="20"/>
              </w:rPr>
            </w:r>
            <w:r>
              <w:rPr>
                <w:sz w:val="20"/>
                <w:szCs w:val="20"/>
              </w:rPr>
            </w:r>
          </w:p>
        </w:tc>
        <w:tc>
          <w:tcPr>
            <w:tcW w:w="3041" w:type="dxa"/>
            <w:vAlign w:val="top"/>
            <w:textDirection w:val="lrTb"/>
            <w:noWrap w:val="false"/>
          </w:tcPr>
          <w:p>
            <w:pPr>
              <w:pStyle w:val="1156"/>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2174" w:type="dxa"/>
            <w:vAlign w:val="top"/>
            <w:textDirection w:val="lrTb"/>
            <w:noWrap w:val="false"/>
          </w:tcPr>
          <w:p>
            <w:pPr>
              <w:pStyle w:val="1156"/>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56"/>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56"/>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56"/>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56"/>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156"/>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14.2.2.</w:t>
            </w:r>
            <w:r>
              <w:rPr>
                <w:sz w:val="20"/>
                <w:szCs w:val="20"/>
              </w:rPr>
            </w:r>
            <w:r>
              <w:rPr>
                <w:sz w:val="20"/>
                <w:szCs w:val="20"/>
              </w:rPr>
            </w:r>
          </w:p>
        </w:tc>
        <w:tc>
          <w:tcPr>
            <w:tcW w:w="3041" w:type="dxa"/>
            <w:vAlign w:val="top"/>
            <w:textDirection w:val="lrTb"/>
            <w:noWrap w:val="false"/>
          </w:tcPr>
          <w:p>
            <w:pPr>
              <w:pStyle w:val="1156"/>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56"/>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56"/>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56"/>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56"/>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4252" w:type="dxa"/>
            <w:vAlign w:val="top"/>
            <w:textDirection w:val="lrTb"/>
            <w:noWrap w:val="false"/>
          </w:tcPr>
          <w:p>
            <w:pPr>
              <w:pStyle w:val="1156"/>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14.2.3. </w:t>
            </w:r>
            <w:r>
              <w:rPr>
                <w:sz w:val="20"/>
                <w:szCs w:val="20"/>
              </w:rPr>
            </w:r>
            <w:r>
              <w:rPr>
                <w:sz w:val="20"/>
                <w:szCs w:val="20"/>
              </w:rPr>
            </w:r>
          </w:p>
        </w:tc>
        <w:tc>
          <w:tcPr>
            <w:tcW w:w="3041" w:type="dxa"/>
            <w:vAlign w:val="top"/>
            <w:textDirection w:val="lrTb"/>
            <w:noWrap w:val="false"/>
          </w:tcPr>
          <w:p>
            <w:pPr>
              <w:pStyle w:val="1156"/>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14.2.3.1.</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156"/>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56"/>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56"/>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156"/>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14.2.3.2.</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156"/>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4252" w:type="dxa"/>
            <w:vAlign w:val="top"/>
            <w:textDirection w:val="lrTb"/>
            <w:noWrap w:val="false"/>
          </w:tcPr>
          <w:p>
            <w:pPr>
              <w:pStyle w:val="1156"/>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14.2.4.</w:t>
            </w:r>
            <w:r>
              <w:rPr>
                <w:sz w:val="20"/>
                <w:szCs w:val="20"/>
              </w:rPr>
            </w:r>
            <w:r>
              <w:rPr>
                <w:sz w:val="20"/>
                <w:szCs w:val="20"/>
              </w:rPr>
            </w:r>
          </w:p>
        </w:tc>
        <w:tc>
          <w:tcPr>
            <w:tcW w:w="3041" w:type="dxa"/>
            <w:vAlign w:val="top"/>
            <w:textDirection w:val="lrTb"/>
            <w:noWrap w:val="false"/>
          </w:tcPr>
          <w:p>
            <w:pPr>
              <w:pStyle w:val="1156"/>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4252" w:type="dxa"/>
            <w:vAlign w:val="top"/>
            <w:textDirection w:val="lrTb"/>
            <w:noWrap w:val="false"/>
          </w:tcPr>
          <w:p>
            <w:pPr>
              <w:pStyle w:val="1156"/>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14.2.5.</w:t>
            </w:r>
            <w:r>
              <w:rPr>
                <w:sz w:val="20"/>
                <w:szCs w:val="20"/>
              </w:rPr>
            </w:r>
            <w:r>
              <w:rPr>
                <w:sz w:val="20"/>
                <w:szCs w:val="20"/>
              </w:rPr>
            </w:r>
          </w:p>
        </w:tc>
        <w:tc>
          <w:tcPr>
            <w:tcW w:w="3041" w:type="dxa"/>
            <w:vAlign w:val="top"/>
            <w:textDirection w:val="lrTb"/>
            <w:noWrap w:val="false"/>
          </w:tcPr>
          <w:p>
            <w:pPr>
              <w:pStyle w:val="1156"/>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4252" w:type="dxa"/>
            <w:vAlign w:val="top"/>
            <w:textDirection w:val="lrTb"/>
            <w:noWrap w:val="false"/>
          </w:tcPr>
          <w:p>
            <w:pPr>
              <w:pStyle w:val="1156"/>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14.2.6.</w:t>
            </w:r>
            <w:r>
              <w:rPr>
                <w:sz w:val="20"/>
                <w:szCs w:val="20"/>
              </w:rPr>
            </w:r>
            <w:r>
              <w:rPr>
                <w:sz w:val="20"/>
                <w:szCs w:val="20"/>
              </w:rPr>
            </w:r>
          </w:p>
        </w:tc>
        <w:tc>
          <w:tcPr>
            <w:tcW w:w="3041" w:type="dxa"/>
            <w:vAlign w:val="top"/>
            <w:textDirection w:val="lrTb"/>
            <w:noWrap w:val="false"/>
          </w:tcPr>
          <w:p>
            <w:pPr>
              <w:pStyle w:val="1156"/>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4252" w:type="dxa"/>
            <w:vAlign w:val="top"/>
            <w:textDirection w:val="lrTb"/>
            <w:noWrap w:val="false"/>
          </w:tcPr>
          <w:p>
            <w:pPr>
              <w:pStyle w:val="1156"/>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56"/>
              <w:jc w:val="center"/>
              <w:rPr>
                <w:sz w:val="20"/>
                <w:szCs w:val="20"/>
              </w:rPr>
            </w:pPr>
            <w:r>
              <w:rPr>
                <w:sz w:val="20"/>
                <w:szCs w:val="20"/>
              </w:rPr>
              <w:t xml:space="preserve">14.2.7.</w:t>
            </w:r>
            <w:r>
              <w:rPr>
                <w:sz w:val="20"/>
                <w:szCs w:val="20"/>
              </w:rPr>
            </w:r>
            <w:r>
              <w:rPr>
                <w:sz w:val="20"/>
                <w:szCs w:val="20"/>
              </w:rPr>
            </w:r>
          </w:p>
        </w:tc>
        <w:tc>
          <w:tcPr>
            <w:gridSpan w:val="6"/>
            <w:tcW w:w="9467" w:type="dxa"/>
            <w:vAlign w:val="top"/>
            <w:textDirection w:val="lrTb"/>
            <w:noWrap w:val="false"/>
          </w:tcPr>
          <w:p>
            <w:pPr>
              <w:pStyle w:val="1156"/>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9"/>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2606" w:type="dxa"/>
            <w:vAlign w:val="center"/>
            <w:textDirection w:val="lrTb"/>
            <w:noWrap w:val="false"/>
          </w:tcPr>
          <w:p>
            <w:pPr>
              <w:pStyle w:val="1156"/>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56"/>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774" w:type="dxa"/>
            <w:vAlign w:val="top"/>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56"/>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041" w:type="dxa"/>
            <w:vAlign w:val="top"/>
            <w:vMerge w:val="restart"/>
            <w:textDirection w:val="lrTb"/>
            <w:noWrap w:val="false"/>
          </w:tcPr>
          <w:p>
            <w:pPr>
              <w:pStyle w:val="1156"/>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04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center"/>
            <w:vMerge w:val="restart"/>
            <w:textDirection w:val="lrTb"/>
            <w:noWrap w:val="false"/>
          </w:tcPr>
          <w:p>
            <w:pPr>
              <w:pStyle w:val="1156"/>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56"/>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56"/>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156"/>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041" w:type="dxa"/>
            <w:vAlign w:val="top"/>
            <w:vMerge w:val="restart"/>
            <w:textDirection w:val="lrTb"/>
            <w:noWrap w:val="false"/>
          </w:tcPr>
          <w:p>
            <w:pPr>
              <w:pStyle w:val="1156"/>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046" w:type="dxa"/>
            <w:vAlign w:val="top"/>
            <w:textDirection w:val="lrTb"/>
            <w:noWrap w:val="false"/>
          </w:tcPr>
          <w:p>
            <w:pPr>
              <w:pStyle w:val="1156"/>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56"/>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56"/>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2606" w:type="dxa"/>
            <w:vAlign w:val="top"/>
            <w:textDirection w:val="lrTb"/>
            <w:noWrap w:val="false"/>
          </w:tcPr>
          <w:p>
            <w:pPr>
              <w:pStyle w:val="1156"/>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56"/>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trPr>
        <w:tc>
          <w:tcPr>
            <w:tcW w:w="869" w:type="dxa"/>
            <w:vAlign w:val="top"/>
            <w:textDirection w:val="lrTb"/>
            <w:noWrap w:val="false"/>
          </w:tcPr>
          <w:p>
            <w:pPr>
              <w:pStyle w:val="1156"/>
              <w:jc w:val="center"/>
              <w:rPr>
                <w:sz w:val="20"/>
                <w:szCs w:val="20"/>
              </w:rPr>
            </w:pPr>
            <w:r>
              <w:rPr>
                <w:sz w:val="20"/>
                <w:szCs w:val="20"/>
              </w:rPr>
              <w:t xml:space="preserve">14.2.7.3.</w:t>
            </w:r>
            <w:r>
              <w:rPr>
                <w:sz w:val="20"/>
                <w:szCs w:val="20"/>
              </w:rPr>
            </w:r>
            <w:r>
              <w:rPr>
                <w:sz w:val="20"/>
                <w:szCs w:val="20"/>
              </w:rPr>
            </w:r>
          </w:p>
        </w:tc>
        <w:tc>
          <w:tcPr>
            <w:tcW w:w="3041" w:type="dxa"/>
            <w:vAlign w:val="top"/>
            <w:textDirection w:val="lrTb"/>
            <w:noWrap w:val="false"/>
          </w:tcPr>
          <w:p>
            <w:pPr>
              <w:pStyle w:val="1156"/>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2783" w:type="dxa"/>
            <w:vAlign w:val="top"/>
            <w:textDirection w:val="lrTb"/>
            <w:noWrap w:val="false"/>
          </w:tcPr>
          <w:p>
            <w:pPr>
              <w:pStyle w:val="1156"/>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642" w:type="dxa"/>
            <w:vAlign w:val="top"/>
            <w:textDirection w:val="lrTb"/>
            <w:noWrap w:val="false"/>
          </w:tcPr>
          <w:p>
            <w:pPr>
              <w:pStyle w:val="1156"/>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7"/>
        </w:trPr>
        <w:tc>
          <w:tcPr>
            <w:tcW w:w="869" w:type="dxa"/>
            <w:vAlign w:val="top"/>
            <w:textDirection w:val="lrTb"/>
            <w:noWrap w:val="false"/>
          </w:tcPr>
          <w:p>
            <w:pPr>
              <w:pStyle w:val="1156"/>
              <w:jc w:val="center"/>
              <w:spacing w:before="40" w:after="40"/>
              <w:rPr>
                <w:bCs/>
                <w:sz w:val="20"/>
                <w:szCs w:val="20"/>
              </w:rPr>
            </w:pPr>
            <w:r>
              <w:rPr>
                <w:bCs/>
                <w:sz w:val="20"/>
                <w:szCs w:val="20"/>
              </w:rPr>
              <w:t xml:space="preserve">14.2.7.4.</w:t>
            </w:r>
            <w:r>
              <w:rPr>
                <w:bCs/>
                <w:sz w:val="20"/>
                <w:szCs w:val="20"/>
              </w:rPr>
            </w:r>
            <w:r>
              <w:rPr>
                <w:bCs/>
                <w:sz w:val="20"/>
                <w:szCs w:val="20"/>
              </w:rPr>
            </w:r>
          </w:p>
        </w:tc>
        <w:tc>
          <w:tcPr>
            <w:tcW w:w="3041" w:type="dxa"/>
            <w:vAlign w:val="top"/>
            <w:textDirection w:val="lrTb"/>
            <w:noWrap w:val="false"/>
          </w:tcPr>
          <w:p>
            <w:pPr>
              <w:pStyle w:val="1156"/>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156"/>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642" w:type="dxa"/>
            <w:vAlign w:val="top"/>
            <w:textDirection w:val="lrTb"/>
            <w:noWrap w:val="false"/>
          </w:tcPr>
          <w:p>
            <w:pPr>
              <w:pStyle w:val="1156"/>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1"/>
        </w:trPr>
        <w:tc>
          <w:tcPr>
            <w:tcW w:w="869" w:type="dxa"/>
            <w:vAlign w:val="top"/>
            <w:textDirection w:val="lrTb"/>
            <w:noWrap w:val="false"/>
          </w:tcPr>
          <w:p>
            <w:pPr>
              <w:pStyle w:val="1156"/>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041" w:type="dxa"/>
            <w:vAlign w:val="top"/>
            <w:textDirection w:val="lrTb"/>
            <w:noWrap w:val="false"/>
          </w:tcPr>
          <w:p>
            <w:pPr>
              <w:pStyle w:val="1156"/>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156"/>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642" w:type="dxa"/>
            <w:vAlign w:val="top"/>
            <w:textDirection w:val="lrTb"/>
            <w:noWrap w:val="false"/>
          </w:tcPr>
          <w:p>
            <w:pPr>
              <w:pStyle w:val="1156"/>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p>
            <w:pPr>
              <w:pStyle w:val="1156"/>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14.3.1.</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14.3.2.</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10 руб. за каждый лист</w:t>
            </w:r>
            <w:r>
              <w:rPr>
                <w:sz w:val="20"/>
                <w:szCs w:val="20"/>
              </w:rPr>
            </w:r>
            <w:r>
              <w:rPr>
                <w:sz w:val="20"/>
                <w:szCs w:val="20"/>
              </w:rPr>
            </w:r>
          </w:p>
          <w:p>
            <w:pPr>
              <w:pStyle w:val="1156"/>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14.3.3.</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14.3.4.</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10 руб. за каждый лист</w:t>
            </w:r>
            <w:r>
              <w:rPr>
                <w:sz w:val="20"/>
                <w:szCs w:val="20"/>
              </w:rPr>
            </w:r>
            <w:r>
              <w:rPr>
                <w:sz w:val="20"/>
                <w:szCs w:val="20"/>
              </w:rPr>
            </w:r>
          </w:p>
          <w:p>
            <w:pPr>
              <w:pStyle w:val="1156"/>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14.4.1.</w:t>
            </w:r>
            <w:r>
              <w:rPr>
                <w:sz w:val="20"/>
                <w:szCs w:val="20"/>
              </w:rPr>
            </w:r>
            <w:r>
              <w:rPr>
                <w:sz w:val="20"/>
                <w:szCs w:val="20"/>
              </w:rPr>
            </w:r>
          </w:p>
        </w:tc>
        <w:tc>
          <w:tcPr>
            <w:tcW w:w="3041" w:type="dxa"/>
            <w:vAlign w:val="top"/>
            <w:textDirection w:val="lrTb"/>
            <w:noWrap w:val="false"/>
          </w:tcPr>
          <w:p>
            <w:pPr>
              <w:pStyle w:val="1156"/>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2174" w:type="dxa"/>
            <w:vAlign w:val="top"/>
            <w:textDirection w:val="lrTb"/>
            <w:noWrap w:val="false"/>
          </w:tcPr>
          <w:p>
            <w:pPr>
              <w:pStyle w:val="1156"/>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14.4.2.</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14.4.3.</w:t>
            </w:r>
            <w:r>
              <w:rPr>
                <w:sz w:val="20"/>
                <w:szCs w:val="20"/>
              </w:rPr>
            </w:r>
            <w:r>
              <w:rPr>
                <w:sz w:val="20"/>
                <w:szCs w:val="20"/>
              </w:rPr>
            </w:r>
          </w:p>
        </w:tc>
        <w:tc>
          <w:tcPr>
            <w:tcW w:w="3041" w:type="dxa"/>
            <w:vAlign w:val="top"/>
            <w:textDirection w:val="lrTb"/>
            <w:noWrap w:val="false"/>
          </w:tcPr>
          <w:p>
            <w:pPr>
              <w:pStyle w:val="1156"/>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4252"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14.4.4.</w:t>
            </w:r>
            <w:r>
              <w:rPr>
                <w:sz w:val="20"/>
                <w:szCs w:val="20"/>
              </w:rPr>
            </w:r>
            <w:r>
              <w:rPr>
                <w:sz w:val="20"/>
                <w:szCs w:val="20"/>
              </w:rPr>
            </w:r>
          </w:p>
        </w:tc>
        <w:tc>
          <w:tcPr>
            <w:shd w:val="clear" w:color="auto" w:fill="ffffff"/>
            <w:tcW w:w="3041" w:type="dxa"/>
            <w:vAlign w:val="top"/>
            <w:textDirection w:val="lrTb"/>
            <w:noWrap w:val="false"/>
          </w:tcPr>
          <w:p>
            <w:pPr>
              <w:pStyle w:val="1156"/>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2174" w:type="dxa"/>
            <w:vAlign w:val="top"/>
            <w:textDirection w:val="lrTb"/>
            <w:noWrap w:val="false"/>
          </w:tcPr>
          <w:p>
            <w:pPr>
              <w:pStyle w:val="1156"/>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4252" w:type="dxa"/>
            <w:vAlign w:val="top"/>
            <w:textDirection w:val="lrTb"/>
            <w:noWrap w:val="false"/>
          </w:tcPr>
          <w:p>
            <w:pPr>
              <w:pStyle w:val="1156"/>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14.4.5.</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100 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14.4.6.</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14.4.7.</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300 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14.4.8.</w:t>
            </w:r>
            <w:r>
              <w:rPr>
                <w:sz w:val="20"/>
                <w:szCs w:val="20"/>
              </w:rPr>
            </w:r>
            <w:r>
              <w:rPr>
                <w:sz w:val="20"/>
                <w:szCs w:val="20"/>
              </w:rPr>
            </w:r>
          </w:p>
        </w:tc>
        <w:tc>
          <w:tcPr>
            <w:tcW w:w="3041" w:type="dxa"/>
            <w:vAlign w:val="top"/>
            <w:textDirection w:val="lrTb"/>
            <w:noWrap w:val="false"/>
          </w:tcPr>
          <w:p>
            <w:pPr>
              <w:pStyle w:val="1156"/>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174" w:type="dxa"/>
            <w:vAlign w:val="top"/>
            <w:textDirection w:val="lrTb"/>
            <w:noWrap w:val="false"/>
          </w:tcPr>
          <w:p>
            <w:pPr>
              <w:pStyle w:val="1156"/>
              <w:jc w:val="center"/>
              <w:rPr>
                <w:sz w:val="20"/>
                <w:szCs w:val="20"/>
              </w:rPr>
            </w:pPr>
            <w:r>
              <w:rPr>
                <w:sz w:val="20"/>
                <w:szCs w:val="20"/>
              </w:rPr>
              <w:t xml:space="preserve">0,1% от суммы сделки</w:t>
            </w:r>
            <w:r>
              <w:rPr>
                <w:sz w:val="20"/>
                <w:szCs w:val="20"/>
              </w:rPr>
            </w:r>
            <w:r>
              <w:rPr>
                <w:sz w:val="20"/>
                <w:szCs w:val="20"/>
              </w:rPr>
            </w:r>
          </w:p>
          <w:p>
            <w:pPr>
              <w:pStyle w:val="1156"/>
              <w:jc w:val="center"/>
              <w:rPr>
                <w:sz w:val="20"/>
                <w:szCs w:val="20"/>
              </w:rPr>
            </w:pPr>
            <w:r>
              <w:rPr>
                <w:sz w:val="20"/>
                <w:szCs w:val="20"/>
              </w:rPr>
              <w:t xml:space="preserve">Макс 5000руб.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56"/>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041" w:type="dxa"/>
            <w:vAlign w:val="top"/>
            <w:textDirection w:val="lrTb"/>
            <w:noWrap w:val="false"/>
          </w:tcPr>
          <w:p>
            <w:pPr>
              <w:pStyle w:val="1156"/>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174" w:type="dxa"/>
            <w:vAlign w:val="center"/>
            <w:vMerge w:val="restart"/>
            <w:textDirection w:val="lrTb"/>
            <w:noWrap w:val="false"/>
          </w:tcPr>
          <w:p>
            <w:pPr>
              <w:pStyle w:val="1156"/>
              <w:jc w:val="center"/>
              <w:spacing w:before="40" w:after="40"/>
              <w:rPr>
                <w:sz w:val="20"/>
                <w:szCs w:val="20"/>
              </w:rPr>
            </w:pPr>
            <w:r>
              <w:rPr>
                <w:sz w:val="20"/>
                <w:szCs w:val="20"/>
              </w:rPr>
              <w:t xml:space="preserve">3 000 руб.</w:t>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56"/>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2174"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156"/>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2174"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vMerge w:val="continue"/>
            <w:textDirection w:val="lrTb"/>
            <w:noWrap w:val="false"/>
          </w:tcPr>
          <w:p>
            <w:pPr>
              <w:pStyle w:val="1156"/>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2174"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56"/>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2174"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56"/>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2174" w:type="dxa"/>
            <w:vAlign w:val="top"/>
            <w:vMerge w:val="continue"/>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Borders>
              <w:bottom w:val="single" w:color="000000" w:sz="4" w:space="0"/>
            </w:tcBorders>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56"/>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56"/>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156"/>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041" w:type="dxa"/>
            <w:vAlign w:val="top"/>
            <w:textDirection w:val="lrTb"/>
            <w:noWrap w:val="false"/>
          </w:tcPr>
          <w:p>
            <w:pPr>
              <w:pStyle w:val="1156"/>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2174" w:type="dxa"/>
            <w:vAlign w:val="top"/>
            <w:textDirection w:val="lrTb"/>
            <w:noWrap w:val="false"/>
          </w:tcPr>
          <w:p>
            <w:pPr>
              <w:pStyle w:val="1156"/>
              <w:jc w:val="center"/>
              <w:rPr>
                <w:sz w:val="20"/>
                <w:szCs w:val="20"/>
              </w:rPr>
            </w:pPr>
            <w:r>
              <w:rPr>
                <w:sz w:val="20"/>
                <w:szCs w:val="20"/>
              </w:rPr>
              <w:t xml:space="preserve">Комиссия не взимается</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5"/>
        </w:trPr>
        <w:tc>
          <w:tcPr>
            <w:tcBorders>
              <w:bottom w:val="none" w:color="000000" w:sz="4" w:space="0"/>
            </w:tcBorders>
            <w:tcW w:w="869" w:type="dxa"/>
            <w:vAlign w:val="top"/>
            <w:textDirection w:val="lrTb"/>
            <w:noWrap w:val="false"/>
          </w:tcPr>
          <w:p>
            <w:pPr>
              <w:pStyle w:val="1156"/>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041" w:type="dxa"/>
            <w:vAlign w:val="top"/>
            <w:textDirection w:val="lrTb"/>
            <w:noWrap w:val="false"/>
          </w:tcPr>
          <w:p>
            <w:pPr>
              <w:pStyle w:val="1156"/>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156"/>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156"/>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4252"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56"/>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156"/>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14.6.3.</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rPr>
              <w:t xml:space="preserve">500 руб.</w:t>
            </w:r>
            <w:r>
              <w:rPr>
                <w:sz w:val="20"/>
                <w:szCs w:val="20"/>
              </w:rPr>
            </w:r>
            <w:r>
              <w:rPr>
                <w:sz w:val="20"/>
                <w:szCs w:val="20"/>
              </w:rPr>
            </w:r>
          </w:p>
          <w:p>
            <w:pPr>
              <w:pStyle w:val="115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14.6.4.</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rPr>
              <w:t xml:space="preserve">1 000 руб.</w:t>
            </w:r>
            <w:r>
              <w:rPr>
                <w:sz w:val="20"/>
                <w:szCs w:val="20"/>
              </w:rPr>
            </w:r>
            <w:r>
              <w:rPr>
                <w:sz w:val="20"/>
                <w:szCs w:val="20"/>
              </w:rPr>
            </w:r>
          </w:p>
          <w:p>
            <w:pPr>
              <w:pStyle w:val="115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156"/>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041" w:type="dxa"/>
            <w:vAlign w:val="top"/>
            <w:textDirection w:val="lrTb"/>
            <w:noWrap w:val="false"/>
          </w:tcPr>
          <w:p>
            <w:pPr>
              <w:pStyle w:val="1156"/>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5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69" w:type="dxa"/>
            <w:vAlign w:val="top"/>
            <w:textDirection w:val="lrTb"/>
            <w:noWrap w:val="false"/>
          </w:tcPr>
          <w:p>
            <w:pPr>
              <w:pStyle w:val="1156"/>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041" w:type="dxa"/>
            <w:vAlign w:val="top"/>
            <w:textDirection w:val="lrTb"/>
            <w:noWrap w:val="false"/>
          </w:tcPr>
          <w:p>
            <w:pPr>
              <w:pStyle w:val="1156"/>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56"/>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156"/>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156"/>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56"/>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156"/>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56"/>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4252"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14.6.7.</w:t>
            </w:r>
            <w:r>
              <w:rPr>
                <w:sz w:val="20"/>
                <w:szCs w:val="20"/>
              </w:rPr>
            </w:r>
            <w:r>
              <w:rPr>
                <w:sz w:val="20"/>
                <w:szCs w:val="20"/>
              </w:rPr>
            </w:r>
          </w:p>
        </w:tc>
        <w:tc>
          <w:tcPr>
            <w:tcW w:w="3041" w:type="dxa"/>
            <w:vAlign w:val="top"/>
            <w:textDirection w:val="lrTb"/>
            <w:noWrap w:val="false"/>
          </w:tcPr>
          <w:p>
            <w:pPr>
              <w:pStyle w:val="1156"/>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174" w:type="dxa"/>
            <w:vAlign w:val="top"/>
            <w:textDirection w:val="lrTb"/>
            <w:noWrap w:val="false"/>
          </w:tcPr>
          <w:p>
            <w:pPr>
              <w:pStyle w:val="1156"/>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14.7.1.</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2174" w:type="dxa"/>
            <w:vAlign w:val="top"/>
            <w:textDirection w:val="lrTb"/>
            <w:noWrap w:val="false"/>
          </w:tcPr>
          <w:p>
            <w:pPr>
              <w:pStyle w:val="1204"/>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56"/>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14.8.1.</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14.8.2.</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rPr>
              <w:t xml:space="preserve">1 000 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14.8.3.</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56"/>
              <w:jc w:val="center"/>
              <w:rPr>
                <w:sz w:val="20"/>
                <w:szCs w:val="20"/>
              </w:rPr>
            </w:pPr>
            <w:r>
              <w:rPr>
                <w:sz w:val="20"/>
                <w:szCs w:val="20"/>
              </w:rPr>
              <w:t xml:space="preserve">14.8.4.</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174" w:type="dxa"/>
            <w:vAlign w:val="top"/>
            <w:textDirection w:val="lrTb"/>
            <w:noWrap w:val="false"/>
          </w:tcPr>
          <w:p>
            <w:pPr>
              <w:pStyle w:val="115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56"/>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56"/>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rPr>
              <w:t xml:space="preserve">3 000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56"/>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14.8.5.</w:t>
            </w:r>
            <w:r>
              <w:rPr>
                <w:sz w:val="20"/>
                <w:szCs w:val="20"/>
              </w:rPr>
            </w:r>
            <w:r>
              <w:rPr>
                <w:sz w:val="20"/>
                <w:szCs w:val="20"/>
              </w:rPr>
            </w:r>
          </w:p>
        </w:tc>
        <w:tc>
          <w:tcPr>
            <w:tcW w:w="3041" w:type="dxa"/>
            <w:vAlign w:val="top"/>
            <w:textDirection w:val="lrTb"/>
            <w:noWrap w:val="false"/>
          </w:tcPr>
          <w:p>
            <w:pPr>
              <w:pStyle w:val="1156"/>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56"/>
              <w:jc w:val="center"/>
              <w:rPr>
                <w:sz w:val="20"/>
                <w:szCs w:val="20"/>
              </w:rPr>
            </w:pPr>
            <w:r>
              <w:rPr>
                <w:sz w:val="20"/>
                <w:szCs w:val="20"/>
              </w:rPr>
              <w:t xml:space="preserve">14.8.6.</w:t>
            </w:r>
            <w:r>
              <w:rPr>
                <w:sz w:val="20"/>
                <w:szCs w:val="20"/>
              </w:rPr>
            </w:r>
            <w:r>
              <w:rPr>
                <w:sz w:val="20"/>
                <w:szCs w:val="20"/>
              </w:rPr>
            </w:r>
          </w:p>
        </w:tc>
        <w:tc>
          <w:tcPr>
            <w:tcW w:w="3041" w:type="dxa"/>
            <w:vAlign w:val="top"/>
            <w:textDirection w:val="lrTb"/>
            <w:noWrap w:val="false"/>
          </w:tcPr>
          <w:p>
            <w:pPr>
              <w:pStyle w:val="996"/>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96"/>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174" w:type="dxa"/>
            <w:vAlign w:val="top"/>
            <w:textDirection w:val="lrTb"/>
            <w:noWrap w:val="false"/>
          </w:tcPr>
          <w:p>
            <w:pPr>
              <w:pStyle w:val="1156"/>
              <w:jc w:val="center"/>
              <w:spacing w:before="40" w:after="40"/>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Pr>
                <w:sz w:val="20"/>
                <w:szCs w:val="20"/>
              </w:rPr>
            </w:r>
            <w:r>
              <w:rPr>
                <w:sz w:val="20"/>
                <w:szCs w:val="20"/>
              </w:rPr>
            </w:r>
          </w:p>
        </w:tc>
        <w:tc>
          <w:tcPr>
            <w:gridSpan w:val="3"/>
            <w:tcW w:w="425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rPr>
          <w:trHeight w:val="227"/>
        </w:trPr>
        <w:tc>
          <w:tcPr>
            <w:tcW w:w="869" w:type="dxa"/>
            <w:vAlign w:val="top"/>
            <w:vMerge w:val="restart"/>
            <w:textDirection w:val="lrTb"/>
            <w:noWrap w:val="false"/>
          </w:tcPr>
          <w:p>
            <w:pPr>
              <w:pStyle w:val="1156"/>
              <w:jc w:val="center"/>
              <w:rPr>
                <w:sz w:val="20"/>
                <w:szCs w:val="20"/>
              </w:rPr>
            </w:pPr>
            <w:r>
              <w:rPr>
                <w:sz w:val="20"/>
                <w:szCs w:val="20"/>
              </w:rPr>
              <w:t xml:space="preserve">14.8.7</w:t>
            </w:r>
            <w:r>
              <w:rPr>
                <w:sz w:val="20"/>
                <w:szCs w:val="20"/>
              </w:rPr>
            </w:r>
            <w:r>
              <w:rPr>
                <w:sz w:val="20"/>
                <w:szCs w:val="20"/>
              </w:rPr>
            </w:r>
          </w:p>
        </w:tc>
        <w:tc>
          <w:tcPr>
            <w:tcW w:w="3041" w:type="dxa"/>
            <w:vAlign w:val="top"/>
            <w:vMerge w:val="restart"/>
            <w:textDirection w:val="lrTb"/>
            <w:noWrap w:val="false"/>
          </w:tcPr>
          <w:p>
            <w:pPr>
              <w:pStyle w:val="996"/>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174" w:type="dxa"/>
            <w:vAlign w:val="top"/>
            <w:vMerge w:val="restart"/>
            <w:textDirection w:val="lrTb"/>
            <w:noWrap w:val="false"/>
          </w:tcPr>
          <w:p>
            <w:pPr>
              <w:pStyle w:val="1156"/>
              <w:jc w:val="center"/>
              <w:spacing w:before="40" w:after="40"/>
              <w:rPr>
                <w:sz w:val="20"/>
                <w:szCs w:val="20"/>
              </w:rPr>
            </w:pPr>
            <w:r>
              <w:rPr>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sz w:val="20"/>
                <w:szCs w:val="20"/>
              </w:rPr>
            </w:r>
            <w:r>
              <w:rPr>
                <w:sz w:val="20"/>
                <w:szCs w:val="20"/>
              </w:rPr>
            </w:r>
          </w:p>
        </w:tc>
        <w:tc>
          <w:tcPr>
            <w:gridSpan w:val="3"/>
            <w:tcW w:w="4252" w:type="dxa"/>
            <w:vAlign w:val="top"/>
            <w:vMerge w:val="restart"/>
            <w:textDirection w:val="lrTb"/>
            <w:noWrap w:val="false"/>
          </w:tcPr>
          <w:p>
            <w:pPr>
              <w:pStyle w:val="1156"/>
              <w:rPr>
                <w:sz w:val="20"/>
                <w:szCs w:val="20"/>
              </w:rPr>
            </w:pPr>
            <w:r>
              <w:rPr>
                <w:sz w:val="20"/>
                <w:szCs w:val="20"/>
              </w:rPr>
            </w:r>
            <w:r>
              <w:rPr>
                <w:sz w:val="20"/>
                <w:szCs w:val="20"/>
              </w:rPr>
            </w:r>
            <w:r>
              <w:rPr>
                <w:sz w:val="20"/>
                <w:szCs w:val="20"/>
              </w:rPr>
            </w:r>
          </w:p>
        </w:tc>
      </w:tr>
    </w:tbl>
    <w:p>
      <w:pPr>
        <w:pStyle w:val="1156"/>
        <w:rPr>
          <w:i/>
          <w:sz w:val="16"/>
          <w:szCs w:val="16"/>
        </w:rPr>
      </w:pPr>
      <w:r>
        <w:rPr>
          <w:i/>
          <w:sz w:val="16"/>
          <w:szCs w:val="16"/>
        </w:rPr>
      </w:r>
      <w:r>
        <w:rPr>
          <w:i/>
          <w:sz w:val="16"/>
          <w:szCs w:val="16"/>
        </w:rPr>
      </w:r>
      <w:r>
        <w:rPr>
          <w:i/>
          <w:sz w:val="16"/>
          <w:szCs w:val="16"/>
        </w:rPr>
      </w:r>
    </w:p>
    <w:p>
      <w:pPr>
        <w:pStyle w:val="1156"/>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56"/>
      </w:pPr>
      <w:r/>
      <w:r/>
    </w:p>
    <w:p>
      <w:pPr>
        <w:pStyle w:val="1156"/>
        <w:jc w:val="center"/>
        <w:spacing w:after="120"/>
        <w:tabs>
          <w:tab w:val="left" w:pos="284" w:leader="none"/>
          <w:tab w:val="left" w:pos="993" w:leader="none"/>
        </w:tabs>
        <w:rPr>
          <w:b/>
          <w:sz w:val="22"/>
          <w:szCs w:val="22"/>
        </w:rPr>
      </w:pPr>
      <w:r>
        <w:rPr>
          <w:b/>
          <w:sz w:val="22"/>
          <w:szCs w:val="22"/>
        </w:rPr>
        <w:t xml:space="preserve">15.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56"/>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56"/>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56"/>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56"/>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56"/>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56"/>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56"/>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56"/>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spacing w:before="120" w:after="120"/>
              <w:tabs>
                <w:tab w:val="left" w:pos="284" w:leader="none"/>
                <w:tab w:val="left" w:pos="993" w:leader="none"/>
              </w:tabs>
              <w:rPr>
                <w:b/>
                <w:sz w:val="20"/>
                <w:szCs w:val="20"/>
              </w:rPr>
            </w:pPr>
            <w:r>
              <w:rPr>
                <w:b/>
                <w:sz w:val="20"/>
                <w:szCs w:val="20"/>
              </w:rPr>
              <w:t xml:space="preserve">15.1</w:t>
            </w:r>
            <w:r>
              <w:rPr>
                <w:b/>
                <w:sz w:val="20"/>
                <w:szCs w:val="20"/>
              </w:rPr>
            </w:r>
            <w:r>
              <w:rPr>
                <w:b/>
                <w:sz w:val="20"/>
                <w:szCs w:val="20"/>
              </w:rPr>
            </w:r>
          </w:p>
        </w:tc>
        <w:tc>
          <w:tcPr>
            <w:gridSpan w:val="5"/>
            <w:tcW w:w="8965" w:type="dxa"/>
            <w:vAlign w:val="top"/>
            <w:textDirection w:val="lrTb"/>
            <w:noWrap w:val="false"/>
          </w:tcPr>
          <w:p>
            <w:pPr>
              <w:pStyle w:val="1156"/>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15.1.1.</w:t>
            </w:r>
            <w:r>
              <w:rPr>
                <w:sz w:val="20"/>
                <w:szCs w:val="20"/>
              </w:rPr>
            </w:r>
            <w:r>
              <w:rPr>
                <w:sz w:val="20"/>
                <w:szCs w:val="20"/>
              </w:rPr>
            </w:r>
          </w:p>
        </w:tc>
        <w:tc>
          <w:tcPr>
            <w:gridSpan w:val="2"/>
            <w:tcW w:w="3828" w:type="dxa"/>
            <w:vAlign w:val="top"/>
            <w:textDirection w:val="lrTb"/>
            <w:noWrap w:val="false"/>
          </w:tcPr>
          <w:p>
            <w:pPr>
              <w:pStyle w:val="1156"/>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5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15.1.2.</w:t>
            </w:r>
            <w:r>
              <w:rPr>
                <w:sz w:val="20"/>
                <w:szCs w:val="20"/>
              </w:rPr>
            </w:r>
            <w:r>
              <w:rPr>
                <w:sz w:val="20"/>
                <w:szCs w:val="20"/>
              </w:rPr>
            </w:r>
          </w:p>
        </w:tc>
        <w:tc>
          <w:tcPr>
            <w:gridSpan w:val="2"/>
            <w:tcW w:w="3828" w:type="dxa"/>
            <w:vAlign w:val="top"/>
            <w:textDirection w:val="lrTb"/>
            <w:noWrap w:val="false"/>
          </w:tcPr>
          <w:p>
            <w:pPr>
              <w:pStyle w:val="1156"/>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5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15.1.3.</w:t>
            </w:r>
            <w:r>
              <w:rPr>
                <w:sz w:val="20"/>
                <w:szCs w:val="20"/>
              </w:rPr>
            </w:r>
            <w:r>
              <w:rPr>
                <w:sz w:val="20"/>
                <w:szCs w:val="20"/>
              </w:rPr>
            </w:r>
          </w:p>
        </w:tc>
        <w:tc>
          <w:tcPr>
            <w:gridSpan w:val="2"/>
            <w:tcW w:w="3828" w:type="dxa"/>
            <w:vAlign w:val="top"/>
            <w:textDirection w:val="lrTb"/>
            <w:noWrap w:val="false"/>
          </w:tcPr>
          <w:p>
            <w:pPr>
              <w:pStyle w:val="1156"/>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5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15.1.4.</w:t>
            </w:r>
            <w:r>
              <w:rPr>
                <w:sz w:val="20"/>
                <w:szCs w:val="20"/>
              </w:rPr>
            </w:r>
            <w:r>
              <w:rPr>
                <w:sz w:val="20"/>
                <w:szCs w:val="20"/>
              </w:rPr>
            </w:r>
          </w:p>
        </w:tc>
        <w:tc>
          <w:tcPr>
            <w:gridSpan w:val="2"/>
            <w:tcW w:w="3828" w:type="dxa"/>
            <w:vAlign w:val="top"/>
            <w:textDirection w:val="lrTb"/>
            <w:noWrap w:val="false"/>
          </w:tcPr>
          <w:p>
            <w:pPr>
              <w:pStyle w:val="1156"/>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5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15.1.4.1.</w:t>
            </w:r>
            <w:r>
              <w:rPr>
                <w:sz w:val="20"/>
                <w:szCs w:val="20"/>
              </w:rPr>
            </w:r>
            <w:r>
              <w:rPr>
                <w:sz w:val="20"/>
                <w:szCs w:val="20"/>
              </w:rPr>
            </w:r>
          </w:p>
        </w:tc>
        <w:tc>
          <w:tcPr>
            <w:gridSpan w:val="2"/>
            <w:tcW w:w="3828" w:type="dxa"/>
            <w:vAlign w:val="top"/>
            <w:textDirection w:val="lrTb"/>
            <w:noWrap w:val="false"/>
          </w:tcPr>
          <w:p>
            <w:pPr>
              <w:pStyle w:val="1156"/>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5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15.1.5</w:t>
            </w:r>
            <w:r>
              <w:rPr>
                <w:sz w:val="20"/>
                <w:szCs w:val="20"/>
              </w:rPr>
            </w:r>
            <w:r>
              <w:rPr>
                <w:sz w:val="20"/>
                <w:szCs w:val="20"/>
              </w:rPr>
            </w:r>
          </w:p>
        </w:tc>
        <w:tc>
          <w:tcPr>
            <w:gridSpan w:val="2"/>
            <w:tcW w:w="3828" w:type="dxa"/>
            <w:vAlign w:val="top"/>
            <w:textDirection w:val="lrTb"/>
            <w:noWrap w:val="false"/>
          </w:tcPr>
          <w:p>
            <w:pPr>
              <w:pStyle w:val="1156"/>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56"/>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5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15.2.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06"/>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80"/>
                <w:bCs/>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80"/>
                <w:b/>
                <w:bCs/>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06"/>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80"/>
                <w:b/>
                <w:bCs/>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15.2.2.2.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6"/>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0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0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56"/>
        <w:jc w:val="both"/>
        <w:rPr>
          <w:sz w:val="22"/>
          <w:szCs w:val="22"/>
        </w:rPr>
      </w:pPr>
      <w:r>
        <w:rPr>
          <w:sz w:val="22"/>
          <w:szCs w:val="22"/>
        </w:rPr>
      </w:r>
      <w:r>
        <w:rPr>
          <w:sz w:val="22"/>
          <w:szCs w:val="22"/>
        </w:rPr>
      </w:r>
      <w:r>
        <w:rPr>
          <w:sz w:val="22"/>
          <w:szCs w:val="22"/>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16.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16.</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16.1.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16.2.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ET">
    <w:panose1 w:val="02000603000000000000"/>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8"/>
        <w:jc w:val="both"/>
      </w:pPr>
      <w:r>
        <w:rPr>
          <w:rStyle w:val="1180"/>
        </w:rPr>
        <w:footnoteRef/>
      </w:r>
      <w:r>
        <w:rPr>
          <w:rStyle w:val="1180"/>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78"/>
      </w:pPr>
      <w:r>
        <w:rPr>
          <w:rStyle w:val="1180"/>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8"/>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78"/>
      </w:pPr>
      <w:r>
        <w:rPr>
          <w:rStyle w:val="1180"/>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8"/>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78"/>
        <w:rPr>
          <w:lang w:val="ru-RU"/>
        </w:rPr>
      </w:pPr>
      <w:r>
        <w:rPr>
          <w:lang w:val="ru-RU"/>
        </w:rPr>
      </w:r>
      <w:r>
        <w:rPr>
          <w:lang w:val="ru-RU"/>
        </w:rPr>
      </w:r>
      <w:r>
        <w:rPr>
          <w:lang w:val="ru-RU"/>
        </w:rPr>
      </w:r>
    </w:p>
  </w:footnote>
  <w:footnote w:id="5">
    <w:p>
      <w:pPr>
        <w:pStyle w:val="1178"/>
        <w:jc w:val="both"/>
      </w:pPr>
      <w:r>
        <w:rPr>
          <w:rStyle w:val="1180"/>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8"/>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78"/>
      </w:pPr>
      <w:r>
        <w:rPr>
          <w:rStyle w:val="1180"/>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8"/>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39"/>
        <w:jc w:val="both"/>
        <w:rPr>
          <w:rFonts w:ascii="Times New Roman" w:hAnsi="Times New Roman" w:cs="Times New Roman"/>
          <w:highlight w:val="none"/>
        </w:rPr>
      </w:pPr>
      <w:r>
        <w:rPr>
          <w:rStyle w:val="1141"/>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highlight w:val="none"/>
        </w:rPr>
      </w:r>
      <w:r>
        <w:rPr>
          <w:rFonts w:ascii="Times New Roman" w:hAnsi="Times New Roman" w:cs="Times New Roman"/>
          <w:highlight w:val="none"/>
        </w:rPr>
      </w:r>
    </w:p>
  </w:footnote>
  <w:footnote w:id="8">
    <w:p>
      <w:pPr>
        <w:pStyle w:val="1139"/>
        <w:jc w:val="both"/>
        <w:rPr>
          <w:rFonts w:ascii="Times New Roman" w:hAnsi="Times New Roman" w:cs="Times New Roman"/>
          <w:highlight w:val="none"/>
        </w:rPr>
      </w:pPr>
      <w:r>
        <w:rPr>
          <w:rStyle w:val="1141"/>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highlight w:val="none"/>
        </w:rPr>
      </w:r>
      <w:r>
        <w:rPr>
          <w:rFonts w:ascii="Times New Roman" w:hAnsi="Times New Roman" w:cs="Times New Roman"/>
          <w:highlight w:val="none"/>
        </w:rPr>
      </w:r>
    </w:p>
  </w:footnote>
  <w:footnote w:id="9">
    <w:p>
      <w:pPr>
        <w:pStyle w:val="1156"/>
        <w:ind w:right="-17"/>
        <w:jc w:val="both"/>
        <w:spacing w:before="40" w:after="40"/>
        <w:tabs>
          <w:tab w:val="left" w:pos="4464" w:leader="none"/>
          <w:tab w:val="left" w:pos="5760" w:leader="none"/>
        </w:tabs>
        <w:rPr>
          <w:sz w:val="20"/>
          <w:szCs w:val="20"/>
        </w:rPr>
      </w:pPr>
      <w:r>
        <w:rPr>
          <w:rStyle w:val="1180"/>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178"/>
        <w:rPr>
          <w:sz w:val="18"/>
          <w:szCs w:val="18"/>
          <w:lang w:val="ru-RU"/>
        </w:rPr>
      </w:pPr>
      <w:r>
        <w:rPr>
          <w:rStyle w:val="1180"/>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78"/>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78"/>
        <w:jc w:val="both"/>
        <w:rPr>
          <w:sz w:val="18"/>
          <w:szCs w:val="18"/>
          <w:lang w:val="ru-RU"/>
        </w:rPr>
      </w:pPr>
      <w:r>
        <w:rPr>
          <w:rStyle w:val="1180"/>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78"/>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178"/>
        <w:jc w:val="both"/>
        <w:rPr>
          <w:sz w:val="18"/>
          <w:szCs w:val="18"/>
          <w:lang w:val="ru-RU"/>
        </w:rPr>
      </w:pPr>
      <w:r>
        <w:rPr>
          <w:rStyle w:val="1180"/>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78"/>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6"/>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56"/>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7"/>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8">
    <w:name w:val="Heading 1"/>
    <w:basedOn w:val="1156"/>
    <w:next w:val="1156"/>
    <w:link w:val="979"/>
    <w:uiPriority w:val="9"/>
    <w:qFormat/>
    <w:pPr>
      <w:keepLines/>
      <w:keepNext/>
      <w:spacing w:before="480" w:after="200"/>
      <w:outlineLvl w:val="0"/>
    </w:pPr>
    <w:rPr>
      <w:rFonts w:ascii="Arial" w:hAnsi="Arial" w:eastAsia="Arial" w:cs="Arial"/>
      <w:sz w:val="40"/>
      <w:szCs w:val="40"/>
    </w:rPr>
  </w:style>
  <w:style w:type="character" w:styleId="979">
    <w:name w:val="Heading 1 Char"/>
    <w:link w:val="978"/>
    <w:uiPriority w:val="9"/>
    <w:rPr>
      <w:rFonts w:ascii="Arial" w:hAnsi="Arial" w:eastAsia="Arial" w:cs="Arial"/>
      <w:sz w:val="40"/>
      <w:szCs w:val="40"/>
    </w:rPr>
  </w:style>
  <w:style w:type="paragraph" w:styleId="980">
    <w:name w:val="Heading 2"/>
    <w:basedOn w:val="1156"/>
    <w:next w:val="1156"/>
    <w:link w:val="981"/>
    <w:uiPriority w:val="9"/>
    <w:unhideWhenUsed/>
    <w:qFormat/>
    <w:pPr>
      <w:keepLines/>
      <w:keepNext/>
      <w:spacing w:before="360" w:after="200"/>
      <w:outlineLvl w:val="1"/>
    </w:pPr>
    <w:rPr>
      <w:rFonts w:ascii="Arial" w:hAnsi="Arial" w:eastAsia="Arial" w:cs="Arial"/>
      <w:sz w:val="34"/>
    </w:rPr>
  </w:style>
  <w:style w:type="character" w:styleId="981">
    <w:name w:val="Heading 2 Char"/>
    <w:link w:val="980"/>
    <w:uiPriority w:val="9"/>
    <w:rPr>
      <w:rFonts w:ascii="Arial" w:hAnsi="Arial" w:eastAsia="Arial" w:cs="Arial"/>
      <w:sz w:val="34"/>
    </w:rPr>
  </w:style>
  <w:style w:type="paragraph" w:styleId="982">
    <w:name w:val="Heading 3"/>
    <w:basedOn w:val="1156"/>
    <w:next w:val="1156"/>
    <w:link w:val="983"/>
    <w:uiPriority w:val="9"/>
    <w:unhideWhenUsed/>
    <w:qFormat/>
    <w:pPr>
      <w:keepLines/>
      <w:keepNext/>
      <w:spacing w:before="320" w:after="200"/>
      <w:outlineLvl w:val="2"/>
    </w:pPr>
    <w:rPr>
      <w:rFonts w:ascii="Arial" w:hAnsi="Arial" w:eastAsia="Arial" w:cs="Arial"/>
      <w:sz w:val="30"/>
      <w:szCs w:val="30"/>
    </w:rPr>
  </w:style>
  <w:style w:type="character" w:styleId="983">
    <w:name w:val="Heading 3 Char"/>
    <w:link w:val="982"/>
    <w:uiPriority w:val="9"/>
    <w:rPr>
      <w:rFonts w:ascii="Arial" w:hAnsi="Arial" w:eastAsia="Arial" w:cs="Arial"/>
      <w:sz w:val="30"/>
      <w:szCs w:val="30"/>
    </w:rPr>
  </w:style>
  <w:style w:type="paragraph" w:styleId="984">
    <w:name w:val="Heading 4"/>
    <w:basedOn w:val="1156"/>
    <w:next w:val="1156"/>
    <w:link w:val="985"/>
    <w:uiPriority w:val="9"/>
    <w:unhideWhenUsed/>
    <w:qFormat/>
    <w:pPr>
      <w:keepLines/>
      <w:keepNext/>
      <w:spacing w:before="320" w:after="200"/>
      <w:outlineLvl w:val="3"/>
    </w:pPr>
    <w:rPr>
      <w:rFonts w:ascii="Arial" w:hAnsi="Arial" w:eastAsia="Arial" w:cs="Arial"/>
      <w:b/>
      <w:bCs/>
      <w:sz w:val="26"/>
      <w:szCs w:val="26"/>
    </w:rPr>
  </w:style>
  <w:style w:type="character" w:styleId="985">
    <w:name w:val="Heading 4 Char"/>
    <w:link w:val="984"/>
    <w:uiPriority w:val="9"/>
    <w:rPr>
      <w:rFonts w:ascii="Arial" w:hAnsi="Arial" w:eastAsia="Arial" w:cs="Arial"/>
      <w:b/>
      <w:bCs/>
      <w:sz w:val="26"/>
      <w:szCs w:val="26"/>
    </w:rPr>
  </w:style>
  <w:style w:type="paragraph" w:styleId="986">
    <w:name w:val="Heading 5"/>
    <w:basedOn w:val="1156"/>
    <w:next w:val="1156"/>
    <w:link w:val="987"/>
    <w:uiPriority w:val="9"/>
    <w:unhideWhenUsed/>
    <w:qFormat/>
    <w:pPr>
      <w:keepLines/>
      <w:keepNext/>
      <w:spacing w:before="320" w:after="200"/>
      <w:outlineLvl w:val="4"/>
    </w:pPr>
    <w:rPr>
      <w:rFonts w:ascii="Arial" w:hAnsi="Arial" w:eastAsia="Arial" w:cs="Arial"/>
      <w:b/>
      <w:bCs/>
      <w:sz w:val="24"/>
      <w:szCs w:val="24"/>
    </w:rPr>
  </w:style>
  <w:style w:type="character" w:styleId="987">
    <w:name w:val="Heading 5 Char"/>
    <w:link w:val="986"/>
    <w:uiPriority w:val="9"/>
    <w:rPr>
      <w:rFonts w:ascii="Arial" w:hAnsi="Arial" w:eastAsia="Arial" w:cs="Arial"/>
      <w:b/>
      <w:bCs/>
      <w:sz w:val="24"/>
      <w:szCs w:val="24"/>
    </w:rPr>
  </w:style>
  <w:style w:type="paragraph" w:styleId="988">
    <w:name w:val="Heading 6"/>
    <w:basedOn w:val="1156"/>
    <w:next w:val="1156"/>
    <w:link w:val="989"/>
    <w:uiPriority w:val="9"/>
    <w:unhideWhenUsed/>
    <w:qFormat/>
    <w:pPr>
      <w:keepLines/>
      <w:keepNext/>
      <w:spacing w:before="320" w:after="200"/>
      <w:outlineLvl w:val="5"/>
    </w:pPr>
    <w:rPr>
      <w:rFonts w:ascii="Arial" w:hAnsi="Arial" w:eastAsia="Arial" w:cs="Arial"/>
      <w:b/>
      <w:bCs/>
      <w:sz w:val="22"/>
      <w:szCs w:val="22"/>
    </w:rPr>
  </w:style>
  <w:style w:type="character" w:styleId="989">
    <w:name w:val="Heading 6 Char"/>
    <w:link w:val="988"/>
    <w:uiPriority w:val="9"/>
    <w:rPr>
      <w:rFonts w:ascii="Arial" w:hAnsi="Arial" w:eastAsia="Arial" w:cs="Arial"/>
      <w:b/>
      <w:bCs/>
      <w:sz w:val="22"/>
      <w:szCs w:val="22"/>
    </w:rPr>
  </w:style>
  <w:style w:type="paragraph" w:styleId="990">
    <w:name w:val="Heading 7"/>
    <w:basedOn w:val="1156"/>
    <w:next w:val="1156"/>
    <w:link w:val="991"/>
    <w:uiPriority w:val="9"/>
    <w:unhideWhenUsed/>
    <w:qFormat/>
    <w:pPr>
      <w:keepLines/>
      <w:keepNext/>
      <w:spacing w:before="320" w:after="200"/>
      <w:outlineLvl w:val="6"/>
    </w:pPr>
    <w:rPr>
      <w:rFonts w:ascii="Arial" w:hAnsi="Arial" w:eastAsia="Arial" w:cs="Arial"/>
      <w:b/>
      <w:bCs/>
      <w:i/>
      <w:iCs/>
      <w:sz w:val="22"/>
      <w:szCs w:val="22"/>
    </w:rPr>
  </w:style>
  <w:style w:type="character" w:styleId="991">
    <w:name w:val="Heading 7 Char"/>
    <w:link w:val="990"/>
    <w:uiPriority w:val="9"/>
    <w:rPr>
      <w:rFonts w:ascii="Arial" w:hAnsi="Arial" w:eastAsia="Arial" w:cs="Arial"/>
      <w:b/>
      <w:bCs/>
      <w:i/>
      <w:iCs/>
      <w:sz w:val="22"/>
      <w:szCs w:val="22"/>
    </w:rPr>
  </w:style>
  <w:style w:type="paragraph" w:styleId="992">
    <w:name w:val="Heading 8"/>
    <w:basedOn w:val="1156"/>
    <w:next w:val="1156"/>
    <w:link w:val="993"/>
    <w:uiPriority w:val="9"/>
    <w:unhideWhenUsed/>
    <w:qFormat/>
    <w:pPr>
      <w:keepLines/>
      <w:keepNext/>
      <w:spacing w:before="320" w:after="200"/>
      <w:outlineLvl w:val="7"/>
    </w:pPr>
    <w:rPr>
      <w:rFonts w:ascii="Arial" w:hAnsi="Arial" w:eastAsia="Arial" w:cs="Arial"/>
      <w:i/>
      <w:iCs/>
      <w:sz w:val="22"/>
      <w:szCs w:val="22"/>
    </w:rPr>
  </w:style>
  <w:style w:type="character" w:styleId="993">
    <w:name w:val="Heading 8 Char"/>
    <w:link w:val="992"/>
    <w:uiPriority w:val="9"/>
    <w:rPr>
      <w:rFonts w:ascii="Arial" w:hAnsi="Arial" w:eastAsia="Arial" w:cs="Arial"/>
      <w:i/>
      <w:iCs/>
      <w:sz w:val="22"/>
      <w:szCs w:val="22"/>
    </w:rPr>
  </w:style>
  <w:style w:type="paragraph" w:styleId="994">
    <w:name w:val="Heading 9"/>
    <w:basedOn w:val="1156"/>
    <w:next w:val="1156"/>
    <w:link w:val="995"/>
    <w:uiPriority w:val="9"/>
    <w:unhideWhenUsed/>
    <w:qFormat/>
    <w:pPr>
      <w:keepLines/>
      <w:keepNext/>
      <w:spacing w:before="320" w:after="200"/>
      <w:outlineLvl w:val="8"/>
    </w:pPr>
    <w:rPr>
      <w:rFonts w:ascii="Arial" w:hAnsi="Arial" w:eastAsia="Arial" w:cs="Arial"/>
      <w:i/>
      <w:iCs/>
      <w:sz w:val="21"/>
      <w:szCs w:val="21"/>
    </w:rPr>
  </w:style>
  <w:style w:type="character" w:styleId="995">
    <w:name w:val="Heading 9 Char"/>
    <w:link w:val="994"/>
    <w:uiPriority w:val="9"/>
    <w:rPr>
      <w:rFonts w:ascii="Arial" w:hAnsi="Arial" w:eastAsia="Arial" w:cs="Arial"/>
      <w:i/>
      <w:iCs/>
      <w:sz w:val="21"/>
      <w:szCs w:val="21"/>
    </w:rPr>
  </w:style>
  <w:style w:type="paragraph" w:styleId="996">
    <w:name w:val="List Paragraph"/>
    <w:basedOn w:val="1156"/>
    <w:uiPriority w:val="34"/>
    <w:qFormat/>
    <w:pPr>
      <w:contextualSpacing/>
      <w:ind w:left="720"/>
    </w:pPr>
  </w:style>
  <w:style w:type="paragraph" w:styleId="997">
    <w:name w:val="No Spacing"/>
    <w:uiPriority w:val="1"/>
    <w:qFormat/>
    <w:pPr>
      <w:spacing w:before="0" w:after="0" w:line="240" w:lineRule="auto"/>
    </w:pPr>
  </w:style>
  <w:style w:type="paragraph" w:styleId="998">
    <w:name w:val="Title"/>
    <w:basedOn w:val="1156"/>
    <w:next w:val="1156"/>
    <w:link w:val="999"/>
    <w:uiPriority w:val="10"/>
    <w:qFormat/>
    <w:pPr>
      <w:contextualSpacing/>
      <w:spacing w:before="300" w:after="200"/>
    </w:pPr>
    <w:rPr>
      <w:sz w:val="48"/>
      <w:szCs w:val="48"/>
    </w:rPr>
  </w:style>
  <w:style w:type="character" w:styleId="999">
    <w:name w:val="Title Char"/>
    <w:link w:val="998"/>
    <w:uiPriority w:val="10"/>
    <w:rPr>
      <w:sz w:val="48"/>
      <w:szCs w:val="48"/>
    </w:rPr>
  </w:style>
  <w:style w:type="paragraph" w:styleId="1000">
    <w:name w:val="Subtitle"/>
    <w:basedOn w:val="1156"/>
    <w:next w:val="1156"/>
    <w:link w:val="1001"/>
    <w:uiPriority w:val="11"/>
    <w:qFormat/>
    <w:pPr>
      <w:spacing w:before="200" w:after="200"/>
    </w:pPr>
    <w:rPr>
      <w:sz w:val="24"/>
      <w:szCs w:val="24"/>
    </w:rPr>
  </w:style>
  <w:style w:type="character" w:styleId="1001">
    <w:name w:val="Subtitle Char"/>
    <w:link w:val="1000"/>
    <w:uiPriority w:val="11"/>
    <w:rPr>
      <w:sz w:val="24"/>
      <w:szCs w:val="24"/>
    </w:rPr>
  </w:style>
  <w:style w:type="paragraph" w:styleId="1002">
    <w:name w:val="Quote"/>
    <w:basedOn w:val="1156"/>
    <w:next w:val="1156"/>
    <w:link w:val="1003"/>
    <w:uiPriority w:val="29"/>
    <w:qFormat/>
    <w:pPr>
      <w:ind w:left="720" w:right="720"/>
    </w:pPr>
    <w:rPr>
      <w:i/>
    </w:rPr>
  </w:style>
  <w:style w:type="character" w:styleId="1003">
    <w:name w:val="Quote Char"/>
    <w:link w:val="1002"/>
    <w:uiPriority w:val="29"/>
    <w:rPr>
      <w:i/>
    </w:rPr>
  </w:style>
  <w:style w:type="paragraph" w:styleId="1004">
    <w:name w:val="Intense Quote"/>
    <w:basedOn w:val="1156"/>
    <w:next w:val="1156"/>
    <w:link w:val="100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5">
    <w:name w:val="Intense Quote Char"/>
    <w:link w:val="1004"/>
    <w:uiPriority w:val="30"/>
    <w:rPr>
      <w:i/>
    </w:rPr>
  </w:style>
  <w:style w:type="paragraph" w:styleId="1006">
    <w:name w:val="Header"/>
    <w:basedOn w:val="1156"/>
    <w:link w:val="1007"/>
    <w:uiPriority w:val="99"/>
    <w:unhideWhenUsed/>
    <w:pPr>
      <w:spacing w:after="0" w:line="240" w:lineRule="auto"/>
      <w:tabs>
        <w:tab w:val="center" w:pos="7143" w:leader="none"/>
        <w:tab w:val="right" w:pos="14287" w:leader="none"/>
      </w:tabs>
    </w:pPr>
  </w:style>
  <w:style w:type="character" w:styleId="1007">
    <w:name w:val="Header Char"/>
    <w:link w:val="1006"/>
    <w:uiPriority w:val="99"/>
  </w:style>
  <w:style w:type="paragraph" w:styleId="1008">
    <w:name w:val="Footer"/>
    <w:basedOn w:val="1156"/>
    <w:link w:val="1011"/>
    <w:uiPriority w:val="99"/>
    <w:unhideWhenUsed/>
    <w:pPr>
      <w:spacing w:after="0" w:line="240" w:lineRule="auto"/>
      <w:tabs>
        <w:tab w:val="center" w:pos="7143" w:leader="none"/>
        <w:tab w:val="right" w:pos="14287" w:leader="none"/>
      </w:tabs>
    </w:pPr>
  </w:style>
  <w:style w:type="character" w:styleId="1009">
    <w:name w:val="Footer Char"/>
    <w:link w:val="1008"/>
    <w:uiPriority w:val="99"/>
  </w:style>
  <w:style w:type="paragraph" w:styleId="1010">
    <w:name w:val="Caption"/>
    <w:basedOn w:val="1156"/>
    <w:next w:val="1156"/>
    <w:link w:val="1011"/>
    <w:uiPriority w:val="35"/>
    <w:semiHidden/>
    <w:unhideWhenUsed/>
    <w:qFormat/>
    <w:pPr>
      <w:spacing w:line="276" w:lineRule="auto"/>
    </w:pPr>
    <w:rPr>
      <w:b/>
      <w:bCs/>
      <w:color w:val="4f81bd" w:themeColor="accent1"/>
      <w:sz w:val="18"/>
      <w:szCs w:val="18"/>
    </w:rPr>
  </w:style>
  <w:style w:type="character" w:styleId="1011">
    <w:name w:val="Caption Char"/>
    <w:basedOn w:val="1010"/>
    <w:link w:val="1008"/>
    <w:uiPriority w:val="99"/>
  </w:style>
  <w:style w:type="table" w:styleId="101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2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2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4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4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5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5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6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6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7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7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8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8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9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0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0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1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1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3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3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8">
    <w:name w:val="Hyperlink"/>
    <w:uiPriority w:val="99"/>
    <w:unhideWhenUsed/>
    <w:rPr>
      <w:color w:val="0000ff" w:themeColor="hyperlink"/>
      <w:u w:val="single"/>
    </w:rPr>
  </w:style>
  <w:style w:type="paragraph" w:styleId="1139">
    <w:name w:val="footnote text"/>
    <w:basedOn w:val="1156"/>
    <w:link w:val="1140"/>
    <w:uiPriority w:val="99"/>
    <w:semiHidden/>
    <w:unhideWhenUsed/>
    <w:pPr>
      <w:spacing w:after="40" w:line="240" w:lineRule="auto"/>
    </w:pPr>
    <w:rPr>
      <w:sz w:val="18"/>
    </w:rPr>
  </w:style>
  <w:style w:type="character" w:styleId="1140">
    <w:name w:val="Footnote Text Char"/>
    <w:link w:val="1139"/>
    <w:uiPriority w:val="99"/>
    <w:rPr>
      <w:sz w:val="18"/>
    </w:rPr>
  </w:style>
  <w:style w:type="character" w:styleId="1141">
    <w:name w:val="footnote reference"/>
    <w:uiPriority w:val="99"/>
    <w:unhideWhenUsed/>
    <w:rPr>
      <w:vertAlign w:val="superscript"/>
    </w:rPr>
  </w:style>
  <w:style w:type="paragraph" w:styleId="1142">
    <w:name w:val="endnote text"/>
    <w:basedOn w:val="1156"/>
    <w:link w:val="1143"/>
    <w:uiPriority w:val="99"/>
    <w:semiHidden/>
    <w:unhideWhenUsed/>
    <w:pPr>
      <w:spacing w:after="0" w:line="240" w:lineRule="auto"/>
    </w:pPr>
    <w:rPr>
      <w:sz w:val="20"/>
    </w:rPr>
  </w:style>
  <w:style w:type="character" w:styleId="1143">
    <w:name w:val="Endnote Text Char"/>
    <w:link w:val="1142"/>
    <w:uiPriority w:val="99"/>
    <w:rPr>
      <w:sz w:val="20"/>
    </w:rPr>
  </w:style>
  <w:style w:type="character" w:styleId="1144">
    <w:name w:val="endnote reference"/>
    <w:uiPriority w:val="99"/>
    <w:semiHidden/>
    <w:unhideWhenUsed/>
    <w:rPr>
      <w:vertAlign w:val="superscript"/>
    </w:rPr>
  </w:style>
  <w:style w:type="paragraph" w:styleId="1145">
    <w:name w:val="toc 1"/>
    <w:basedOn w:val="1156"/>
    <w:next w:val="1156"/>
    <w:uiPriority w:val="39"/>
    <w:unhideWhenUsed/>
    <w:pPr>
      <w:ind w:left="0" w:right="0" w:firstLine="0"/>
      <w:spacing w:after="57"/>
    </w:pPr>
  </w:style>
  <w:style w:type="paragraph" w:styleId="1146">
    <w:name w:val="toc 2"/>
    <w:basedOn w:val="1156"/>
    <w:next w:val="1156"/>
    <w:uiPriority w:val="39"/>
    <w:unhideWhenUsed/>
    <w:pPr>
      <w:ind w:left="283" w:right="0" w:firstLine="0"/>
      <w:spacing w:after="57"/>
    </w:pPr>
  </w:style>
  <w:style w:type="paragraph" w:styleId="1147">
    <w:name w:val="toc 3"/>
    <w:basedOn w:val="1156"/>
    <w:next w:val="1156"/>
    <w:uiPriority w:val="39"/>
    <w:unhideWhenUsed/>
    <w:pPr>
      <w:ind w:left="567" w:right="0" w:firstLine="0"/>
      <w:spacing w:after="57"/>
    </w:pPr>
  </w:style>
  <w:style w:type="paragraph" w:styleId="1148">
    <w:name w:val="toc 4"/>
    <w:basedOn w:val="1156"/>
    <w:next w:val="1156"/>
    <w:uiPriority w:val="39"/>
    <w:unhideWhenUsed/>
    <w:pPr>
      <w:ind w:left="850" w:right="0" w:firstLine="0"/>
      <w:spacing w:after="57"/>
    </w:pPr>
  </w:style>
  <w:style w:type="paragraph" w:styleId="1149">
    <w:name w:val="toc 5"/>
    <w:basedOn w:val="1156"/>
    <w:next w:val="1156"/>
    <w:uiPriority w:val="39"/>
    <w:unhideWhenUsed/>
    <w:pPr>
      <w:ind w:left="1134" w:right="0" w:firstLine="0"/>
      <w:spacing w:after="57"/>
    </w:pPr>
  </w:style>
  <w:style w:type="paragraph" w:styleId="1150">
    <w:name w:val="toc 6"/>
    <w:basedOn w:val="1156"/>
    <w:next w:val="1156"/>
    <w:uiPriority w:val="39"/>
    <w:unhideWhenUsed/>
    <w:pPr>
      <w:ind w:left="1417" w:right="0" w:firstLine="0"/>
      <w:spacing w:after="57"/>
    </w:pPr>
  </w:style>
  <w:style w:type="paragraph" w:styleId="1151">
    <w:name w:val="toc 7"/>
    <w:basedOn w:val="1156"/>
    <w:next w:val="1156"/>
    <w:uiPriority w:val="39"/>
    <w:unhideWhenUsed/>
    <w:pPr>
      <w:ind w:left="1701" w:right="0" w:firstLine="0"/>
      <w:spacing w:after="57"/>
    </w:pPr>
  </w:style>
  <w:style w:type="paragraph" w:styleId="1152">
    <w:name w:val="toc 8"/>
    <w:basedOn w:val="1156"/>
    <w:next w:val="1156"/>
    <w:uiPriority w:val="39"/>
    <w:unhideWhenUsed/>
    <w:pPr>
      <w:ind w:left="1984" w:right="0" w:firstLine="0"/>
      <w:spacing w:after="57"/>
    </w:pPr>
  </w:style>
  <w:style w:type="paragraph" w:styleId="1153">
    <w:name w:val="toc 9"/>
    <w:basedOn w:val="1156"/>
    <w:next w:val="1156"/>
    <w:uiPriority w:val="39"/>
    <w:unhideWhenUsed/>
    <w:pPr>
      <w:ind w:left="2268" w:right="0" w:firstLine="0"/>
      <w:spacing w:after="57"/>
    </w:pPr>
  </w:style>
  <w:style w:type="paragraph" w:styleId="1154">
    <w:name w:val="TOC Heading"/>
    <w:uiPriority w:val="39"/>
    <w:unhideWhenUsed/>
  </w:style>
  <w:style w:type="paragraph" w:styleId="1155">
    <w:name w:val="table of figures"/>
    <w:basedOn w:val="1156"/>
    <w:next w:val="1156"/>
    <w:uiPriority w:val="99"/>
    <w:unhideWhenUsed/>
    <w:pPr>
      <w:spacing w:after="0" w:afterAutospacing="0"/>
    </w:pPr>
  </w:style>
  <w:style w:type="paragraph" w:styleId="1156" w:default="1">
    <w:name w:val="Normal"/>
    <w:next w:val="1156"/>
    <w:link w:val="1156"/>
    <w:qFormat/>
    <w:rPr>
      <w:sz w:val="24"/>
      <w:szCs w:val="24"/>
      <w:lang w:val="ru-RU" w:eastAsia="ru-RU" w:bidi="ar-SA"/>
    </w:rPr>
  </w:style>
  <w:style w:type="paragraph" w:styleId="1157">
    <w:name w:val="Заголовок 1"/>
    <w:basedOn w:val="1156"/>
    <w:next w:val="1156"/>
    <w:link w:val="1169"/>
    <w:uiPriority w:val="9"/>
    <w:qFormat/>
    <w:pPr>
      <w:keepNext/>
      <w:outlineLvl w:val="0"/>
    </w:pPr>
    <w:rPr>
      <w:rFonts w:ascii="Cambria" w:hAnsi="Cambria"/>
      <w:b/>
      <w:bCs/>
      <w:sz w:val="32"/>
      <w:szCs w:val="32"/>
      <w:lang w:val="en-US" w:eastAsia="en-US"/>
    </w:rPr>
  </w:style>
  <w:style w:type="paragraph" w:styleId="1158">
    <w:name w:val="Заголовок 2"/>
    <w:basedOn w:val="1156"/>
    <w:next w:val="1156"/>
    <w:link w:val="1170"/>
    <w:uiPriority w:val="9"/>
    <w:qFormat/>
    <w:pPr>
      <w:jc w:val="center"/>
      <w:keepNext/>
      <w:outlineLvl w:val="1"/>
    </w:pPr>
    <w:rPr>
      <w:rFonts w:ascii="Cambria" w:hAnsi="Cambria"/>
      <w:b/>
      <w:bCs/>
      <w:i/>
      <w:iCs/>
      <w:sz w:val="28"/>
      <w:szCs w:val="28"/>
      <w:lang w:val="en-US" w:eastAsia="en-US"/>
    </w:rPr>
  </w:style>
  <w:style w:type="paragraph" w:styleId="1159">
    <w:name w:val="Заголовок 3"/>
    <w:basedOn w:val="1156"/>
    <w:next w:val="1156"/>
    <w:link w:val="1171"/>
    <w:uiPriority w:val="9"/>
    <w:qFormat/>
    <w:pPr>
      <w:jc w:val="center"/>
      <w:keepNext/>
      <w:outlineLvl w:val="2"/>
    </w:pPr>
    <w:rPr>
      <w:rFonts w:ascii="Cambria" w:hAnsi="Cambria"/>
      <w:b/>
      <w:bCs/>
      <w:sz w:val="26"/>
      <w:szCs w:val="26"/>
      <w:lang w:val="en-US" w:eastAsia="en-US"/>
    </w:rPr>
  </w:style>
  <w:style w:type="paragraph" w:styleId="1160">
    <w:name w:val="Заголовок 4"/>
    <w:basedOn w:val="1156"/>
    <w:next w:val="1156"/>
    <w:link w:val="1172"/>
    <w:uiPriority w:val="9"/>
    <w:qFormat/>
    <w:pPr>
      <w:ind w:right="-1"/>
      <w:jc w:val="center"/>
      <w:keepNext/>
      <w:outlineLvl w:val="3"/>
    </w:pPr>
    <w:rPr>
      <w:b/>
      <w:bCs/>
      <w:sz w:val="22"/>
      <w:szCs w:val="28"/>
      <w:lang w:val="en-US" w:eastAsia="en-US"/>
    </w:rPr>
  </w:style>
  <w:style w:type="paragraph" w:styleId="1161">
    <w:name w:val="Заголовок 5"/>
    <w:basedOn w:val="1156"/>
    <w:next w:val="1156"/>
    <w:link w:val="1173"/>
    <w:uiPriority w:val="9"/>
    <w:qFormat/>
    <w:pPr>
      <w:ind w:left="720"/>
      <w:jc w:val="both"/>
      <w:keepNext/>
      <w:outlineLvl w:val="4"/>
    </w:pPr>
    <w:rPr>
      <w:rFonts w:ascii="Calibri" w:hAnsi="Calibri"/>
      <w:b/>
      <w:bCs/>
      <w:i/>
      <w:iCs/>
      <w:sz w:val="26"/>
      <w:szCs w:val="26"/>
      <w:lang w:val="en-US" w:eastAsia="en-US"/>
    </w:rPr>
  </w:style>
  <w:style w:type="paragraph" w:styleId="1162">
    <w:name w:val="Заголовок 6"/>
    <w:basedOn w:val="1156"/>
    <w:next w:val="1156"/>
    <w:link w:val="1174"/>
    <w:uiPriority w:val="9"/>
    <w:qFormat/>
    <w:pPr>
      <w:ind w:firstLine="709"/>
      <w:jc w:val="both"/>
      <w:keepNext/>
      <w:outlineLvl w:val="5"/>
    </w:pPr>
    <w:rPr>
      <w:rFonts w:ascii="Calibri" w:hAnsi="Calibri"/>
      <w:b/>
      <w:bCs/>
      <w:sz w:val="20"/>
      <w:szCs w:val="20"/>
      <w:lang w:val="en-US" w:eastAsia="en-US"/>
    </w:rPr>
  </w:style>
  <w:style w:type="paragraph" w:styleId="1163">
    <w:name w:val="Заголовок 7"/>
    <w:basedOn w:val="1156"/>
    <w:next w:val="1156"/>
    <w:link w:val="1175"/>
    <w:uiPriority w:val="9"/>
    <w:qFormat/>
    <w:pPr>
      <w:jc w:val="both"/>
      <w:keepNext/>
      <w:outlineLvl w:val="6"/>
    </w:pPr>
    <w:rPr>
      <w:rFonts w:ascii="Calibri" w:hAnsi="Calibri"/>
      <w:lang w:val="en-US" w:eastAsia="en-US"/>
    </w:rPr>
  </w:style>
  <w:style w:type="paragraph" w:styleId="1164">
    <w:name w:val="Заголовок 8"/>
    <w:basedOn w:val="1156"/>
    <w:next w:val="1156"/>
    <w:link w:val="1176"/>
    <w:uiPriority w:val="9"/>
    <w:qFormat/>
    <w:pPr>
      <w:ind w:firstLine="709"/>
      <w:jc w:val="center"/>
      <w:keepNext/>
      <w:spacing w:after="120"/>
      <w:outlineLvl w:val="7"/>
    </w:pPr>
    <w:rPr>
      <w:rFonts w:ascii="Calibri" w:hAnsi="Calibri"/>
      <w:i/>
      <w:iCs/>
      <w:lang w:val="en-US" w:eastAsia="en-US"/>
    </w:rPr>
  </w:style>
  <w:style w:type="paragraph" w:styleId="1165">
    <w:name w:val="Заголовок 9"/>
    <w:basedOn w:val="1156"/>
    <w:next w:val="1156"/>
    <w:link w:val="1177"/>
    <w:uiPriority w:val="9"/>
    <w:qFormat/>
    <w:pPr>
      <w:keepNext/>
      <w:outlineLvl w:val="8"/>
    </w:pPr>
    <w:rPr>
      <w:rFonts w:ascii="Cambria" w:hAnsi="Cambria"/>
      <w:sz w:val="20"/>
      <w:szCs w:val="20"/>
      <w:lang w:val="en-US" w:eastAsia="en-US"/>
    </w:rPr>
  </w:style>
  <w:style w:type="character" w:styleId="1166">
    <w:name w:val="Основной шрифт абзаца"/>
    <w:next w:val="1166"/>
    <w:link w:val="1156"/>
    <w:uiPriority w:val="99"/>
    <w:semiHidden/>
  </w:style>
  <w:style w:type="table" w:styleId="1167">
    <w:name w:val="Обычная таблица"/>
    <w:next w:val="1167"/>
    <w:link w:val="1156"/>
    <w:uiPriority w:val="99"/>
    <w:semiHidden/>
    <w:unhideWhenUsed/>
    <w:qFormat/>
    <w:tblPr/>
  </w:style>
  <w:style w:type="numbering" w:styleId="1168">
    <w:name w:val="Нет списка"/>
    <w:next w:val="1168"/>
    <w:link w:val="1156"/>
    <w:uiPriority w:val="99"/>
    <w:semiHidden/>
    <w:unhideWhenUsed/>
  </w:style>
  <w:style w:type="character" w:styleId="1169">
    <w:name w:val="Заголовок 1 Знак"/>
    <w:next w:val="1169"/>
    <w:link w:val="1157"/>
    <w:uiPriority w:val="9"/>
    <w:rPr>
      <w:rFonts w:ascii="Cambria" w:hAnsi="Cambria" w:eastAsia="Times New Roman" w:cs="Times New Roman"/>
      <w:b/>
      <w:bCs/>
      <w:sz w:val="32"/>
      <w:szCs w:val="32"/>
    </w:rPr>
  </w:style>
  <w:style w:type="character" w:styleId="1170">
    <w:name w:val="Заголовок 2 Знак"/>
    <w:next w:val="1170"/>
    <w:link w:val="1158"/>
    <w:uiPriority w:val="9"/>
    <w:semiHidden/>
    <w:rPr>
      <w:rFonts w:ascii="Cambria" w:hAnsi="Cambria" w:eastAsia="Times New Roman" w:cs="Times New Roman"/>
      <w:b/>
      <w:bCs/>
      <w:i/>
      <w:iCs/>
      <w:sz w:val="28"/>
      <w:szCs w:val="28"/>
    </w:rPr>
  </w:style>
  <w:style w:type="character" w:styleId="1171">
    <w:name w:val="Заголовок 3 Знак"/>
    <w:next w:val="1171"/>
    <w:link w:val="1159"/>
    <w:uiPriority w:val="9"/>
    <w:semiHidden/>
    <w:rPr>
      <w:rFonts w:ascii="Cambria" w:hAnsi="Cambria" w:eastAsia="Times New Roman" w:cs="Times New Roman"/>
      <w:b/>
      <w:bCs/>
      <w:sz w:val="26"/>
      <w:szCs w:val="26"/>
    </w:rPr>
  </w:style>
  <w:style w:type="character" w:styleId="1172">
    <w:name w:val="Заголовок 4 Знак"/>
    <w:next w:val="1172"/>
    <w:link w:val="1160"/>
    <w:uiPriority w:val="9"/>
    <w:rPr>
      <w:b/>
      <w:bCs/>
      <w:sz w:val="22"/>
      <w:szCs w:val="28"/>
      <w:lang w:val="en-US" w:eastAsia="en-US"/>
    </w:rPr>
  </w:style>
  <w:style w:type="character" w:styleId="1173">
    <w:name w:val="Заголовок 5 Знак"/>
    <w:next w:val="1173"/>
    <w:link w:val="1161"/>
    <w:uiPriority w:val="9"/>
    <w:semiHidden/>
    <w:rPr>
      <w:rFonts w:ascii="Calibri" w:hAnsi="Calibri" w:eastAsia="Times New Roman" w:cs="Times New Roman"/>
      <w:b/>
      <w:bCs/>
      <w:i/>
      <w:iCs/>
      <w:sz w:val="26"/>
      <w:szCs w:val="26"/>
    </w:rPr>
  </w:style>
  <w:style w:type="character" w:styleId="1174">
    <w:name w:val="Заголовок 6 Знак"/>
    <w:next w:val="1174"/>
    <w:link w:val="1162"/>
    <w:uiPriority w:val="9"/>
    <w:semiHidden/>
    <w:rPr>
      <w:rFonts w:ascii="Calibri" w:hAnsi="Calibri" w:eastAsia="Times New Roman" w:cs="Times New Roman"/>
      <w:b/>
      <w:bCs/>
    </w:rPr>
  </w:style>
  <w:style w:type="character" w:styleId="1175">
    <w:name w:val="Заголовок 7 Знак"/>
    <w:next w:val="1175"/>
    <w:link w:val="1163"/>
    <w:uiPriority w:val="9"/>
    <w:semiHidden/>
    <w:rPr>
      <w:rFonts w:ascii="Calibri" w:hAnsi="Calibri" w:eastAsia="Times New Roman" w:cs="Times New Roman"/>
      <w:sz w:val="24"/>
      <w:szCs w:val="24"/>
    </w:rPr>
  </w:style>
  <w:style w:type="character" w:styleId="1176">
    <w:name w:val="Заголовок 8 Знак"/>
    <w:next w:val="1176"/>
    <w:link w:val="1164"/>
    <w:uiPriority w:val="9"/>
    <w:semiHidden/>
    <w:rPr>
      <w:rFonts w:ascii="Calibri" w:hAnsi="Calibri" w:eastAsia="Times New Roman" w:cs="Times New Roman"/>
      <w:i/>
      <w:iCs/>
      <w:sz w:val="24"/>
      <w:szCs w:val="24"/>
    </w:rPr>
  </w:style>
  <w:style w:type="character" w:styleId="1177">
    <w:name w:val="Заголовок 9 Знак"/>
    <w:next w:val="1177"/>
    <w:link w:val="1165"/>
    <w:uiPriority w:val="9"/>
    <w:semiHidden/>
    <w:rPr>
      <w:rFonts w:ascii="Cambria" w:hAnsi="Cambria" w:eastAsia="Times New Roman" w:cs="Times New Roman"/>
    </w:rPr>
  </w:style>
  <w:style w:type="paragraph" w:styleId="117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56"/>
    <w:next w:val="1178"/>
    <w:link w:val="1179"/>
    <w:qFormat/>
    <w:rPr>
      <w:sz w:val="20"/>
      <w:szCs w:val="20"/>
      <w:lang w:val="en-US" w:eastAsia="en-US"/>
    </w:rPr>
  </w:style>
  <w:style w:type="character" w:styleId="117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9"/>
    <w:link w:val="1178"/>
    <w:rPr>
      <w:sz w:val="20"/>
      <w:szCs w:val="20"/>
    </w:r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56"/>
    <w:qFormat/>
    <w:rPr>
      <w:rFonts w:cs="Times New Roman"/>
      <w:vertAlign w:val="superscript"/>
    </w:rPr>
  </w:style>
  <w:style w:type="paragraph" w:styleId="1181">
    <w:name w:val="Текст выноски"/>
    <w:basedOn w:val="1156"/>
    <w:next w:val="1181"/>
    <w:link w:val="1182"/>
    <w:uiPriority w:val="99"/>
    <w:semiHidden/>
    <w:rPr>
      <w:rFonts w:ascii="Tahoma" w:hAnsi="Tahoma"/>
      <w:sz w:val="16"/>
      <w:szCs w:val="16"/>
      <w:lang w:val="en-US" w:eastAsia="en-US"/>
    </w:rPr>
  </w:style>
  <w:style w:type="character" w:styleId="1182">
    <w:name w:val="Текст выноски Знак"/>
    <w:next w:val="1182"/>
    <w:link w:val="1181"/>
    <w:uiPriority w:val="99"/>
    <w:semiHidden/>
    <w:rPr>
      <w:rFonts w:ascii="Tahoma" w:hAnsi="Tahoma" w:cs="Tahoma"/>
      <w:sz w:val="16"/>
      <w:szCs w:val="16"/>
    </w:rPr>
  </w:style>
  <w:style w:type="paragraph" w:styleId="1183">
    <w:name w:val="Без интервала"/>
    <w:next w:val="1183"/>
    <w:link w:val="1184"/>
    <w:uiPriority w:val="99"/>
    <w:qFormat/>
    <w:rPr>
      <w:rFonts w:ascii="Calibri" w:hAnsi="Calibri"/>
      <w:sz w:val="22"/>
      <w:szCs w:val="22"/>
      <w:lang w:val="ru-RU" w:eastAsia="en-US" w:bidi="ar-SA"/>
    </w:rPr>
  </w:style>
  <w:style w:type="character" w:styleId="1184">
    <w:name w:val="Без интервала Знак"/>
    <w:next w:val="1184"/>
    <w:link w:val="1183"/>
    <w:uiPriority w:val="99"/>
    <w:rPr>
      <w:rFonts w:ascii="Calibri" w:hAnsi="Calibri"/>
      <w:sz w:val="22"/>
      <w:szCs w:val="22"/>
      <w:lang w:val="ru-RU" w:eastAsia="en-US" w:bidi="ar-SA"/>
    </w:rPr>
  </w:style>
  <w:style w:type="paragraph" w:styleId="1185">
    <w:name w:val="Оглавление 4"/>
    <w:basedOn w:val="1156"/>
    <w:next w:val="1156"/>
    <w:link w:val="1156"/>
    <w:uiPriority w:val="39"/>
    <w:pPr>
      <w:ind w:right="-307"/>
      <w:spacing w:line="360" w:lineRule="auto"/>
      <w:tabs>
        <w:tab w:val="right" w:pos="10195" w:leader="dot"/>
      </w:tabs>
    </w:pPr>
  </w:style>
  <w:style w:type="character" w:styleId="1186">
    <w:name w:val="Гиперссылка"/>
    <w:next w:val="1186"/>
    <w:link w:val="1156"/>
    <w:uiPriority w:val="99"/>
    <w:unhideWhenUsed/>
    <w:rPr>
      <w:color w:val="0000ff"/>
      <w:u w:val="single"/>
    </w:rPr>
  </w:style>
  <w:style w:type="paragraph" w:styleId="1187">
    <w:name w:val="Верхний колонтитул,ВерхКолонтитул"/>
    <w:basedOn w:val="1156"/>
    <w:next w:val="1187"/>
    <w:link w:val="1188"/>
    <w:uiPriority w:val="99"/>
    <w:unhideWhenUsed/>
    <w:pPr>
      <w:tabs>
        <w:tab w:val="center" w:pos="4677" w:leader="none"/>
        <w:tab w:val="right" w:pos="9355" w:leader="none"/>
      </w:tabs>
    </w:pPr>
    <w:rPr>
      <w:lang w:val="en-US" w:eastAsia="en-US"/>
    </w:rPr>
  </w:style>
  <w:style w:type="character" w:styleId="1188">
    <w:name w:val="Верхний колонтитул Знак,ВерхКолонтитул Знак"/>
    <w:next w:val="1188"/>
    <w:link w:val="1187"/>
    <w:uiPriority w:val="99"/>
    <w:rPr>
      <w:sz w:val="24"/>
      <w:szCs w:val="24"/>
    </w:rPr>
  </w:style>
  <w:style w:type="paragraph" w:styleId="1189">
    <w:name w:val="Нижний колонтитул"/>
    <w:basedOn w:val="1156"/>
    <w:next w:val="1189"/>
    <w:link w:val="1190"/>
    <w:uiPriority w:val="99"/>
    <w:unhideWhenUsed/>
    <w:pPr>
      <w:tabs>
        <w:tab w:val="center" w:pos="4677" w:leader="none"/>
        <w:tab w:val="right" w:pos="9355" w:leader="none"/>
      </w:tabs>
    </w:pPr>
    <w:rPr>
      <w:lang w:val="en-US" w:eastAsia="en-US"/>
    </w:rPr>
  </w:style>
  <w:style w:type="character" w:styleId="1190">
    <w:name w:val="Нижний колонтитул Знак"/>
    <w:next w:val="1190"/>
    <w:link w:val="1189"/>
    <w:uiPriority w:val="99"/>
    <w:rPr>
      <w:sz w:val="24"/>
      <w:szCs w:val="24"/>
    </w:rPr>
  </w:style>
  <w:style w:type="character" w:styleId="1191">
    <w:name w:val="Основной текст Знак,Основной текст_отчет Знак1,bt Знак1"/>
    <w:next w:val="1191"/>
    <w:link w:val="1192"/>
    <w:rPr>
      <w:sz w:val="24"/>
      <w:szCs w:val="24"/>
    </w:rPr>
  </w:style>
  <w:style w:type="paragraph" w:styleId="1192">
    <w:name w:val="Основной текст,Основной текст_отчет,bt"/>
    <w:basedOn w:val="1156"/>
    <w:next w:val="1192"/>
    <w:link w:val="1191"/>
    <w:unhideWhenUsed/>
    <w:pPr>
      <w:jc w:val="both"/>
    </w:pPr>
    <w:rPr>
      <w:lang w:val="en-US" w:eastAsia="en-US"/>
    </w:rPr>
  </w:style>
  <w:style w:type="character" w:styleId="1193">
    <w:name w:val="Основной текст Знак1"/>
    <w:next w:val="1193"/>
    <w:link w:val="1156"/>
    <w:uiPriority w:val="99"/>
    <w:semiHidden/>
    <w:rPr>
      <w:sz w:val="24"/>
      <w:szCs w:val="24"/>
    </w:rPr>
  </w:style>
  <w:style w:type="paragraph" w:styleId="1194">
    <w:name w:val="Основной текст с отступом 2"/>
    <w:basedOn w:val="1156"/>
    <w:next w:val="1194"/>
    <w:link w:val="1195"/>
    <w:unhideWhenUsed/>
    <w:pPr>
      <w:ind w:firstLine="360"/>
      <w:jc w:val="both"/>
    </w:pPr>
    <w:rPr>
      <w:lang w:val="en-US" w:eastAsia="en-US"/>
    </w:rPr>
  </w:style>
  <w:style w:type="character" w:styleId="1195">
    <w:name w:val="Основной текст с отступом 2 Знак"/>
    <w:next w:val="1195"/>
    <w:link w:val="1194"/>
    <w:rPr>
      <w:sz w:val="24"/>
      <w:szCs w:val="24"/>
    </w:rPr>
  </w:style>
  <w:style w:type="paragraph" w:styleId="119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56"/>
    <w:next w:val="1196"/>
    <w:link w:val="1197"/>
    <w:rPr>
      <w:sz w:val="22"/>
      <w:szCs w:val="22"/>
      <w:lang w:val="en-US" w:eastAsia="en-US"/>
    </w:rPr>
  </w:style>
  <w:style w:type="character" w:styleId="119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197"/>
    <w:link w:val="1196"/>
    <w:rPr>
      <w:sz w:val="22"/>
      <w:szCs w:val="22"/>
    </w:rPr>
  </w:style>
  <w:style w:type="paragraph" w:styleId="1198">
    <w:name w:val="Основной текст 2"/>
    <w:basedOn w:val="1156"/>
    <w:next w:val="1198"/>
    <w:link w:val="1199"/>
    <w:uiPriority w:val="99"/>
    <w:semiHidden/>
    <w:unhideWhenUsed/>
    <w:pPr>
      <w:spacing w:after="120" w:line="480" w:lineRule="auto"/>
    </w:pPr>
    <w:rPr>
      <w:lang w:val="en-US" w:eastAsia="en-US"/>
    </w:rPr>
  </w:style>
  <w:style w:type="character" w:styleId="1199">
    <w:name w:val="Основной текст 2 Знак"/>
    <w:next w:val="1199"/>
    <w:link w:val="1198"/>
    <w:uiPriority w:val="99"/>
    <w:semiHidden/>
    <w:rPr>
      <w:sz w:val="24"/>
      <w:szCs w:val="24"/>
    </w:rPr>
  </w:style>
  <w:style w:type="paragraph" w:styleId="1200">
    <w:name w:val="Название"/>
    <w:basedOn w:val="1156"/>
    <w:next w:val="1156"/>
    <w:link w:val="1201"/>
    <w:uiPriority w:val="10"/>
    <w:qFormat/>
    <w:pPr>
      <w:jc w:val="center"/>
      <w:spacing w:before="240" w:after="60"/>
      <w:outlineLvl w:val="0"/>
    </w:pPr>
    <w:rPr>
      <w:rFonts w:ascii="Cambria" w:hAnsi="Cambria"/>
      <w:b/>
      <w:bCs/>
      <w:sz w:val="32"/>
      <w:szCs w:val="32"/>
      <w:lang w:val="en-US" w:eastAsia="en-US"/>
    </w:rPr>
  </w:style>
  <w:style w:type="character" w:styleId="1201">
    <w:name w:val="Название Знак"/>
    <w:next w:val="1201"/>
    <w:link w:val="1200"/>
    <w:uiPriority w:val="10"/>
    <w:rPr>
      <w:rFonts w:ascii="Cambria" w:hAnsi="Cambria" w:eastAsia="Times New Roman" w:cs="Times New Roman"/>
      <w:b/>
      <w:bCs/>
      <w:sz w:val="32"/>
      <w:szCs w:val="32"/>
    </w:rPr>
  </w:style>
  <w:style w:type="paragraph" w:styleId="1202">
    <w:name w:val="Default"/>
    <w:next w:val="1202"/>
    <w:link w:val="1156"/>
    <w:rPr>
      <w:color w:val="000000"/>
      <w:sz w:val="24"/>
      <w:szCs w:val="24"/>
      <w:lang w:val="ru-RU" w:eastAsia="ru-RU" w:bidi="ar-SA"/>
    </w:rPr>
  </w:style>
  <w:style w:type="character" w:styleId="1203">
    <w:name w:val="Просмотренная гиперссылка"/>
    <w:next w:val="1203"/>
    <w:link w:val="1156"/>
    <w:uiPriority w:val="99"/>
    <w:semiHidden/>
    <w:unhideWhenUsed/>
    <w:rPr>
      <w:color w:val="800080"/>
      <w:u w:val="single"/>
    </w:rPr>
  </w:style>
  <w:style w:type="paragraph" w:styleId="1204">
    <w:name w:val="Абзац списка"/>
    <w:basedOn w:val="1156"/>
    <w:next w:val="1204"/>
    <w:link w:val="1156"/>
    <w:uiPriority w:val="34"/>
    <w:qFormat/>
    <w:pPr>
      <w:contextualSpacing/>
      <w:ind w:left="720"/>
    </w:pPr>
  </w:style>
  <w:style w:type="paragraph" w:styleId="1205">
    <w:name w:val="ConsNormal"/>
    <w:next w:val="1205"/>
    <w:link w:val="1156"/>
    <w:pPr>
      <w:ind w:firstLine="720"/>
      <w:widowControl w:val="off"/>
    </w:pPr>
    <w:rPr>
      <w:rFonts w:ascii="Arial" w:hAnsi="Arial" w:cs="Arial"/>
      <w:lang w:val="ru-RU" w:eastAsia="ru-RU" w:bidi="ar-SA"/>
    </w:rPr>
  </w:style>
  <w:style w:type="paragraph" w:styleId="1206">
    <w:name w:val="Нормальный"/>
    <w:next w:val="1206"/>
    <w:link w:val="1156"/>
    <w:rPr>
      <w:rFonts w:ascii="TimesET" w:hAnsi="TimesET" w:cs="TimesET"/>
      <w:b/>
      <w:bCs/>
      <w:i/>
      <w:iCs/>
      <w:smallCaps/>
      <w:sz w:val="24"/>
      <w:szCs w:val="24"/>
      <w:lang w:val="ru-RU" w:eastAsia="ru-RU" w:bidi="ar-SA"/>
    </w:rPr>
  </w:style>
  <w:style w:type="character" w:styleId="1207" w:default="1">
    <w:name w:val="Default Paragraph Font"/>
    <w:uiPriority w:val="1"/>
    <w:semiHidden/>
    <w:unhideWhenUsed/>
  </w:style>
  <w:style w:type="numbering" w:styleId="1208" w:default="1">
    <w:name w:val="No List"/>
    <w:uiPriority w:val="99"/>
    <w:semiHidden/>
    <w:unhideWhenUsed/>
  </w:style>
  <w:style w:type="table" w:styleId="120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lyashenko-as</cp:lastModifiedBy>
  <cp:revision>142</cp:revision>
  <dcterms:created xsi:type="dcterms:W3CDTF">2022-10-19T07:32:00Z</dcterms:created>
  <dcterms:modified xsi:type="dcterms:W3CDTF">2026-02-18T06:45:34Z</dcterms:modified>
  <cp:version>1048576</cp:version>
</cp:coreProperties>
</file>