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821"/>
              <w:jc w:val="center"/>
              <w:rPr>
                <w:rFonts w:ascii="Cambria" w:hAnsi="Cambria"/>
                <w:caps/>
                <w:sz w:val="32"/>
                <w:szCs w:val="32"/>
              </w:rPr>
            </w:pPr>
            <w:r>
              <w:rPr>
                <w:rFonts w:ascii="Cambria" w:hAnsi="Cambria"/>
                <w:caps/>
                <w:sz w:val="32"/>
                <w:szCs w:val="32"/>
              </w:rPr>
              <w:t xml:space="preserve">ПЕНЗЕНСКИЙ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821"/>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21"/>
              <w:jc w:val="center"/>
              <w:rPr>
                <w:rFonts w:ascii="Cambria" w:hAnsi="Cambria"/>
                <w:sz w:val="48"/>
                <w:szCs w:val="48"/>
              </w:rPr>
            </w:pPr>
            <w:r>
              <w:rPr>
                <w:rFonts w:ascii="Cambria" w:hAnsi="Cambria"/>
                <w:sz w:val="48"/>
                <w:szCs w:val="48"/>
              </w:rPr>
              <w:t xml:space="preserve">ТАРИФЫ</w:t>
            </w:r>
            <w:r>
              <w:rPr>
                <w:rFonts w:ascii="Cambria" w:hAnsi="Cambria"/>
                <w:sz w:val="48"/>
                <w:szCs w:val="48"/>
              </w:rPr>
              <w:t xml:space="preserve"> </w:t>
            </w:r>
            <w:r>
              <w:rPr>
                <w:rFonts w:ascii="Cambria" w:hAnsi="Cambria"/>
                <w:sz w:val="48"/>
                <w:szCs w:val="48"/>
              </w:rPr>
              <w:t xml:space="preserve">КОМИССИОННОГО</w:t>
            </w:r>
            <w:r>
              <w:rPr>
                <w:rFonts w:ascii="Cambria" w:hAnsi="Cambria"/>
                <w:sz w:val="48"/>
                <w:szCs w:val="48"/>
              </w:rPr>
            </w:r>
            <w:r>
              <w:rPr>
                <w:rFonts w:ascii="Cambria" w:hAnsi="Cambria"/>
                <w:sz w:val="48"/>
                <w:szCs w:val="48"/>
              </w:rPr>
            </w:r>
          </w:p>
          <w:p>
            <w:pPr>
              <w:pStyle w:val="821"/>
              <w:jc w:val="center"/>
              <w:rPr>
                <w:rFonts w:ascii="Cambria" w:hAnsi="Cambria"/>
                <w:sz w:val="48"/>
                <w:szCs w:val="48"/>
              </w:rPr>
            </w:pPr>
            <w:r>
              <w:rPr>
                <w:rFonts w:ascii="Cambria" w:hAnsi="Cambria"/>
                <w:sz w:val="48"/>
                <w:szCs w:val="48"/>
              </w:rPr>
              <w:t xml:space="preserve">ВОЗНАГРАЖДЕНИЯ</w:t>
            </w:r>
            <w:r>
              <w:rPr>
                <w:rFonts w:ascii="Cambria" w:hAnsi="Cambria"/>
                <w:sz w:val="48"/>
                <w:szCs w:val="48"/>
              </w:rPr>
              <w:t xml:space="preserve"> </w:t>
            </w:r>
            <w:r>
              <w:rPr>
                <w:rFonts w:ascii="Cambria" w:hAnsi="Cambria"/>
                <w:sz w:val="48"/>
                <w:szCs w:val="48"/>
              </w:rPr>
              <w:t xml:space="preserve">НА</w:t>
            </w:r>
            <w:r>
              <w:rPr>
                <w:rFonts w:ascii="Cambria" w:hAnsi="Cambria"/>
                <w:sz w:val="48"/>
                <w:szCs w:val="48"/>
              </w:rPr>
              <w:t xml:space="preserve"> </w:t>
            </w:r>
            <w:r>
              <w:rPr>
                <w:rFonts w:ascii="Cambria" w:hAnsi="Cambria"/>
                <w:sz w:val="48"/>
                <w:szCs w:val="48"/>
              </w:rPr>
              <w:t xml:space="preserve">УСЛУГИ</w:t>
            </w:r>
            <w:r>
              <w:rPr>
                <w:rFonts w:ascii="Cambria" w:hAnsi="Cambria"/>
                <w:sz w:val="48"/>
                <w:szCs w:val="48"/>
              </w:rPr>
            </w:r>
            <w:r>
              <w:rPr>
                <w:rFonts w:ascii="Cambria" w:hAnsi="Cambria"/>
                <w:sz w:val="48"/>
                <w:szCs w:val="48"/>
              </w:rPr>
            </w:r>
          </w:p>
          <w:p>
            <w:pPr>
              <w:pStyle w:val="821"/>
              <w:jc w:val="center"/>
              <w:rPr>
                <w:rFonts w:ascii="Cambria" w:hAnsi="Cambria"/>
                <w:sz w:val="80"/>
                <w:szCs w:val="80"/>
              </w:rPr>
            </w:pPr>
            <w:r>
              <w:rPr>
                <w:rFonts w:ascii="Cambria" w:hAnsi="Cambria"/>
                <w:sz w:val="48"/>
                <w:szCs w:val="48"/>
              </w:rPr>
              <w:t xml:space="preserve">КРЕДИТНЫМ</w:t>
            </w:r>
            <w:r>
              <w:rPr>
                <w:rFonts w:ascii="Cambria" w:hAnsi="Cambria"/>
                <w:sz w:val="48"/>
                <w:szCs w:val="48"/>
              </w:rPr>
              <w:t xml:space="preserve"> </w:t>
            </w:r>
            <w:r>
              <w:rPr>
                <w:rFonts w:ascii="Cambria" w:hAnsi="Cambria"/>
                <w:sz w:val="48"/>
                <w:szCs w:val="48"/>
              </w:rPr>
              <w:t xml:space="preserve">ОРГАНИЗАЦИЯМ</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821"/>
              <w:jc w:val="center"/>
            </w:pPr>
            <w:r/>
            <w:r/>
          </w:p>
        </w:tc>
      </w:tr>
      <w:tr>
        <w:tblPrEx/>
        <w:trPr>
          <w:trHeight w:val="360"/>
        </w:trPr>
        <w:tc>
          <w:tcPr>
            <w:tcBorders>
              <w:top w:val="single" w:color="008444" w:sz="12" w:space="0"/>
            </w:tcBorders>
            <w:tcW w:w="5000" w:type="pct"/>
            <w:vAlign w:val="center"/>
            <w:textDirection w:val="lrTb"/>
            <w:noWrap w:val="false"/>
          </w:tcPr>
          <w:p>
            <w:pPr>
              <w:pStyle w:val="821"/>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21"/>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26</w:t>
            </w:r>
            <w:r>
              <w:rPr>
                <w:bCs/>
                <w:sz w:val="32"/>
                <w:szCs w:val="32"/>
              </w:rPr>
              <w:t xml:space="preserve">.11</w:t>
            </w:r>
            <w:r>
              <w:rPr>
                <w:bCs/>
                <w:sz w:val="32"/>
                <w:szCs w:val="32"/>
              </w:rPr>
              <w:t xml:space="preserve">.20</w:t>
            </w:r>
            <w:r>
              <w:rPr>
                <w:bCs/>
                <w:sz w:val="32"/>
                <w:szCs w:val="32"/>
                <w:lang w:val="en-US"/>
              </w:rPr>
              <w:t xml:space="preserve">25</w:t>
            </w:r>
            <w:r>
              <w:rPr>
                <w:bCs/>
                <w:sz w:val="32"/>
                <w:szCs w:val="32"/>
                <w:lang w:val="en-US"/>
              </w:rPr>
            </w:r>
            <w:r>
              <w:rPr>
                <w:bCs/>
                <w:sz w:val="32"/>
                <w:szCs w:val="32"/>
                <w:lang w:val="en-US"/>
              </w:rPr>
            </w:r>
          </w:p>
        </w:tc>
      </w:tr>
    </w:tbl>
    <w:p>
      <w:pPr>
        <w:pStyle w:val="754"/>
      </w:pPr>
      <w:r/>
      <w:r/>
    </w:p>
    <w:p>
      <w:pPr>
        <w:pStyle w:val="754"/>
      </w:pPr>
      <w:r/>
      <w:r/>
    </w:p>
    <w:p>
      <w:pPr>
        <w:pStyle w:val="754"/>
      </w:pPr>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754"/>
              <w:rPr>
                <w:rFonts w:eastAsia="Calibri"/>
                <w:b/>
                <w:color w:val="000000"/>
              </w:rPr>
            </w:pPr>
            <w:r>
              <w:rPr>
                <w:rFonts w:eastAsia="Calibri"/>
                <w:b/>
                <w:color w:val="000000"/>
              </w:rPr>
            </w:r>
            <w:r>
              <w:rPr>
                <w:rFonts w:eastAsia="Calibri"/>
                <w:b/>
                <w:color w:val="000000"/>
              </w:rPr>
            </w:r>
          </w:p>
          <w:p>
            <w:pPr>
              <w:pStyle w:val="754"/>
              <w:rPr>
                <w:rFonts w:eastAsia="Calibri"/>
                <w:b/>
                <w:color w:val="000000"/>
              </w:rPr>
            </w:pPr>
            <w:r>
              <w:rPr>
                <w:rFonts w:eastAsia="Calibri"/>
                <w:b/>
                <w:color w:val="000000"/>
              </w:rPr>
              <w:t xml:space="preserve">ССП-владелец НД:</w:t>
            </w:r>
            <w:r>
              <w:rPr>
                <w:rFonts w:eastAsia="Calibri"/>
                <w:b/>
                <w:color w:val="000000"/>
              </w:rPr>
            </w:r>
          </w:p>
          <w:p>
            <w:pPr>
              <w:pStyle w:val="754"/>
              <w:jc w:val="both"/>
              <w:spacing w:before="40"/>
              <w:tabs>
                <w:tab w:val="left" w:pos="1134" w:leader="none"/>
              </w:tabs>
            </w:pPr>
            <w:r/>
            <w:r/>
          </w:p>
        </w:tc>
        <w:tc>
          <w:tcPr>
            <w:tcW w:w="2931" w:type="pct"/>
            <w:vAlign w:val="top"/>
            <w:textDirection w:val="lrTb"/>
            <w:noWrap w:val="false"/>
          </w:tcPr>
          <w:p>
            <w:pPr>
              <w:pStyle w:val="754"/>
              <w:jc w:val="both"/>
              <w:spacing w:before="40"/>
              <w:tabs>
                <w:tab w:val="left" w:pos="1134" w:leader="none"/>
              </w:tabs>
            </w:pPr>
            <w:r>
              <w:rPr>
                <w:color w:val="000000"/>
              </w:rPr>
              <w:t xml:space="preserve">Департамент поддержки операций на финансовых рынках (ДПОФР)</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754"/>
              <w:rPr>
                <w:rFonts w:eastAsia="Calibri"/>
                <w:b/>
                <w:color w:val="000000"/>
              </w:rPr>
            </w:pPr>
            <w:r>
              <w:rPr>
                <w:rFonts w:eastAsia="Calibri"/>
                <w:b/>
                <w:color w:val="000000"/>
              </w:rPr>
            </w:r>
            <w:r>
              <w:rPr>
                <w:rFonts w:eastAsia="Calibri"/>
                <w:b/>
                <w:color w:val="000000"/>
              </w:rPr>
            </w:r>
          </w:p>
          <w:p>
            <w:pPr>
              <w:pStyle w:val="754"/>
              <w:rPr>
                <w:rFonts w:eastAsia="Calibri"/>
                <w:b/>
                <w:color w:val="000000"/>
              </w:rPr>
            </w:pPr>
            <w:r>
              <w:rPr>
                <w:rFonts w:eastAsia="Calibri"/>
                <w:b/>
                <w:color w:val="000000"/>
              </w:rPr>
              <w:t xml:space="preserve">Код и наименование процесса(ов):</w:t>
            </w:r>
            <w:r>
              <w:rPr>
                <w:rFonts w:eastAsia="Calibri"/>
                <w:b/>
                <w:color w:val="000000"/>
              </w:rPr>
            </w:r>
          </w:p>
          <w:p>
            <w:pPr>
              <w:pStyle w:val="754"/>
              <w:jc w:val="both"/>
              <w:spacing w:before="40"/>
              <w:tabs>
                <w:tab w:val="left" w:pos="1134" w:leader="none"/>
              </w:tabs>
            </w:pPr>
            <w:r/>
            <w:r/>
          </w:p>
        </w:tc>
        <w:tc>
          <w:tcPr>
            <w:tcW w:w="2931" w:type="pct"/>
            <w:vAlign w:val="center"/>
            <w:textDirection w:val="lrTb"/>
            <w:noWrap w:val="false"/>
          </w:tcPr>
          <w:p>
            <w:pPr>
              <w:pStyle w:val="754"/>
              <w:jc w:val="both"/>
              <w:spacing w:before="40"/>
              <w:tabs>
                <w:tab w:val="left" w:pos="1134" w:leader="none"/>
              </w:tabs>
            </w:pPr>
            <w:r>
              <w:t xml:space="preserve">1.03.09.00.01 Открытие, закрытие и ведение корреспондентских счетов ЛОРО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754"/>
              <w:rPr>
                <w:rFonts w:eastAsia="Calibri"/>
                <w:b/>
                <w:color w:val="000000"/>
              </w:rPr>
            </w:pPr>
            <w:r>
              <w:rPr>
                <w:rFonts w:eastAsia="Calibri"/>
                <w:b/>
                <w:color w:val="000000"/>
              </w:rPr>
            </w:r>
            <w:r>
              <w:rPr>
                <w:rFonts w:eastAsia="Calibri"/>
                <w:b/>
                <w:color w:val="000000"/>
              </w:rPr>
            </w:r>
          </w:p>
          <w:p>
            <w:pPr>
              <w:pStyle w:val="754"/>
              <w:rPr>
                <w:rFonts w:eastAsia="Calibri"/>
                <w:b/>
                <w:color w:val="000000"/>
              </w:rPr>
            </w:pPr>
            <w:r>
              <w:rPr>
                <w:rFonts w:eastAsia="Calibri"/>
                <w:b/>
                <w:color w:val="000000"/>
              </w:rPr>
              <w:t xml:space="preserve">Код нормативного документа:</w:t>
            </w:r>
            <w:r>
              <w:rPr>
                <w:rFonts w:eastAsia="Calibri"/>
                <w:b/>
                <w:color w:val="000000"/>
              </w:rPr>
            </w:r>
          </w:p>
          <w:p>
            <w:pPr>
              <w:pStyle w:val="754"/>
              <w:jc w:val="both"/>
              <w:spacing w:before="40"/>
              <w:tabs>
                <w:tab w:val="left" w:pos="1134" w:leader="none"/>
              </w:tabs>
            </w:pPr>
            <w:r/>
            <w:r/>
          </w:p>
        </w:tc>
        <w:tc>
          <w:tcPr>
            <w:tcW w:w="2931" w:type="pct"/>
            <w:vAlign w:val="center"/>
            <w:textDirection w:val="lrTb"/>
            <w:noWrap w:val="false"/>
          </w:tcPr>
          <w:p>
            <w:pPr>
              <w:pStyle w:val="754"/>
              <w:jc w:val="both"/>
              <w:spacing w:before="40"/>
              <w:tabs>
                <w:tab w:val="left" w:pos="1134" w:leader="none"/>
              </w:tabs>
            </w:pPr>
            <w: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754"/>
              <w:rPr>
                <w:rFonts w:eastAsia="Calibri"/>
                <w:b/>
                <w:color w:val="000000"/>
              </w:rPr>
            </w:pPr>
            <w:r>
              <w:rPr>
                <w:rFonts w:eastAsia="Calibri"/>
                <w:b/>
                <w:color w:val="000000"/>
              </w:rPr>
            </w:r>
            <w:r>
              <w:rPr>
                <w:rFonts w:eastAsia="Calibri"/>
                <w:b/>
                <w:color w:val="000000"/>
              </w:rPr>
            </w:r>
          </w:p>
          <w:p>
            <w:pPr>
              <w:pStyle w:val="754"/>
              <w:rPr>
                <w:rFonts w:eastAsia="Calibri"/>
                <w:b/>
                <w:color w:val="000000"/>
              </w:rPr>
            </w:pPr>
            <w:r>
              <w:rPr>
                <w:rFonts w:eastAsia="Calibri"/>
                <w:b/>
                <w:color w:val="000000"/>
              </w:rPr>
              <w:t xml:space="preserve">Номер версии:</w:t>
            </w:r>
            <w:r>
              <w:rPr>
                <w:rFonts w:eastAsia="Calibri"/>
                <w:b/>
                <w:color w:val="000000"/>
              </w:rPr>
            </w:r>
          </w:p>
          <w:p>
            <w:pPr>
              <w:pStyle w:val="754"/>
              <w:jc w:val="both"/>
              <w:spacing w:before="40"/>
              <w:tabs>
                <w:tab w:val="left" w:pos="1134" w:leader="none"/>
              </w:tabs>
            </w:pPr>
            <w:r/>
            <w:r/>
          </w:p>
        </w:tc>
        <w:tc>
          <w:tcPr>
            <w:tcW w:w="2931" w:type="pct"/>
            <w:vAlign w:val="center"/>
            <w:textDirection w:val="lrTb"/>
            <w:noWrap w:val="false"/>
          </w:tcPr>
          <w:p>
            <w:pPr>
              <w:pStyle w:val="754"/>
              <w:jc w:val="both"/>
              <w:spacing w:before="40"/>
              <w:tabs>
                <w:tab w:val="left" w:pos="1134" w:leader="none"/>
              </w:tabs>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754"/>
              <w:rPr>
                <w:rFonts w:eastAsia="Calibri"/>
                <w:b/>
                <w:color w:val="000000"/>
              </w:rPr>
            </w:pPr>
            <w:r>
              <w:rPr>
                <w:rFonts w:eastAsia="Calibri"/>
                <w:b/>
                <w:color w:val="000000"/>
              </w:rPr>
            </w:r>
            <w:r>
              <w:rPr>
                <w:rFonts w:eastAsia="Calibri"/>
                <w:b/>
                <w:color w:val="000000"/>
              </w:rPr>
            </w:r>
          </w:p>
          <w:p>
            <w:pPr>
              <w:pStyle w:val="754"/>
              <w:rPr>
                <w:rFonts w:eastAsia="Calibri"/>
                <w:b/>
                <w:color w:val="000000"/>
              </w:rPr>
            </w:pPr>
            <w:r>
              <w:rPr>
                <w:rFonts w:eastAsia="Calibri"/>
                <w:b/>
                <w:color w:val="000000"/>
              </w:rPr>
              <w:t xml:space="preserve">Область применения:</w:t>
            </w:r>
            <w:r>
              <w:rPr>
                <w:rFonts w:eastAsia="Calibri"/>
                <w:b/>
                <w:color w:val="000000"/>
              </w:rPr>
            </w:r>
          </w:p>
          <w:p>
            <w:pPr>
              <w:pStyle w:val="754"/>
              <w:jc w:val="both"/>
              <w:spacing w:before="40"/>
              <w:tabs>
                <w:tab w:val="left" w:pos="1134" w:leader="none"/>
              </w:tabs>
            </w:pPr>
            <w:r/>
            <w:r/>
          </w:p>
        </w:tc>
        <w:tc>
          <w:tcPr>
            <w:tcW w:w="2931" w:type="pct"/>
            <w:vAlign w:val="center"/>
            <w:textDirection w:val="lrTb"/>
            <w:noWrap w:val="false"/>
          </w:tcPr>
          <w:p>
            <w:pPr>
              <w:pStyle w:val="754"/>
              <w:jc w:val="both"/>
              <w:spacing w:before="40"/>
              <w:tabs>
                <w:tab w:val="left" w:pos="1134" w:leader="none"/>
              </w:tabs>
            </w:pPr>
            <w:r>
              <w:t xml:space="preserve">ГО/РФ</w:t>
            </w:r>
            <w:r/>
          </w:p>
        </w:tc>
      </w:tr>
    </w:tbl>
    <w:p>
      <w:pPr>
        <w:pStyle w:val="754"/>
      </w:pPr>
      <w:r/>
      <w:r/>
    </w:p>
    <w:p>
      <w:pPr>
        <w:pStyle w:val="754"/>
      </w:pPr>
      <w:r/>
      <w:r/>
    </w:p>
    <w:p>
      <w:pPr>
        <w:pStyle w:val="754"/>
      </w:pPr>
      <w:r/>
      <w:r/>
    </w:p>
    <w:p>
      <w:pPr>
        <w:pStyle w:val="754"/>
      </w:pPr>
      <w:r/>
      <w:r/>
    </w:p>
    <w:p>
      <w:pPr>
        <w:pStyle w:val="754"/>
      </w:pPr>
      <w:r/>
      <w:r/>
    </w:p>
    <w:p>
      <w:pPr>
        <w:pStyle w:val="754"/>
      </w:pPr>
      <w:r/>
      <w:r/>
    </w:p>
    <w:p>
      <w:pPr>
        <w:pStyle w:val="754"/>
      </w:pPr>
      <w:r/>
      <w:r/>
    </w:p>
    <w:p>
      <w:pPr>
        <w:pStyle w:val="754"/>
      </w:pPr>
      <w:r/>
      <w:r/>
    </w:p>
    <w:p>
      <w:pPr>
        <w:pStyle w:val="754"/>
        <w:jc w:val="center"/>
      </w:pPr>
      <w:r>
        <w:rPr>
          <w:sz w:val="28"/>
          <w:szCs w:val="28"/>
        </w:rP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0" o:title=""/>
              </v:shape>
            </w:pict>
          </mc:Fallback>
        </mc:AlternateContent>
      </w:r>
      <w:r/>
    </w:p>
    <w:p>
      <w:pPr>
        <w:pStyle w:val="800"/>
        <w:ind w:left="709"/>
        <w:jc w:val="both"/>
        <w:spacing w:before="40"/>
        <w:tabs>
          <w:tab w:val="left" w:pos="1134" w:leader="none"/>
          <w:tab w:val="clear" w:pos="4677" w:leader="none"/>
          <w:tab w:val="clear" w:pos="9355" w:leader="none"/>
        </w:tabs>
      </w:pPr>
      <w:r/>
      <w:r/>
    </w:p>
    <w:p>
      <w:pPr>
        <w:pStyle w:val="754"/>
        <w:rPr>
          <w:b/>
          <w:caps/>
          <w:sz w:val="22"/>
          <w:szCs w:val="22"/>
        </w:rPr>
      </w:pPr>
      <w:r>
        <w:rPr>
          <w:b/>
          <w:caps/>
          <w:sz w:val="22"/>
          <w:szCs w:val="22"/>
        </w:rPr>
        <w:t xml:space="preserve">Содержание:</w:t>
      </w:r>
      <w:r>
        <w:rPr>
          <w:b/>
          <w:caps/>
          <w:sz w:val="22"/>
          <w:szCs w:val="22"/>
        </w:rPr>
      </w:r>
      <w:r>
        <w:rPr>
          <w:b/>
          <w:caps/>
          <w:sz w:val="22"/>
          <w:szCs w:val="22"/>
        </w:rPr>
      </w:r>
    </w:p>
    <w:p>
      <w:pPr>
        <w:pStyle w:val="754"/>
      </w:pPr>
      <w:r/>
      <w:r/>
    </w:p>
    <w:p>
      <w:pPr>
        <w:pStyle w:val="823"/>
        <w:rPr>
          <w:rFonts w:ascii="Calibri" w:hAnsi="Calibri"/>
          <w:sz w:val="22"/>
          <w:szCs w:val="22"/>
        </w:rPr>
      </w:pPr>
      <w:r>
        <w:fldChar w:fldCharType="begin"/>
      </w:r>
      <w:r>
        <w:instrText xml:space="preserve"> TOC \h \z \u \t "Заголовок 4;1" </w:instrText>
      </w:r>
      <w:r>
        <w:fldChar w:fldCharType="separate"/>
      </w:r>
      <w:r>
        <w:rPr>
          <w:rStyle w:val="774"/>
        </w:rPr>
        <w:fldChar w:fldCharType="begin"/>
      </w:r>
      <w:r>
        <w:rPr>
          <w:rStyle w:val="774"/>
        </w:rPr>
        <w:instrText xml:space="preserve"> </w:instrText>
      </w:r>
      <w:r>
        <w:instrText xml:space="preserve">HYPERLINK \l "_Toc341699161"</w:instrText>
      </w:r>
      <w:r>
        <w:rPr>
          <w:rStyle w:val="774"/>
        </w:rPr>
        <w:instrText xml:space="preserve"> </w:instrText>
      </w:r>
      <w:r>
        <w:rPr>
          <w:rStyle w:val="774"/>
        </w:rPr>
        <w:fldChar w:fldCharType="separate"/>
      </w:r>
      <w:r>
        <w:rPr>
          <w:rStyle w:val="774"/>
        </w:rPr>
        <w:t xml:space="preserve">Общие положения</w:t>
      </w:r>
      <w:r>
        <w:tab/>
      </w:r>
      <w:r>
        <w:fldChar w:fldCharType="begin"/>
      </w:r>
      <w:r>
        <w:instrText xml:space="preserve"> PAGEREF _Toc341699161 \h </w:instrText>
      </w:r>
      <w:r>
        <w:fldChar w:fldCharType="separate"/>
      </w:r>
      <w:r>
        <w:t xml:space="preserve">3</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"_Toc341699162"</w:instrText>
      </w:r>
      <w:r>
        <w:rPr>
          <w:rStyle w:val="774"/>
        </w:rPr>
        <w:instrText xml:space="preserve"> </w:instrText>
      </w:r>
      <w:r>
        <w:rPr>
          <w:rStyle w:val="774"/>
        </w:rPr>
        <w:fldChar w:fldCharType="separate"/>
      </w:r>
      <w:r>
        <w:rPr>
          <w:rStyle w:val="774"/>
        </w:rPr>
        <w:t xml:space="preserve">1. Ведение корреспондентских счетов (для респондентов)</w:t>
      </w:r>
      <w:r>
        <w:tab/>
      </w:r>
      <w:r>
        <w:fldChar w:fldCharType="begin"/>
      </w:r>
      <w:r>
        <w:instrText xml:space="preserve"> PAGEREF _Toc341699162 \h </w:instrText>
      </w:r>
      <w:r>
        <w:fldChar w:fldCharType="separate"/>
      </w:r>
      <w:r>
        <w:t xml:space="preserve">4</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"_Toc341699163"</w:instrText>
      </w:r>
      <w:r>
        <w:rPr>
          <w:rStyle w:val="774"/>
        </w:rPr>
        <w:instrText xml:space="preserve"> </w:instrText>
      </w:r>
      <w:r>
        <w:rPr>
          <w:rStyle w:val="774"/>
        </w:rPr>
        <w:fldChar w:fldCharType="separate"/>
      </w:r>
      <w:r>
        <w:rPr>
          <w:rStyle w:val="774"/>
        </w:rPr>
        <w:t xml:space="preserve">2. Расчетное обслуживание (для респондентов)</w:t>
      </w:r>
      <w:r>
        <w:tab/>
      </w:r>
      <w:r>
        <w:fldChar w:fldCharType="begin"/>
      </w:r>
      <w:r>
        <w:instrText xml:space="preserve"> PAGEREF _Toc341699163 \h </w:instrText>
      </w:r>
      <w:r>
        <w:fldChar w:fldCharType="separate"/>
      </w:r>
      <w:r>
        <w:t xml:space="preserve">4</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"_Toc341699164"</w:instrText>
      </w:r>
      <w:r>
        <w:rPr>
          <w:rStyle w:val="774"/>
        </w:rPr>
        <w:instrText xml:space="preserve"> </w:instrText>
      </w:r>
      <w:r>
        <w:rPr>
          <w:rStyle w:val="774"/>
        </w:rPr>
        <w:fldChar w:fldCharType="separate"/>
      </w:r>
      <w:r>
        <w:rPr>
          <w:rStyle w:val="774"/>
        </w:rPr>
        <w:t xml:space="preserve">3. Конверсионные операции (для респондентов)</w:t>
      </w:r>
      <w:r>
        <w:tab/>
      </w:r>
      <w:r>
        <w:fldChar w:fldCharType="begin"/>
      </w:r>
      <w:r>
        <w:instrText xml:space="preserve"> PAGEREF _Toc341699164 \h </w:instrText>
      </w:r>
      <w:r>
        <w:fldChar w:fldCharType="separate"/>
      </w:r>
      <w:r>
        <w:t xml:space="preserve">6</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"_Toc341699165"</w:instrText>
      </w:r>
      <w:r>
        <w:rPr>
          <w:rStyle w:val="774"/>
        </w:rPr>
        <w:instrText xml:space="preserve"> </w:instrText>
      </w:r>
      <w:r>
        <w:rPr>
          <w:rStyle w:val="774"/>
        </w:rPr>
        <w:fldChar w:fldCharType="separate"/>
      </w:r>
      <w:r>
        <w:rPr>
          <w:rStyle w:val="774"/>
        </w:rPr>
        <w:t xml:space="preserve">4. Документарные аккредитивы по внешнеторговым расчетам</w:t>
      </w:r>
      <w:r>
        <w:tab/>
      </w:r>
      <w:r>
        <w:fldChar w:fldCharType="begin"/>
      </w:r>
      <w:r>
        <w:instrText xml:space="preserve"> PAGEREF _Toc341699165 \h </w:instrText>
      </w:r>
      <w:r>
        <w:fldChar w:fldCharType="separate"/>
      </w:r>
      <w:r>
        <w:t xml:space="preserve">6</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"_Toc341699166"</w:instrText>
      </w:r>
      <w:r>
        <w:rPr>
          <w:rStyle w:val="774"/>
        </w:rPr>
        <w:instrText xml:space="preserve"> </w:instrText>
      </w:r>
      <w:r>
        <w:rPr>
          <w:rStyle w:val="774"/>
        </w:rPr>
        <w:fldChar w:fldCharType="separate"/>
      </w:r>
      <w:r>
        <w:rPr>
          <w:rStyle w:val="774"/>
        </w:rPr>
        <w:t xml:space="preserve">5. Инкассовые операции</w:t>
      </w:r>
      <w:r>
        <w:tab/>
      </w:r>
      <w:r>
        <w:fldChar w:fldCharType="begin"/>
      </w:r>
      <w:r>
        <w:instrText xml:space="preserve"> PAGEREF _Toc341699166 \h </w:instrText>
      </w:r>
      <w:r>
        <w:fldChar w:fldCharType="separate"/>
      </w:r>
      <w:r>
        <w:t xml:space="preserve">8</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"_Toc341699167"</w:instrText>
      </w:r>
      <w:r>
        <w:rPr>
          <w:rStyle w:val="774"/>
        </w:rPr>
        <w:instrText xml:space="preserve"> </w:instrText>
      </w:r>
      <w:r>
        <w:rPr>
          <w:rStyle w:val="774"/>
        </w:rPr>
        <w:fldChar w:fldCharType="separate"/>
      </w:r>
      <w:r>
        <w:rPr>
          <w:rStyle w:val="774"/>
        </w:rPr>
        <w:t xml:space="preserve">6. Гарантийные операции</w:t>
      </w:r>
      <w:r>
        <w:tab/>
      </w:r>
      <w:r>
        <w:fldChar w:fldCharType="begin"/>
      </w:r>
      <w:r>
        <w:instrText xml:space="preserve"> PAGEREF _Toc341699167 \h </w:instrText>
      </w:r>
      <w:r>
        <w:fldChar w:fldCharType="separate"/>
      </w:r>
      <w:r>
        <w:t xml:space="preserve">8</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"_Toc341699168"</w:instrText>
      </w:r>
      <w:r>
        <w:rPr>
          <w:rStyle w:val="774"/>
        </w:rPr>
        <w:instrText xml:space="preserve"> </w:instrText>
      </w:r>
      <w:r>
        <w:rPr>
          <w:rStyle w:val="774"/>
        </w:rPr>
        <w:fldChar w:fldCharType="separate"/>
      </w:r>
      <w:r>
        <w:rPr>
          <w:rStyle w:val="774"/>
        </w:rPr>
        <w:t xml:space="preserve">7. Операции с наличной валютой</w:t>
      </w:r>
      <w:r>
        <w:tab/>
      </w:r>
      <w:r>
        <w:fldChar w:fldCharType="begin"/>
      </w:r>
      <w:r>
        <w:instrText xml:space="preserve"> PAGEREF _Toc341699168 \h </w:instrText>
      </w:r>
      <w:r>
        <w:fldChar w:fldCharType="separate"/>
      </w:r>
      <w:r>
        <w:t xml:space="preserve">9</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"_Toc341699169"</w:instrText>
      </w:r>
      <w:r>
        <w:rPr>
          <w:rStyle w:val="774"/>
        </w:rPr>
        <w:instrText xml:space="preserve"> </w:instrText>
      </w:r>
      <w:r>
        <w:rPr>
          <w:rStyle w:val="774"/>
        </w:rPr>
        <w:fldChar w:fldCharType="separate"/>
      </w:r>
      <w:r>
        <w:rPr>
          <w:rStyle w:val="774"/>
        </w:rPr>
        <w:t xml:space="preserve">8. Операции с ценными бумагами</w:t>
      </w:r>
      <w:r>
        <w:tab/>
      </w:r>
      <w:r>
        <w:fldChar w:fldCharType="begin"/>
      </w:r>
      <w:r>
        <w:instrText xml:space="preserve"> PAGEREF _Toc341699169 \h </w:instrText>
      </w:r>
      <w:r>
        <w:fldChar w:fldCharType="separate"/>
      </w:r>
      <w:r>
        <w:t xml:space="preserve">10</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"_Toc341699170"</w:instrText>
      </w:r>
      <w:r>
        <w:rPr>
          <w:rStyle w:val="774"/>
        </w:rPr>
        <w:instrText xml:space="preserve"> </w:instrText>
      </w:r>
      <w:r>
        <w:rPr>
          <w:rStyle w:val="774"/>
        </w:rPr>
        <w:fldChar w:fldCharType="separate"/>
      </w:r>
      <w:r>
        <w:rPr>
          <w:rStyle w:val="774"/>
        </w:rPr>
        <w:t xml:space="preserve">9. Депозитарные услуги</w:t>
      </w:r>
      <w:r>
        <w:tab/>
      </w:r>
      <w:r>
        <w:fldChar w:fldCharType="begin"/>
      </w:r>
      <w:r>
        <w:instrText xml:space="preserve"> PAGEREF _Toc341699170 \h </w:instrText>
      </w:r>
      <w:r>
        <w:fldChar w:fldCharType="separate"/>
      </w:r>
      <w:r>
        <w:t xml:space="preserve">10</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Fonts w:ascii="Calibri" w:hAnsi="Calibri"/>
          <w:sz w:val="22"/>
          <w:szCs w:val="22"/>
        </w:rPr>
      </w:pPr>
      <w:r>
        <w:rPr>
          <w:rStyle w:val="774"/>
        </w:rPr>
        <w:fldChar w:fldCharType="begin"/>
      </w:r>
      <w:r>
        <w:rPr>
          <w:rStyle w:val="774"/>
        </w:rPr>
        <w:instrText xml:space="preserve"> </w:instrText>
      </w:r>
      <w:r>
        <w:instrText xml:space="preserve">HYPERLINK \l "_Toc341699171"</w:instrText>
      </w:r>
      <w:r>
        <w:rPr>
          <w:rStyle w:val="774"/>
        </w:rPr>
        <w:instrText xml:space="preserve"> </w:instrText>
      </w:r>
      <w:r>
        <w:rPr>
          <w:rStyle w:val="774"/>
        </w:rPr>
        <w:fldChar w:fldCharType="separate"/>
      </w:r>
      <w:r>
        <w:rPr>
          <w:rStyle w:val="774"/>
        </w:rPr>
        <w:t xml:space="preserve">10. Услуги платежного агента (при обслуживании эмитентов облигаций)</w:t>
      </w:r>
      <w:r>
        <w:tab/>
      </w:r>
      <w:r>
        <w:fldChar w:fldCharType="begin"/>
      </w:r>
      <w:r>
        <w:instrText xml:space="preserve"> PAGEREF _Toc341699171 \h </w:instrText>
      </w:r>
      <w:r>
        <w:fldChar w:fldCharType="separate"/>
      </w:r>
      <w:r>
        <w:t xml:space="preserve">13</w:t>
      </w:r>
      <w:r>
        <w:fldChar w:fldCharType="end"/>
      </w:r>
      <w:r>
        <w:rPr>
          <w:rStyle w:val="774"/>
        </w:rPr>
        <w:fldChar w:fldCharType="end"/>
      </w:r>
      <w:r>
        <w:rPr>
          <w:rFonts w:ascii="Calibri" w:hAnsi="Calibri"/>
          <w:sz w:val="22"/>
          <w:szCs w:val="22"/>
        </w:rPr>
      </w:r>
      <w:r>
        <w:rPr>
          <w:rFonts w:ascii="Calibri" w:hAnsi="Calibri"/>
          <w:sz w:val="22"/>
          <w:szCs w:val="22"/>
        </w:rPr>
      </w:r>
    </w:p>
    <w:p>
      <w:pPr>
        <w:pStyle w:val="823"/>
        <w:rPr>
          <w:rStyle w:val="774"/>
          <w:color w:val="000000"/>
          <w:u w:val="none"/>
          <w:lang w:val="en-US"/>
        </w:rPr>
      </w:pPr>
      <w:r>
        <w:fldChar w:fldCharType="end"/>
      </w:r>
      <w:r>
        <w:rPr>
          <w:rStyle w:val="774"/>
          <w:color w:val="000000"/>
          <w:u w:val="none"/>
        </w:rPr>
      </w:r>
      <w:hyperlink w:tooltip="#Toc341699171" w:anchor="Toc341699171" w:history="1">
        <w:r>
          <w:rPr>
            <w:color w:val="000000"/>
            <w:u w:val="none"/>
          </w:rPr>
          <w:t xml:space="preserve">1</w:t>
        </w:r>
        <w:r>
          <w:rPr>
            <w:color w:val="000000"/>
            <w:u w:val="none"/>
          </w:rPr>
          <w:t xml:space="preserve">1. Операции с монетами из драгоценных металлов</w:t>
        </w:r>
        <w:r>
          <w:tab/>
        </w:r>
        <w:r>
          <w:fldChar w:fldCharType="begin"/>
        </w:r>
        <w:r>
          <w:instrText xml:space="preserve"> PAGEREF _Toc341699171 \h </w:instrText>
        </w:r>
        <w:r/>
        <w:r>
          <w:fldChar w:fldCharType="separate"/>
        </w:r>
        <w:r>
          <w:t xml:space="preserve">1</w:t>
        </w:r>
        <w:r>
          <w:fldChar w:fldCharType="end"/>
        </w:r>
      </w:hyperlink>
      <w:r>
        <w:rPr>
          <w:rStyle w:val="774"/>
          <w:color w:val="000000"/>
          <w:u w:val="none"/>
        </w:rPr>
        <w:t xml:space="preserve">7</w:t>
      </w:r>
      <w:r>
        <w:rPr>
          <w:rStyle w:val="774"/>
          <w:color w:val="000000"/>
          <w:u w:val="none"/>
          <w:lang w:val="en-US"/>
        </w:rPr>
      </w:r>
      <w:r>
        <w:rPr>
          <w:rStyle w:val="774"/>
          <w:color w:val="000000"/>
          <w:u w:val="none"/>
          <w:lang w:val="en-US"/>
        </w:rPr>
      </w:r>
    </w:p>
    <w:p>
      <w:pPr>
        <w:pStyle w:val="754"/>
      </w:pPr>
      <w:r>
        <w:t xml:space="preserve">12. Услуги перевозки денежной наличности, других ценностей и обслуживания банкоматов, информационно-платежных терминалов (услуги предоставляются при наличии службы инкассации в соответствующем региональном филиале)     …………………………………….  18</w:t>
      </w:r>
      <w:r/>
    </w:p>
    <w:p>
      <w:pPr>
        <w:pStyle w:val="756"/>
        <w:spacing w:before="120"/>
        <w:rPr>
          <w:sz w:val="24"/>
          <w:szCs w:val="24"/>
          <w:lang w:val="ru-RU" w:eastAsia="ru-RU"/>
        </w:rPr>
      </w:pPr>
      <w:r>
        <w:br w:type="page" w:clear="all"/>
      </w:r>
      <w:r>
        <w:rPr>
          <w:sz w:val="24"/>
          <w:szCs w:val="24"/>
          <w:lang w:val="ru-RU" w:eastAsia="ru-RU"/>
        </w:rPr>
        <w:t xml:space="preserve">Общие положения</w:t>
      </w:r>
      <w:r>
        <w:rPr>
          <w:sz w:val="24"/>
          <w:szCs w:val="24"/>
          <w:lang w:val="ru-RU" w:eastAsia="ru-RU"/>
        </w:rPr>
      </w:r>
    </w:p>
    <w:p>
      <w:pPr>
        <w:pStyle w:val="754"/>
        <w:ind w:right="23" w:firstLine="720"/>
        <w:jc w:val="both"/>
        <w:spacing w:before="120"/>
        <w:tabs>
          <w:tab w:val="left" w:pos="1080" w:leader="none"/>
        </w:tabs>
      </w:pPr>
      <w:r>
        <w:t xml:space="preserve">1.</w:t>
        <w:tab/>
        <w:t xml:space="preserve">А</w:t>
      </w:r>
      <w:r>
        <w:t xml:space="preserve">кционерное общество «Российский Сельскохозяйственный банк» (далее - Банк) применяет Тарифы комиссионно</w:t>
      </w:r>
      <w:r>
        <w:t xml:space="preserve">го вознаграждения на услуги, предоставляемые кредитным организациям (далее – Тарифы), в том числе за выполнение поручений кредитных организаций-операторов по переводу денежных средств по корреспондентским счетам ЛОРО (далее - респонденты), открытым Банком.</w:t>
      </w:r>
      <w:r>
        <w:t xml:space="preserve"> </w:t>
      </w:r>
      <w:r>
        <w:t xml:space="preserve">  </w:t>
      </w:r>
      <w:r/>
    </w:p>
    <w:p>
      <w:pPr>
        <w:pStyle w:val="754"/>
        <w:ind w:firstLine="720"/>
        <w:jc w:val="both"/>
        <w:spacing w:before="120"/>
        <w:tabs>
          <w:tab w:val="left" w:pos="1080" w:leader="none"/>
        </w:tabs>
      </w:pPr>
      <w:r>
        <w:t xml:space="preserve">2.</w:t>
        <w:tab/>
        <w:t xml:space="preserve">Установление размера комиссионного вознагражд</w:t>
      </w:r>
      <w:r>
        <w:t xml:space="preserve">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кредитной организацией.</w:t>
      </w:r>
      <w:r/>
    </w:p>
    <w:p>
      <w:pPr>
        <w:pStyle w:val="754"/>
        <w:ind w:firstLine="720"/>
        <w:jc w:val="both"/>
        <w:spacing w:before="120"/>
        <w:tabs>
          <w:tab w:val="left" w:pos="1080" w:leader="none"/>
        </w:tabs>
        <w:rPr>
          <w:color w:val="000000"/>
        </w:rPr>
      </w:pPr>
      <w:r>
        <w:t xml:space="preserve">3.</w:t>
        <w:tab/>
        <w:t xml:space="preserve">Внесение дополнений и изменений в настоящие Тарифы производится Банком в одностороннем порядке. Банк уведомляет кредитные организации об изменениях Тарифов в порядке, установленном соответствующими договорами,</w:t>
      </w:r>
      <w:r>
        <w:rPr>
          <w:color w:val="000000"/>
        </w:rPr>
        <w:t xml:space="preserve"> либо путем размещения действующей редакции Тарифов</w:t>
      </w:r>
      <w:r>
        <w:rPr>
          <w:color w:val="000000"/>
        </w:rPr>
        <w:t xml:space="preserve"> на официальном интернет-сайте </w:t>
      </w:r>
      <w:r>
        <w:rPr>
          <w:color w:val="000000"/>
        </w:rPr>
        <w:t xml:space="preserve">АО «Россельхозбанк».</w:t>
      </w:r>
      <w:r>
        <w:rPr>
          <w:color w:val="000000"/>
        </w:rPr>
      </w:r>
    </w:p>
    <w:p>
      <w:pPr>
        <w:pStyle w:val="754"/>
        <w:ind w:firstLine="720"/>
        <w:jc w:val="both"/>
        <w:spacing w:before="120"/>
        <w:tabs>
          <w:tab w:val="left" w:pos="1080" w:leader="none"/>
        </w:tabs>
      </w:pPr>
      <w:r>
        <w:t xml:space="preserve">4.</w:t>
        <w:tab/>
        <w:t xml:space="preserve">Тарифы комиссионного вознаграждения в региональных филиалах Банка могут отличаться от Тарифов, установленных  Банком, в зависимости от региона местонахождения регионального филиала.</w:t>
      </w:r>
      <w:r/>
    </w:p>
    <w:p>
      <w:pPr>
        <w:pStyle w:val="754"/>
        <w:ind w:firstLine="720"/>
        <w:jc w:val="both"/>
        <w:tabs>
          <w:tab w:val="left" w:pos="1080" w:leader="none"/>
        </w:tabs>
      </w:pPr>
      <w:r>
        <w:t xml:space="preserve">5.</w:t>
        <w:tab/>
      </w:r>
      <w:r>
        <w:t xml:space="preserve">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w:t>
      </w:r>
      <w:r>
        <w:t xml:space="preserve">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w:t>
      </w:r>
      <w:r>
        <w:t xml:space="preserve">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r/>
    </w:p>
    <w:p>
      <w:pPr>
        <w:pStyle w:val="754"/>
        <w:ind w:firstLine="720"/>
        <w:jc w:val="both"/>
      </w:pPr>
      <w:r>
        <w:t xml:space="preserve">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r/>
    </w:p>
    <w:p>
      <w:pPr>
        <w:pStyle w:val="754"/>
        <w:ind w:firstLine="720"/>
        <w:jc w:val="both"/>
        <w:tabs>
          <w:tab w:val="left" w:pos="1080" w:leader="none"/>
        </w:tabs>
      </w:pPr>
      <w:r>
        <w:t xml:space="preserve">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w:t>
      </w:r>
      <w:r>
        <w:t xml:space="preserve">й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w:t>
        <w:br/>
        <w:t xml:space="preserve">(в случае примен</w:t>
      </w:r>
      <w:r>
        <w:t xml:space="preserve">ения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r>
        <w:t xml:space="preserve">.  </w:t>
      </w:r>
      <w:r/>
    </w:p>
    <w:p>
      <w:pPr>
        <w:pStyle w:val="754"/>
        <w:ind w:firstLine="708"/>
        <w:jc w:val="both"/>
      </w:pPr>
      <w:r>
        <w:t xml:space="preserve">Кредитные организации, не имеющие корреспондентского счета ЛОРО в Банке, осуществляют у</w:t>
      </w:r>
      <w:r>
        <w:t xml:space="preserve">плату комиссии и возмещение произведенных расходов Банка путем перевода денежных 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w:t>
      </w:r>
      <w:r/>
    </w:p>
    <w:p>
      <w:pPr>
        <w:pStyle w:val="754"/>
        <w:ind w:firstLine="720"/>
        <w:jc w:val="both"/>
        <w:spacing w:before="120"/>
        <w:tabs>
          <w:tab w:val="left" w:pos="1080" w:leader="none"/>
        </w:tabs>
      </w:pPr>
      <w:r>
        <w:t xml:space="preserve">6.</w:t>
        <w:tab/>
        <w:t xml:space="preserve">Переводы денежных средств 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r/>
    </w:p>
    <w:p>
      <w:pPr>
        <w:pStyle w:val="754"/>
        <w:ind w:right="23" w:firstLine="720"/>
        <w:jc w:val="both"/>
        <w:spacing w:before="120"/>
        <w:tabs>
          <w:tab w:val="left" w:pos="1080" w:leader="none"/>
        </w:tabs>
      </w:pPr>
      <w:r>
        <w:t xml:space="preserve">7</w:t>
      </w:r>
      <w:r>
        <w:t xml:space="preserve">.</w:t>
        <w:tab/>
        <w:t xml:space="preserve">Возмещение почтовых и других расходов Банка, а также комиссий и расходов третьих банков (банков-посредников) </w:t>
      </w:r>
      <w:r>
        <w:rPr>
          <w:iCs/>
        </w:rPr>
        <w:t xml:space="preserve">по документарным операциям</w:t>
      </w:r>
      <w:r>
        <w:t xml:space="preserve">, если таковые возникают, осуществляется банками-контрагентами дополнительно к комиссиям, указанным в Тарифах.</w:t>
      </w:r>
      <w:r/>
    </w:p>
    <w:p>
      <w:pPr>
        <w:pStyle w:val="754"/>
        <w:ind w:right="21" w:firstLine="709"/>
        <w:jc w:val="both"/>
        <w:spacing w:before="120"/>
        <w:tabs>
          <w:tab w:val="left" w:pos="1080" w:leader="none"/>
        </w:tabs>
      </w:pPr>
      <w:r>
        <w:t xml:space="preserve">8</w:t>
      </w:r>
      <w:r>
        <w:t xml:space="preserve">.</w:t>
        <w:tab/>
        <w:t xml:space="preserve">Комиссии, взысканные Банком за оказание услуг (кроме ошибочно удержанных), возврату не подлежат.</w:t>
      </w:r>
      <w:r/>
    </w:p>
    <w:p>
      <w:pPr>
        <w:pStyle w:val="754"/>
        <w:ind w:right="21" w:firstLine="709"/>
        <w:jc w:val="both"/>
        <w:spacing w:before="120"/>
        <w:tabs>
          <w:tab w:val="left" w:pos="1080" w:leader="none"/>
        </w:tabs>
      </w:pPr>
      <w:r/>
      <w:r/>
    </w:p>
    <w:p>
      <w:pPr>
        <w:pStyle w:val="754"/>
        <w:ind w:right="21" w:firstLine="709"/>
        <w:jc w:val="both"/>
        <w:spacing w:before="120"/>
        <w:tabs>
          <w:tab w:val="left" w:pos="1080" w:leader="none"/>
        </w:tabs>
      </w:pPr>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88"/>
        <w:gridCol w:w="4968"/>
        <w:gridCol w:w="1989"/>
        <w:gridCol w:w="2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5000" w:type="pct"/>
            <w:vAlign w:val="top"/>
            <w:textDirection w:val="lrTb"/>
            <w:noWrap w:val="false"/>
          </w:tcPr>
          <w:p>
            <w:pPr>
              <w:pStyle w:val="754"/>
              <w:jc w:val="center"/>
              <w:tabs>
                <w:tab w:val="left" w:pos="709" w:leader="none"/>
              </w:tabs>
              <w:rPr>
                <w:iCs/>
              </w:rPr>
            </w:pPr>
            <w:r>
              <w:rPr>
                <w:b/>
              </w:rPr>
              <w:t xml:space="preserve">1. Ведение корреспондентских счетов (для респондентов)</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center"/>
            <w:textDirection w:val="lrTb"/>
            <w:noWrap w:val="false"/>
          </w:tcPr>
          <w:p>
            <w:pPr>
              <w:pStyle w:val="754"/>
              <w:tabs>
                <w:tab w:val="left" w:pos="709" w:leader="none"/>
              </w:tabs>
              <w:rPr>
                <w:iCs/>
                <w:sz w:val="20"/>
              </w:rPr>
            </w:pPr>
            <w:r>
              <w:rPr>
                <w:iCs/>
                <w:sz w:val="20"/>
              </w:rPr>
              <w:t xml:space="preserve">№      п/п</w:t>
            </w:r>
            <w:r>
              <w:rPr>
                <w:iCs/>
                <w:sz w:val="20"/>
              </w:rPr>
            </w:r>
          </w:p>
        </w:tc>
        <w:tc>
          <w:tcPr>
            <w:tcW w:w="2456" w:type="pct"/>
            <w:vAlign w:val="center"/>
            <w:textDirection w:val="lrTb"/>
            <w:noWrap w:val="false"/>
          </w:tcPr>
          <w:p>
            <w:pPr>
              <w:pStyle w:val="754"/>
              <w:tabs>
                <w:tab w:val="left" w:pos="709" w:leader="none"/>
              </w:tabs>
              <w:rPr>
                <w:iCs/>
                <w:sz w:val="20"/>
              </w:rPr>
            </w:pPr>
            <w:r>
              <w:rPr>
                <w:iCs/>
                <w:sz w:val="20"/>
              </w:rPr>
              <w:t xml:space="preserve">Наименование услуги</w:t>
            </w:r>
            <w:r>
              <w:rPr>
                <w:iCs/>
                <w:sz w:val="20"/>
              </w:rPr>
            </w:r>
          </w:p>
        </w:tc>
        <w:tc>
          <w:tcPr>
            <w:tcW w:w="983" w:type="pct"/>
            <w:vAlign w:val="center"/>
            <w:textDirection w:val="lrTb"/>
            <w:noWrap w:val="false"/>
          </w:tcPr>
          <w:p>
            <w:pPr>
              <w:pStyle w:val="754"/>
              <w:tabs>
                <w:tab w:val="left" w:pos="709" w:leader="none"/>
              </w:tabs>
              <w:rPr>
                <w:iCs/>
                <w:sz w:val="20"/>
              </w:rPr>
            </w:pPr>
            <w:r/>
            <w:bookmarkStart w:id="0" w:name="_Toc95617936"/>
            <w:r>
              <w:rPr>
                <w:iCs/>
                <w:sz w:val="20"/>
              </w:rPr>
              <w:t xml:space="preserve">Тариф</w:t>
            </w:r>
            <w:bookmarkEnd w:id="0"/>
            <w:r>
              <w:rPr>
                <w:iCs/>
                <w:sz w:val="20"/>
              </w:rPr>
            </w:r>
            <w:r>
              <w:rPr>
                <w:iCs/>
                <w:sz w:val="20"/>
              </w:rPr>
            </w:r>
          </w:p>
        </w:tc>
        <w:tc>
          <w:tcPr>
            <w:tcW w:w="1122" w:type="pct"/>
            <w:vAlign w:val="center"/>
            <w:textDirection w:val="lrTb"/>
            <w:noWrap w:val="false"/>
          </w:tcPr>
          <w:p>
            <w:pPr>
              <w:pStyle w:val="754"/>
              <w:tabs>
                <w:tab w:val="left" w:pos="709" w:leader="none"/>
              </w:tabs>
              <w:rPr>
                <w:iCs/>
                <w:sz w:val="20"/>
              </w:rPr>
            </w:pPr>
            <w:r>
              <w:rPr>
                <w:iCs/>
                <w:sz w:val="20"/>
              </w:rPr>
              <w:t xml:space="preserve">Примечание</w:t>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1.1.</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Открытие корреспондентского счета</w:t>
            </w:r>
            <w:r>
              <w:rPr>
                <w:b/>
                <w:bCs/>
                <w:sz w:val="20"/>
              </w:rPr>
            </w:r>
            <w:r>
              <w:rPr>
                <w:b/>
                <w:bCs/>
                <w:sz w:val="20"/>
              </w:rPr>
            </w:r>
          </w:p>
          <w:p>
            <w:pPr>
              <w:pStyle w:val="754"/>
              <w:tabs>
                <w:tab w:val="left" w:pos="709" w:leader="none"/>
              </w:tabs>
              <w:rPr>
                <w:bCs/>
                <w:sz w:val="20"/>
                <w:szCs w:val="20"/>
              </w:rPr>
            </w:pPr>
            <w:r>
              <w:rPr>
                <w:sz w:val="20"/>
                <w:szCs w:val="20"/>
              </w:rPr>
              <w:t xml:space="preserve">Открытие корреспондентских счетов осуществляется только в головном офисе Банка.</w:t>
            </w:r>
            <w:r>
              <w:rPr>
                <w:bCs/>
                <w:sz w:val="20"/>
                <w:szCs w:val="20"/>
              </w:rPr>
            </w:r>
            <w:r>
              <w:rPr>
                <w:bCs/>
                <w:sz w:val="20"/>
                <w:szCs w:val="20"/>
              </w:rPr>
            </w:r>
          </w:p>
        </w:tc>
        <w:tc>
          <w:tcPr>
            <w:tcW w:w="983"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t xml:space="preserve"> </w:t>
            </w:r>
            <w:r>
              <w:rPr>
                <w:sz w:val="20"/>
              </w:rPr>
            </w:r>
            <w:r>
              <w:rPr>
                <w:sz w:val="20"/>
              </w:rPr>
            </w:r>
          </w:p>
        </w:tc>
        <w:tc>
          <w:tcPr>
            <w:tcW w:w="1122"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1.2.</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Открытие корреспондентского счета специального назначения для кредитной организации - участника закупок</w:t>
            </w:r>
            <w:r>
              <w:rPr>
                <w:b/>
                <w:bCs/>
                <w:sz w:val="20"/>
              </w:rPr>
            </w:r>
          </w:p>
        </w:tc>
        <w:tc>
          <w:tcPr>
            <w:tcW w:w="983"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22"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1.3.</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Открытие корреспондентского счета в драгоценных металлах</w:t>
            </w:r>
            <w:r>
              <w:rPr>
                <w:b/>
                <w:bCs/>
                <w:sz w:val="20"/>
              </w:rPr>
            </w:r>
            <w:r>
              <w:rPr>
                <w:b/>
                <w:bCs/>
                <w:sz w:val="20"/>
              </w:rPr>
            </w:r>
          </w:p>
          <w:p>
            <w:pPr>
              <w:pStyle w:val="754"/>
              <w:spacing w:line="80" w:lineRule="atLeast"/>
              <w:tabs>
                <w:tab w:val="left" w:pos="709" w:leader="none"/>
              </w:tabs>
              <w:rPr>
                <w:bCs/>
                <w:sz w:val="20"/>
              </w:rPr>
            </w:pPr>
            <w:r>
              <w:rPr>
                <w:bCs/>
                <w:sz w:val="20"/>
              </w:rPr>
              <w:t xml:space="preserve">в золоте</w:t>
            </w:r>
            <w:r>
              <w:rPr>
                <w:bCs/>
                <w:sz w:val="20"/>
              </w:rPr>
            </w:r>
            <w:r>
              <w:rPr>
                <w:bCs/>
                <w:sz w:val="20"/>
              </w:rPr>
            </w:r>
          </w:p>
          <w:p>
            <w:pPr>
              <w:pStyle w:val="754"/>
              <w:spacing w:line="80" w:lineRule="atLeast"/>
              <w:tabs>
                <w:tab w:val="left" w:pos="709" w:leader="none"/>
              </w:tabs>
              <w:rPr>
                <w:bCs/>
                <w:sz w:val="20"/>
              </w:rPr>
            </w:pPr>
            <w:r>
              <w:rPr>
                <w:bCs/>
                <w:sz w:val="20"/>
              </w:rPr>
              <w:t xml:space="preserve">в серебре</w:t>
            </w:r>
            <w:r>
              <w:rPr>
                <w:bCs/>
                <w:sz w:val="20"/>
              </w:rPr>
            </w:r>
          </w:p>
          <w:p>
            <w:pPr>
              <w:pStyle w:val="754"/>
              <w:spacing w:line="80" w:lineRule="atLeast"/>
              <w:tabs>
                <w:tab w:val="left" w:pos="709" w:leader="none"/>
              </w:tabs>
              <w:rPr>
                <w:bCs/>
                <w:sz w:val="20"/>
              </w:rPr>
            </w:pPr>
            <w:r>
              <w:rPr>
                <w:bCs/>
                <w:sz w:val="20"/>
              </w:rPr>
              <w:t xml:space="preserve">в платине</w:t>
            </w:r>
            <w:r>
              <w:rPr>
                <w:bCs/>
                <w:sz w:val="20"/>
              </w:rPr>
            </w:r>
          </w:p>
          <w:p>
            <w:pPr>
              <w:pStyle w:val="754"/>
              <w:spacing w:line="80" w:lineRule="atLeast"/>
              <w:tabs>
                <w:tab w:val="left" w:pos="709" w:leader="none"/>
              </w:tabs>
              <w:rPr>
                <w:b/>
                <w:bCs/>
                <w:sz w:val="20"/>
              </w:rPr>
            </w:pPr>
            <w:r>
              <w:rPr>
                <w:bCs/>
                <w:sz w:val="20"/>
              </w:rPr>
              <w:t xml:space="preserve">в палладии</w:t>
            </w:r>
            <w:r>
              <w:rPr>
                <w:b/>
                <w:bCs/>
                <w:sz w:val="20"/>
              </w:rPr>
            </w:r>
            <w:r>
              <w:rPr>
                <w:b/>
                <w:bCs/>
                <w:sz w:val="20"/>
              </w:rPr>
            </w:r>
          </w:p>
        </w:tc>
        <w:tc>
          <w:tcPr>
            <w:tcW w:w="983"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22" w:type="pct"/>
            <w:vAlign w:val="top"/>
            <w:textDirection w:val="lrTb"/>
            <w:noWrap w:val="false"/>
          </w:tcPr>
          <w:p>
            <w:pPr>
              <w:pStyle w:val="754"/>
              <w:tabs>
                <w:tab w:val="left" w:pos="709" w:leader="none"/>
              </w:tabs>
              <w:rPr>
                <w:sz w:val="20"/>
              </w:rPr>
            </w:pPr>
            <w:r>
              <w:rPr>
                <w:sz w:val="20"/>
              </w:rPr>
              <w:t xml:space="preserve">При условии открытия/наличия корреспондентского счета в российских рублях</w:t>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1.4.</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Ведение корреспондентского счета:</w:t>
            </w:r>
            <w:r>
              <w:rPr>
                <w:b/>
                <w:bCs/>
                <w:sz w:val="20"/>
              </w:rPr>
            </w:r>
          </w:p>
        </w:tc>
        <w:tc>
          <w:tcPr>
            <w:tcW w:w="983" w:type="pct"/>
            <w:vAlign w:val="top"/>
            <w:textDirection w:val="lrTb"/>
            <w:noWrap w:val="false"/>
          </w:tcPr>
          <w:p>
            <w:pPr>
              <w:pStyle w:val="754"/>
              <w:tabs>
                <w:tab w:val="left" w:pos="709" w:leader="none"/>
              </w:tabs>
              <w:rPr>
                <w:sz w:val="20"/>
              </w:rPr>
            </w:pPr>
            <w:r>
              <w:rPr>
                <w:sz w:val="20"/>
              </w:rPr>
            </w:r>
            <w:r>
              <w:rPr>
                <w:sz w:val="20"/>
              </w:rPr>
            </w:r>
          </w:p>
        </w:tc>
        <w:tc>
          <w:tcPr>
            <w:tcW w:w="1122" w:type="pct"/>
            <w:vAlign w:val="top"/>
            <w:textDirection w:val="lrTb"/>
            <w:noWrap w:val="false"/>
          </w:tcPr>
          <w:p>
            <w:pPr>
              <w:pStyle w:val="754"/>
              <w:tabs>
                <w:tab w:val="left" w:pos="709" w:leader="none"/>
              </w:tabs>
              <w:rPr>
                <w:iCs/>
                <w:sz w:val="20"/>
              </w:rPr>
            </w:pPr>
            <w:r>
              <w:rPr>
                <w:iCs/>
                <w:sz w:val="20"/>
              </w:rPr>
              <w:t xml:space="preserve"> </w:t>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1.4.1.</w:t>
            </w:r>
            <w:r>
              <w:rPr>
                <w:sz w:val="20"/>
              </w:rPr>
            </w:r>
          </w:p>
        </w:tc>
        <w:tc>
          <w:tcPr>
            <w:tcW w:w="2456" w:type="pct"/>
            <w:vAlign w:val="top"/>
            <w:textDirection w:val="lrTb"/>
            <w:noWrap w:val="false"/>
          </w:tcPr>
          <w:p>
            <w:pPr>
              <w:pStyle w:val="754"/>
              <w:tabs>
                <w:tab w:val="left" w:pos="709" w:leader="none"/>
              </w:tabs>
              <w:rPr>
                <w:sz w:val="20"/>
              </w:rPr>
            </w:pPr>
            <w:r>
              <w:rPr>
                <w:sz w:val="20"/>
              </w:rPr>
              <w:t xml:space="preserve">в российских рублях</w:t>
            </w:r>
            <w:r>
              <w:rPr>
                <w:sz w:val="20"/>
              </w:rPr>
            </w:r>
          </w:p>
        </w:tc>
        <w:tc>
          <w:tcPr>
            <w:tcW w:w="983"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22"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1.4.2.</w:t>
            </w:r>
            <w:r>
              <w:rPr>
                <w:sz w:val="20"/>
              </w:rPr>
            </w:r>
          </w:p>
        </w:tc>
        <w:tc>
          <w:tcPr>
            <w:tcW w:w="2456" w:type="pct"/>
            <w:vAlign w:val="top"/>
            <w:textDirection w:val="lrTb"/>
            <w:noWrap w:val="false"/>
          </w:tcPr>
          <w:p>
            <w:pPr>
              <w:pStyle w:val="754"/>
              <w:tabs>
                <w:tab w:val="left" w:pos="709" w:leader="none"/>
              </w:tabs>
              <w:rPr>
                <w:sz w:val="20"/>
              </w:rPr>
            </w:pPr>
            <w:r>
              <w:rPr>
                <w:sz w:val="20"/>
              </w:rPr>
              <w:t xml:space="preserve">в </w:t>
            </w:r>
            <w:r>
              <w:rPr>
                <w:sz w:val="20"/>
              </w:rPr>
              <w:t xml:space="preserve">иностранной валюте кроме евро</w:t>
            </w:r>
            <w:r>
              <w:rPr>
                <w:sz w:val="20"/>
              </w:rPr>
            </w:r>
            <w:r>
              <w:rPr>
                <w:sz w:val="20"/>
              </w:rPr>
            </w:r>
          </w:p>
        </w:tc>
        <w:tc>
          <w:tcPr>
            <w:tcW w:w="983"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22" w:type="pct"/>
            <w:vAlign w:val="top"/>
            <w:textDirection w:val="lrTb"/>
            <w:noWrap w:val="false"/>
          </w:tcPr>
          <w:p>
            <w:pPr>
              <w:pStyle w:val="754"/>
              <w:tabs>
                <w:tab w:val="left" w:pos="709" w:leader="none"/>
              </w:tabs>
              <w:rPr>
                <w:iCs/>
                <w:sz w:val="20"/>
              </w:rPr>
            </w:pPr>
            <w:r>
              <w:rPr>
                <w:iCs/>
                <w:sz w:val="20"/>
              </w:rPr>
              <w:t xml:space="preserve">Открытие счета осуществляется по согласованию</w:t>
            </w:r>
            <w:r>
              <w:rPr>
                <w:iCs/>
                <w:sz w:val="20"/>
              </w:rPr>
              <w:t xml:space="preserve"> с </w:t>
              <w:br w:type="textWrapping" w:clear="all"/>
              <w:t xml:space="preserve">АО «Россельхозбанк»</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szCs w:val="20"/>
              </w:rPr>
            </w:pPr>
            <w:r>
              <w:rPr>
                <w:sz w:val="20"/>
                <w:szCs w:val="20"/>
              </w:rPr>
              <w:t xml:space="preserve">«</w:t>
            </w:r>
            <w:r>
              <w:rPr>
                <w:sz w:val="20"/>
                <w:szCs w:val="20"/>
              </w:rPr>
              <w:t xml:space="preserve">1.4.3.</w:t>
            </w:r>
            <w:r>
              <w:rPr>
                <w:sz w:val="20"/>
                <w:szCs w:val="20"/>
              </w:rPr>
            </w:r>
          </w:p>
        </w:tc>
        <w:tc>
          <w:tcPr>
            <w:tcW w:w="2456" w:type="pct"/>
            <w:vAlign w:val="top"/>
            <w:textDirection w:val="lrTb"/>
            <w:noWrap w:val="false"/>
          </w:tcPr>
          <w:p>
            <w:pPr>
              <w:pStyle w:val="754"/>
              <w:tabs>
                <w:tab w:val="left" w:pos="709" w:leader="none"/>
              </w:tabs>
              <w:rPr>
                <w:sz w:val="20"/>
                <w:szCs w:val="20"/>
              </w:rPr>
            </w:pPr>
            <w:r>
              <w:rPr>
                <w:sz w:val="20"/>
                <w:szCs w:val="20"/>
              </w:rPr>
              <w:t xml:space="preserve">в евро</w:t>
            </w:r>
            <w:r>
              <w:rPr>
                <w:sz w:val="20"/>
                <w:szCs w:val="20"/>
              </w:rPr>
            </w:r>
          </w:p>
        </w:tc>
        <w:tc>
          <w:tcPr>
            <w:tcW w:w="983" w:type="pct"/>
            <w:vAlign w:val="top"/>
            <w:textDirection w:val="lrTb"/>
            <w:noWrap w:val="false"/>
          </w:tcPr>
          <w:p>
            <w:pPr>
              <w:pStyle w:val="754"/>
              <w:tabs>
                <w:tab w:val="left" w:pos="709" w:leader="none"/>
              </w:tabs>
              <w:rPr>
                <w:sz w:val="20"/>
                <w:szCs w:val="20"/>
              </w:rPr>
            </w:pPr>
            <w:r>
              <w:rPr>
                <w:sz w:val="20"/>
                <w:szCs w:val="20"/>
              </w:rPr>
            </w:r>
            <w:r>
              <w:rPr>
                <w:sz w:val="20"/>
                <w:szCs w:val="20"/>
              </w:rPr>
            </w:r>
          </w:p>
        </w:tc>
        <w:tc>
          <w:tcPr>
            <w:tcW w:w="1122" w:type="pct"/>
            <w:vAlign w:val="top"/>
            <w:textDirection w:val="lrTb"/>
            <w:noWrap w:val="false"/>
          </w:tcPr>
          <w:p>
            <w:pPr>
              <w:pStyle w:val="754"/>
              <w:tabs>
                <w:tab w:val="left" w:pos="709"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szCs w:val="20"/>
              </w:rPr>
            </w:pPr>
            <w:r>
              <w:rPr>
                <w:bCs/>
                <w:sz w:val="20"/>
                <w:szCs w:val="20"/>
              </w:rPr>
              <w:t xml:space="preserve">1.4.3.1.</w:t>
            </w:r>
            <w:r>
              <w:rPr>
                <w:sz w:val="20"/>
                <w:szCs w:val="20"/>
              </w:rPr>
            </w:r>
            <w:r>
              <w:rPr>
                <w:sz w:val="20"/>
                <w:szCs w:val="20"/>
              </w:rPr>
            </w:r>
          </w:p>
        </w:tc>
        <w:tc>
          <w:tcPr>
            <w:tcW w:w="2456" w:type="pct"/>
            <w:vAlign w:val="top"/>
            <w:textDirection w:val="lrTb"/>
            <w:noWrap w:val="false"/>
          </w:tcPr>
          <w:p>
            <w:pPr>
              <w:pStyle w:val="754"/>
              <w:tabs>
                <w:tab w:val="left" w:pos="709" w:leader="none"/>
              </w:tabs>
              <w:rPr>
                <w:sz w:val="20"/>
                <w:szCs w:val="20"/>
              </w:rPr>
            </w:pPr>
            <w:r>
              <w:rPr>
                <w:bCs/>
                <w:sz w:val="20"/>
                <w:szCs w:val="20"/>
              </w:rPr>
              <w:t xml:space="preserve">Для кредитных организаций – резидентов Российской Федерации (</w:t>
            </w:r>
            <w:r>
              <w:rPr>
                <w:sz w:val="20"/>
                <w:szCs w:val="20"/>
              </w:rPr>
              <w:t xml:space="preserve">кредитных организаций, созданных в соответствии с законодательством Российской Федерации</w:t>
            </w:r>
            <w:r>
              <w:rPr>
                <w:bCs/>
                <w:sz w:val="20"/>
                <w:szCs w:val="20"/>
              </w:rPr>
              <w:t xml:space="preserve">)</w:t>
            </w:r>
            <w:r>
              <w:rPr>
                <w:sz w:val="20"/>
                <w:szCs w:val="20"/>
              </w:rPr>
            </w:r>
            <w:r>
              <w:rPr>
                <w:sz w:val="20"/>
                <w:szCs w:val="20"/>
              </w:rPr>
            </w:r>
          </w:p>
        </w:tc>
        <w:tc>
          <w:tcPr>
            <w:tcW w:w="983" w:type="pct"/>
            <w:vAlign w:val="top"/>
            <w:textDirection w:val="lrTb"/>
            <w:noWrap w:val="false"/>
          </w:tcPr>
          <w:p>
            <w:pPr>
              <w:pStyle w:val="754"/>
              <w:tabs>
                <w:tab w:val="left" w:pos="709" w:leader="none"/>
              </w:tabs>
              <w:rPr>
                <w:sz w:val="20"/>
                <w:szCs w:val="20"/>
              </w:rPr>
            </w:pPr>
            <w:r>
              <w:rPr>
                <w:sz w:val="20"/>
                <w:szCs w:val="20"/>
              </w:rPr>
            </w:r>
            <w:r>
              <w:rPr>
                <w:sz w:val="20"/>
                <w:szCs w:val="20"/>
              </w:rPr>
            </w:r>
          </w:p>
        </w:tc>
        <w:tc>
          <w:tcPr>
            <w:tcW w:w="1122" w:type="pct"/>
            <w:vAlign w:val="top"/>
            <w:textDirection w:val="lrTb"/>
            <w:noWrap w:val="false"/>
          </w:tcPr>
          <w:p>
            <w:pPr>
              <w:pStyle w:val="754"/>
              <w:tabs>
                <w:tab w:val="left" w:pos="709"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szCs w:val="20"/>
              </w:rPr>
            </w:pPr>
            <w:r>
              <w:rPr>
                <w:sz w:val="20"/>
                <w:szCs w:val="20"/>
              </w:rPr>
            </w:r>
            <w:r>
              <w:rPr>
                <w:sz w:val="20"/>
                <w:szCs w:val="20"/>
              </w:rPr>
            </w:r>
          </w:p>
        </w:tc>
        <w:tc>
          <w:tcPr>
            <w:tcW w:w="2456" w:type="pct"/>
            <w:vAlign w:val="top"/>
            <w:textDirection w:val="lrTb"/>
            <w:noWrap w:val="false"/>
          </w:tcPr>
          <w:p>
            <w:pPr>
              <w:pStyle w:val="754"/>
              <w:tabs>
                <w:tab w:val="left" w:pos="709" w:leader="none"/>
              </w:tabs>
              <w:rPr>
                <w:bCs/>
                <w:sz w:val="20"/>
                <w:szCs w:val="20"/>
              </w:rPr>
            </w:pPr>
            <w:r>
              <w:rPr>
                <w:bCs/>
                <w:sz w:val="20"/>
                <w:szCs w:val="20"/>
              </w:rPr>
              <w:t xml:space="preserve">При сумме остатка до </w:t>
            </w:r>
            <w:r>
              <w:rPr>
                <w:bCs/>
                <w:sz w:val="20"/>
                <w:szCs w:val="20"/>
              </w:rPr>
            </w:r>
          </w:p>
          <w:p>
            <w:pPr>
              <w:pStyle w:val="754"/>
              <w:tabs>
                <w:tab w:val="left" w:pos="709" w:leader="none"/>
              </w:tabs>
              <w:rPr>
                <w:sz w:val="20"/>
                <w:szCs w:val="20"/>
              </w:rPr>
            </w:pPr>
            <w:r>
              <w:rPr>
                <w:bCs/>
                <w:sz w:val="20"/>
                <w:szCs w:val="20"/>
              </w:rPr>
              <w:t xml:space="preserve">10 000 000.00 евро (включительно)</w:t>
            </w:r>
            <w:r>
              <w:rPr>
                <w:sz w:val="20"/>
                <w:szCs w:val="20"/>
              </w:rPr>
            </w:r>
            <w:r>
              <w:rPr>
                <w:sz w:val="20"/>
                <w:szCs w:val="20"/>
              </w:rPr>
            </w:r>
          </w:p>
        </w:tc>
        <w:tc>
          <w:tcPr>
            <w:tcW w:w="983" w:type="pct"/>
            <w:vAlign w:val="top"/>
            <w:textDirection w:val="lrTb"/>
            <w:noWrap w:val="false"/>
          </w:tcPr>
          <w:p>
            <w:pPr>
              <w:pStyle w:val="754"/>
              <w:tabs>
                <w:tab w:val="left" w:pos="709" w:leader="none"/>
              </w:tabs>
              <w:rPr>
                <w:sz w:val="20"/>
                <w:szCs w:val="20"/>
              </w:rPr>
            </w:pPr>
            <w:r>
              <w:rPr>
                <w:bCs/>
                <w:sz w:val="20"/>
                <w:szCs w:val="20"/>
              </w:rPr>
              <w:t xml:space="preserve">Комиссия не взимается,                 кроме случаев, указанных в  п. 1.4.3.3</w:t>
            </w:r>
            <w:r>
              <w:rPr>
                <w:sz w:val="20"/>
                <w:szCs w:val="20"/>
              </w:rPr>
            </w:r>
            <w:r>
              <w:rPr>
                <w:sz w:val="20"/>
                <w:szCs w:val="20"/>
              </w:rPr>
            </w:r>
          </w:p>
        </w:tc>
        <w:tc>
          <w:tcPr>
            <w:tcW w:w="1122" w:type="pct"/>
            <w:vAlign w:val="top"/>
            <w:vMerge w:val="restart"/>
            <w:textDirection w:val="lrTb"/>
            <w:noWrap w:val="false"/>
          </w:tcPr>
          <w:p>
            <w:pPr>
              <w:pStyle w:val="754"/>
              <w:tabs>
                <w:tab w:val="left" w:pos="709" w:leader="none"/>
              </w:tabs>
              <w:rPr>
                <w:iCs/>
                <w:sz w:val="20"/>
                <w:szCs w:val="20"/>
              </w:rPr>
            </w:pPr>
            <w:r>
              <w:rPr>
                <w:iCs/>
                <w:sz w:val="20"/>
                <w:szCs w:val="20"/>
              </w:rPr>
              <w:t xml:space="preserve">Комиссия рассчитывается исходя из фактического входящего остатка на счете за каждый день </w:t>
            </w:r>
            <w:r>
              <w:rPr>
                <w:iCs/>
                <w:sz w:val="20"/>
                <w:szCs w:val="20"/>
              </w:rPr>
              <w:br w:type="textWrapping" w:clear="all"/>
            </w:r>
            <w:r>
              <w:rPr>
                <w:iCs/>
                <w:sz w:val="20"/>
                <w:szCs w:val="20"/>
              </w:rPr>
              <w:t xml:space="preserve">в течение календарного месяца, включая выходные и праздничные нерабочие дни Российской Федерации.</w:t>
            </w:r>
            <w:r>
              <w:rPr>
                <w:iCs/>
                <w:sz w:val="20"/>
                <w:szCs w:val="20"/>
              </w:rPr>
            </w:r>
          </w:p>
          <w:p>
            <w:pPr>
              <w:pStyle w:val="754"/>
              <w:tabs>
                <w:tab w:val="left" w:pos="709" w:leader="none"/>
              </w:tabs>
              <w:rPr>
                <w:iCs/>
                <w:sz w:val="20"/>
                <w:szCs w:val="20"/>
              </w:rPr>
            </w:pPr>
            <w:r>
              <w:rPr>
                <w:iCs/>
                <w:sz w:val="20"/>
                <w:szCs w:val="20"/>
              </w:rPr>
              <w:t xml:space="preserve">Комиссия взимается ежемесячно не позднее 5-го рабочего дня месяца, следующего за отчетным месяцем</w:t>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szCs w:val="20"/>
              </w:rPr>
            </w:pPr>
            <w:r>
              <w:rPr>
                <w:sz w:val="20"/>
                <w:szCs w:val="20"/>
              </w:rPr>
            </w:r>
            <w:r>
              <w:rPr>
                <w:sz w:val="20"/>
                <w:szCs w:val="20"/>
              </w:rPr>
            </w:r>
          </w:p>
        </w:tc>
        <w:tc>
          <w:tcPr>
            <w:tcW w:w="2456" w:type="pct"/>
            <w:vAlign w:val="top"/>
            <w:textDirection w:val="lrTb"/>
            <w:noWrap w:val="false"/>
          </w:tcPr>
          <w:p>
            <w:pPr>
              <w:pStyle w:val="754"/>
              <w:tabs>
                <w:tab w:val="left" w:pos="709" w:leader="none"/>
              </w:tabs>
              <w:rPr>
                <w:bCs/>
                <w:sz w:val="20"/>
                <w:szCs w:val="20"/>
              </w:rPr>
            </w:pPr>
            <w:r>
              <w:rPr>
                <w:bCs/>
                <w:sz w:val="20"/>
                <w:szCs w:val="20"/>
              </w:rPr>
              <w:t xml:space="preserve">При сумме остатка свыше </w:t>
            </w:r>
            <w:r>
              <w:rPr>
                <w:bCs/>
                <w:sz w:val="20"/>
                <w:szCs w:val="20"/>
              </w:rPr>
            </w:r>
          </w:p>
          <w:p>
            <w:pPr>
              <w:pStyle w:val="754"/>
              <w:tabs>
                <w:tab w:val="left" w:pos="709" w:leader="none"/>
              </w:tabs>
              <w:rPr>
                <w:sz w:val="20"/>
                <w:szCs w:val="20"/>
              </w:rPr>
            </w:pPr>
            <w:r>
              <w:rPr>
                <w:bCs/>
                <w:sz w:val="20"/>
                <w:szCs w:val="20"/>
              </w:rPr>
              <w:t xml:space="preserve">10 000 000.00 евро</w:t>
            </w:r>
            <w:r>
              <w:rPr>
                <w:sz w:val="20"/>
                <w:szCs w:val="20"/>
              </w:rPr>
            </w:r>
            <w:r>
              <w:rPr>
                <w:sz w:val="20"/>
                <w:szCs w:val="20"/>
              </w:rPr>
            </w:r>
          </w:p>
        </w:tc>
        <w:tc>
          <w:tcPr>
            <w:tcW w:w="983" w:type="pct"/>
            <w:vAlign w:val="top"/>
            <w:textDirection w:val="lrTb"/>
            <w:noWrap w:val="false"/>
          </w:tcPr>
          <w:p>
            <w:pPr>
              <w:pStyle w:val="754"/>
              <w:tabs>
                <w:tab w:val="left" w:pos="709" w:leader="none"/>
              </w:tabs>
              <w:rPr>
                <w:bCs/>
                <w:sz w:val="20"/>
                <w:szCs w:val="20"/>
              </w:rPr>
            </w:pPr>
            <w:r>
              <w:rPr>
                <w:bCs/>
                <w:sz w:val="20"/>
                <w:szCs w:val="20"/>
              </w:rPr>
              <w:t xml:space="preserve">65 евро в день + 65 евро в день за каждые 3 млн. евро, превышающие остаток в размере 10 млн. евро.</w:t>
            </w:r>
            <w:r>
              <w:rPr>
                <w:bCs/>
                <w:sz w:val="20"/>
                <w:szCs w:val="20"/>
              </w:rPr>
            </w:r>
          </w:p>
          <w:p>
            <w:pPr>
              <w:pStyle w:val="754"/>
              <w:tabs>
                <w:tab w:val="left" w:pos="709" w:leader="none"/>
              </w:tabs>
              <w:rPr>
                <w:sz w:val="20"/>
                <w:szCs w:val="20"/>
              </w:rPr>
            </w:pPr>
            <w:r>
              <w:rPr>
                <w:bCs/>
                <w:sz w:val="20"/>
                <w:szCs w:val="20"/>
              </w:rPr>
              <w:t xml:space="preserve">Дополнительно взимается комиссия</w:t>
            </w:r>
            <w:r>
              <w:rPr>
                <w:bCs/>
                <w:sz w:val="20"/>
                <w:szCs w:val="20"/>
              </w:rPr>
              <w:t xml:space="preserve"> в случаях, указанных в п.</w:t>
            </w:r>
            <w:r>
              <w:rPr>
                <w:bCs/>
                <w:sz w:val="20"/>
                <w:szCs w:val="20"/>
              </w:rPr>
              <w:t xml:space="preserve"> </w:t>
            </w:r>
            <w:r>
              <w:rPr>
                <w:bCs/>
                <w:sz w:val="20"/>
                <w:szCs w:val="20"/>
              </w:rPr>
              <w:t xml:space="preserve">1.4.3.3</w:t>
            </w:r>
            <w:r>
              <w:rPr>
                <w:sz w:val="20"/>
                <w:szCs w:val="20"/>
              </w:rPr>
            </w:r>
            <w:r>
              <w:rPr>
                <w:sz w:val="20"/>
                <w:szCs w:val="20"/>
              </w:rPr>
            </w:r>
          </w:p>
        </w:tc>
        <w:tc>
          <w:tcPr>
            <w:tcW w:w="1122" w:type="pct"/>
            <w:vAlign w:val="top"/>
            <w:vMerge w:val="continue"/>
            <w:textDirection w:val="lrTb"/>
            <w:noWrap w:val="false"/>
          </w:tcPr>
          <w:p>
            <w:pPr>
              <w:pStyle w:val="754"/>
              <w:tabs>
                <w:tab w:val="left" w:pos="709"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szCs w:val="20"/>
              </w:rPr>
            </w:pPr>
            <w:r>
              <w:rPr>
                <w:bCs/>
                <w:sz w:val="20"/>
                <w:szCs w:val="20"/>
              </w:rPr>
              <w:t xml:space="preserve">1.4.3.2.</w:t>
            </w:r>
            <w:r>
              <w:rPr>
                <w:sz w:val="20"/>
                <w:szCs w:val="20"/>
              </w:rPr>
            </w:r>
            <w:r>
              <w:rPr>
                <w:sz w:val="20"/>
                <w:szCs w:val="20"/>
              </w:rPr>
            </w:r>
          </w:p>
        </w:tc>
        <w:tc>
          <w:tcPr>
            <w:tcW w:w="2456" w:type="pct"/>
            <w:vAlign w:val="top"/>
            <w:textDirection w:val="lrTb"/>
            <w:noWrap w:val="false"/>
          </w:tcPr>
          <w:p>
            <w:pPr>
              <w:pStyle w:val="754"/>
              <w:tabs>
                <w:tab w:val="left" w:pos="709" w:leader="none"/>
              </w:tabs>
              <w:rPr>
                <w:sz w:val="20"/>
                <w:szCs w:val="20"/>
              </w:rPr>
            </w:pPr>
            <w:r>
              <w:rPr>
                <w:bCs/>
                <w:sz w:val="20"/>
                <w:szCs w:val="20"/>
              </w:rPr>
              <w:t xml:space="preserve">Для кредитных организаций – нерезидентов (</w:t>
            </w:r>
            <w:r>
              <w:rPr>
                <w:sz w:val="20"/>
                <w:szCs w:val="20"/>
              </w:rP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sz w:val="20"/>
                <w:szCs w:val="20"/>
              </w:rPr>
            </w:r>
          </w:p>
        </w:tc>
        <w:tc>
          <w:tcPr>
            <w:tcW w:w="983" w:type="pct"/>
            <w:vAlign w:val="top"/>
            <w:textDirection w:val="lrTb"/>
            <w:noWrap w:val="false"/>
          </w:tcPr>
          <w:p>
            <w:pPr>
              <w:pStyle w:val="754"/>
              <w:tabs>
                <w:tab w:val="left" w:pos="709" w:leader="none"/>
              </w:tabs>
              <w:rPr>
                <w:sz w:val="20"/>
                <w:szCs w:val="20"/>
              </w:rPr>
            </w:pPr>
            <w:r>
              <w:rPr>
                <w:sz w:val="20"/>
                <w:szCs w:val="20"/>
              </w:rPr>
            </w:r>
            <w:r>
              <w:rPr>
                <w:sz w:val="20"/>
                <w:szCs w:val="20"/>
              </w:rPr>
            </w:r>
          </w:p>
        </w:tc>
        <w:tc>
          <w:tcPr>
            <w:tcW w:w="1122" w:type="pct"/>
            <w:vAlign w:val="top"/>
            <w:textDirection w:val="lrTb"/>
            <w:noWrap w:val="false"/>
          </w:tcPr>
          <w:p>
            <w:pPr>
              <w:pStyle w:val="754"/>
              <w:tabs>
                <w:tab w:val="left" w:pos="709"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szCs w:val="20"/>
              </w:rPr>
            </w:pPr>
            <w:r>
              <w:rPr>
                <w:sz w:val="20"/>
                <w:szCs w:val="20"/>
              </w:rPr>
            </w:r>
            <w:r>
              <w:rPr>
                <w:sz w:val="20"/>
                <w:szCs w:val="20"/>
              </w:rPr>
            </w:r>
          </w:p>
        </w:tc>
        <w:tc>
          <w:tcPr>
            <w:tcW w:w="2456" w:type="pct"/>
            <w:vAlign w:val="top"/>
            <w:textDirection w:val="lrTb"/>
            <w:noWrap w:val="false"/>
          </w:tcPr>
          <w:p>
            <w:pPr>
              <w:pStyle w:val="754"/>
              <w:tabs>
                <w:tab w:val="left" w:pos="709" w:leader="none"/>
              </w:tabs>
              <w:rPr>
                <w:bCs/>
                <w:sz w:val="20"/>
                <w:szCs w:val="20"/>
              </w:rPr>
            </w:pPr>
            <w:r>
              <w:rPr>
                <w:bCs/>
                <w:sz w:val="20"/>
                <w:szCs w:val="20"/>
              </w:rPr>
              <w:t xml:space="preserve">При сумме остатка до </w:t>
            </w:r>
            <w:r>
              <w:rPr>
                <w:bCs/>
                <w:sz w:val="20"/>
                <w:szCs w:val="20"/>
              </w:rPr>
            </w:r>
          </w:p>
          <w:p>
            <w:pPr>
              <w:pStyle w:val="754"/>
              <w:tabs>
                <w:tab w:val="left" w:pos="709" w:leader="none"/>
              </w:tabs>
              <w:rPr>
                <w:sz w:val="20"/>
                <w:szCs w:val="20"/>
              </w:rPr>
            </w:pPr>
            <w:r>
              <w:rPr>
                <w:bCs/>
                <w:sz w:val="20"/>
                <w:szCs w:val="20"/>
              </w:rPr>
              <w:t xml:space="preserve">3 000 000.00 евро (включительно)</w:t>
            </w:r>
            <w:r>
              <w:rPr>
                <w:sz w:val="20"/>
                <w:szCs w:val="20"/>
              </w:rPr>
            </w:r>
            <w:r>
              <w:rPr>
                <w:sz w:val="20"/>
                <w:szCs w:val="20"/>
              </w:rPr>
            </w:r>
          </w:p>
        </w:tc>
        <w:tc>
          <w:tcPr>
            <w:tcW w:w="983" w:type="pct"/>
            <w:vAlign w:val="top"/>
            <w:textDirection w:val="lrTb"/>
            <w:noWrap w:val="false"/>
          </w:tcPr>
          <w:p>
            <w:pPr>
              <w:pStyle w:val="754"/>
              <w:tabs>
                <w:tab w:val="left" w:pos="709" w:leader="none"/>
              </w:tabs>
              <w:rPr>
                <w:sz w:val="20"/>
                <w:szCs w:val="20"/>
              </w:rPr>
            </w:pPr>
            <w:r>
              <w:rPr>
                <w:bCs/>
                <w:sz w:val="20"/>
                <w:szCs w:val="20"/>
              </w:rPr>
              <w:t xml:space="preserve">Комиссия не взимается,                  кроме случаев, указанных      в п. 1.4.3.3</w:t>
            </w:r>
            <w:r>
              <w:rPr>
                <w:sz w:val="20"/>
                <w:szCs w:val="20"/>
              </w:rPr>
            </w:r>
            <w:r>
              <w:rPr>
                <w:sz w:val="20"/>
                <w:szCs w:val="20"/>
              </w:rPr>
            </w:r>
          </w:p>
        </w:tc>
        <w:tc>
          <w:tcPr>
            <w:tcW w:w="1122" w:type="pct"/>
            <w:vAlign w:val="top"/>
            <w:vMerge w:val="restart"/>
            <w:textDirection w:val="lrTb"/>
            <w:noWrap w:val="false"/>
          </w:tcPr>
          <w:p>
            <w:pPr>
              <w:pStyle w:val="754"/>
              <w:tabs>
                <w:tab w:val="left" w:pos="709" w:leader="none"/>
              </w:tabs>
              <w:rPr>
                <w:bCs/>
                <w:sz w:val="20"/>
                <w:szCs w:val="20"/>
              </w:rPr>
            </w:pPr>
            <w:r>
              <w:rPr>
                <w:bCs/>
                <w:sz w:val="20"/>
                <w:szCs w:val="20"/>
              </w:rPr>
              <w:t xml:space="preserve">Комиссия рассчитывается исходя из фактического входящего остатка на счете за каждый день </w:t>
            </w:r>
            <w:r>
              <w:rPr>
                <w:bCs/>
                <w:sz w:val="20"/>
                <w:szCs w:val="20"/>
              </w:rPr>
              <w:br w:type="textWrapping" w:clear="all"/>
            </w:r>
            <w:r>
              <w:rPr>
                <w:bCs/>
                <w:sz w:val="20"/>
                <w:szCs w:val="20"/>
              </w:rPr>
              <w:t xml:space="preserve">в течение календарного месяца, включая выходные и праздничные нерабочие дни Российской Федерации.</w:t>
            </w:r>
            <w:r>
              <w:rPr>
                <w:bCs/>
                <w:sz w:val="20"/>
                <w:szCs w:val="20"/>
              </w:rPr>
            </w:r>
          </w:p>
          <w:p>
            <w:pPr>
              <w:pStyle w:val="754"/>
              <w:tabs>
                <w:tab w:val="left" w:pos="709" w:leader="none"/>
              </w:tabs>
              <w:rPr>
                <w:iCs/>
                <w:sz w:val="20"/>
                <w:szCs w:val="20"/>
              </w:rPr>
            </w:pPr>
            <w:r>
              <w:rPr>
                <w:bCs/>
                <w:sz w:val="20"/>
                <w:szCs w:val="20"/>
              </w:rPr>
              <w:t xml:space="preserve">Комиссия взимается ежемесячно не позднее 5-го рабочего дня месяца, следующего за отчетным месяцем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szCs w:val="20"/>
              </w:rPr>
            </w:pPr>
            <w:r>
              <w:rPr>
                <w:sz w:val="20"/>
                <w:szCs w:val="20"/>
              </w:rPr>
            </w:r>
            <w:r>
              <w:rPr>
                <w:sz w:val="20"/>
                <w:szCs w:val="20"/>
              </w:rPr>
            </w:r>
          </w:p>
        </w:tc>
        <w:tc>
          <w:tcPr>
            <w:tcW w:w="2456" w:type="pct"/>
            <w:vAlign w:val="top"/>
            <w:textDirection w:val="lrTb"/>
            <w:noWrap w:val="false"/>
          </w:tcPr>
          <w:p>
            <w:pPr>
              <w:pStyle w:val="754"/>
              <w:tabs>
                <w:tab w:val="left" w:pos="709" w:leader="none"/>
              </w:tabs>
              <w:rPr>
                <w:bCs/>
                <w:sz w:val="20"/>
                <w:szCs w:val="20"/>
              </w:rPr>
            </w:pPr>
            <w:r>
              <w:rPr>
                <w:bCs/>
                <w:sz w:val="20"/>
                <w:szCs w:val="20"/>
              </w:rPr>
              <w:t xml:space="preserve">При сумме остатка свыше </w:t>
            </w:r>
            <w:r>
              <w:rPr>
                <w:bCs/>
                <w:sz w:val="20"/>
                <w:szCs w:val="20"/>
              </w:rPr>
            </w:r>
          </w:p>
          <w:p>
            <w:pPr>
              <w:pStyle w:val="754"/>
              <w:tabs>
                <w:tab w:val="left" w:pos="709" w:leader="none"/>
              </w:tabs>
              <w:rPr>
                <w:sz w:val="20"/>
                <w:szCs w:val="20"/>
              </w:rPr>
            </w:pPr>
            <w:r>
              <w:rPr>
                <w:bCs/>
                <w:sz w:val="20"/>
                <w:szCs w:val="20"/>
              </w:rPr>
              <w:t xml:space="preserve">3 000 000.00 евро</w:t>
            </w:r>
            <w:r>
              <w:rPr>
                <w:sz w:val="20"/>
                <w:szCs w:val="20"/>
              </w:rPr>
            </w:r>
            <w:r>
              <w:rPr>
                <w:sz w:val="20"/>
                <w:szCs w:val="20"/>
              </w:rPr>
            </w:r>
          </w:p>
        </w:tc>
        <w:tc>
          <w:tcPr>
            <w:tcW w:w="983" w:type="pct"/>
            <w:vAlign w:val="top"/>
            <w:textDirection w:val="lrTb"/>
            <w:noWrap w:val="false"/>
          </w:tcPr>
          <w:p>
            <w:pPr>
              <w:pStyle w:val="754"/>
              <w:tabs>
                <w:tab w:val="left" w:pos="709" w:leader="none"/>
              </w:tabs>
              <w:rPr>
                <w:bCs/>
                <w:sz w:val="20"/>
                <w:szCs w:val="20"/>
              </w:rPr>
            </w:pPr>
            <w:r>
              <w:rPr>
                <w:bCs/>
                <w:sz w:val="20"/>
                <w:szCs w:val="20"/>
              </w:rPr>
              <w:t xml:space="preserve">65 евро в день + 65 евро в день за каждые 3 млн. евро, превышающие остаток в размере 3 млн. евро.</w:t>
            </w:r>
            <w:r>
              <w:rPr>
                <w:bCs/>
                <w:sz w:val="20"/>
                <w:szCs w:val="20"/>
              </w:rPr>
            </w:r>
          </w:p>
          <w:p>
            <w:pPr>
              <w:pStyle w:val="754"/>
              <w:tabs>
                <w:tab w:val="left" w:pos="709" w:leader="none"/>
              </w:tabs>
              <w:rPr>
                <w:sz w:val="20"/>
                <w:szCs w:val="20"/>
              </w:rPr>
            </w:pPr>
            <w:r>
              <w:rPr>
                <w:sz w:val="20"/>
                <w:szCs w:val="20"/>
              </w:rPr>
              <w:t xml:space="preserve">Дополнительно взимается комиссия</w:t>
            </w:r>
            <w:r>
              <w:rPr>
                <w:sz w:val="20"/>
                <w:szCs w:val="20"/>
              </w:rPr>
              <w:t xml:space="preserve"> в</w:t>
            </w:r>
            <w:r>
              <w:rPr>
                <w:sz w:val="20"/>
                <w:szCs w:val="20"/>
              </w:rPr>
              <w:t xml:space="preserve"> случаях, указанных в п.</w:t>
            </w:r>
            <w:r>
              <w:rPr>
                <w:sz w:val="20"/>
                <w:szCs w:val="20"/>
              </w:rPr>
              <w:t xml:space="preserve"> </w:t>
            </w:r>
            <w:r>
              <w:rPr>
                <w:sz w:val="20"/>
                <w:szCs w:val="20"/>
              </w:rPr>
              <w:t xml:space="preserve">1.4.3.3</w:t>
            </w:r>
            <w:r>
              <w:rPr>
                <w:sz w:val="20"/>
                <w:szCs w:val="20"/>
              </w:rPr>
            </w:r>
            <w:r>
              <w:rPr>
                <w:sz w:val="20"/>
                <w:szCs w:val="20"/>
              </w:rPr>
            </w:r>
          </w:p>
        </w:tc>
        <w:tc>
          <w:tcPr>
            <w:tcW w:w="1122" w:type="pct"/>
            <w:vAlign w:val="top"/>
            <w:vMerge w:val="continue"/>
            <w:textDirection w:val="lrTb"/>
            <w:noWrap w:val="false"/>
          </w:tcPr>
          <w:p>
            <w:pPr>
              <w:pStyle w:val="754"/>
              <w:tabs>
                <w:tab w:val="left" w:pos="709"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szCs w:val="20"/>
              </w:rPr>
            </w:pPr>
            <w:r>
              <w:rPr>
                <w:sz w:val="20"/>
                <w:szCs w:val="20"/>
              </w:rPr>
              <w:t xml:space="preserve">1.4.3.3.</w:t>
            </w:r>
            <w:r>
              <w:rPr>
                <w:sz w:val="20"/>
                <w:szCs w:val="20"/>
              </w:rPr>
            </w:r>
          </w:p>
        </w:tc>
        <w:tc>
          <w:tcPr>
            <w:tcW w:w="2456" w:type="pct"/>
            <w:vAlign w:val="top"/>
            <w:textDirection w:val="lrTb"/>
            <w:noWrap w:val="false"/>
          </w:tcPr>
          <w:p>
            <w:pPr>
              <w:pStyle w:val="754"/>
              <w:tabs>
                <w:tab w:val="left" w:pos="709" w:leader="none"/>
              </w:tabs>
              <w:rPr>
                <w:bCs/>
                <w:sz w:val="20"/>
                <w:szCs w:val="20"/>
              </w:rPr>
            </w:pPr>
            <w:r>
              <w:rPr>
                <w:bCs/>
                <w:sz w:val="20"/>
                <w:szCs w:val="20"/>
              </w:rPr>
              <w:t xml:space="preserve">Для кредитных организаций – резидентов Российской Федерации и нерезидентов Российской Федерации</w:t>
            </w:r>
            <w:r>
              <w:rPr>
                <w:bCs/>
                <w:sz w:val="20"/>
                <w:szCs w:val="20"/>
              </w:rPr>
            </w:r>
          </w:p>
        </w:tc>
        <w:tc>
          <w:tcPr>
            <w:tcW w:w="983" w:type="pct"/>
            <w:vAlign w:val="top"/>
            <w:textDirection w:val="lrTb"/>
            <w:noWrap w:val="false"/>
          </w:tcPr>
          <w:p>
            <w:pPr>
              <w:pStyle w:val="754"/>
              <w:tabs>
                <w:tab w:val="left" w:pos="709" w:leader="none"/>
              </w:tabs>
              <w:rPr>
                <w:bCs/>
                <w:sz w:val="20"/>
                <w:szCs w:val="20"/>
              </w:rPr>
            </w:pPr>
            <w:r>
              <w:rPr>
                <w:bCs/>
                <w:sz w:val="20"/>
                <w:szCs w:val="20"/>
              </w:rPr>
            </w:r>
            <w:r>
              <w:rPr>
                <w:bCs/>
                <w:sz w:val="20"/>
                <w:szCs w:val="20"/>
              </w:rPr>
            </w:r>
          </w:p>
        </w:tc>
        <w:tc>
          <w:tcPr>
            <w:tcW w:w="1122" w:type="pct"/>
            <w:vAlign w:val="top"/>
            <w:textDirection w:val="lrTb"/>
            <w:noWrap w:val="false"/>
          </w:tcPr>
          <w:p>
            <w:pPr>
              <w:pStyle w:val="754"/>
              <w:tabs>
                <w:tab w:val="left" w:pos="709"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szCs w:val="20"/>
              </w:rPr>
            </w:pPr>
            <w:r>
              <w:rPr>
                <w:sz w:val="20"/>
                <w:szCs w:val="20"/>
              </w:rPr>
            </w:r>
            <w:r>
              <w:rPr>
                <w:sz w:val="20"/>
                <w:szCs w:val="20"/>
              </w:rPr>
            </w:r>
          </w:p>
        </w:tc>
        <w:tc>
          <w:tcPr>
            <w:tcW w:w="2456" w:type="pct"/>
            <w:vAlign w:val="top"/>
            <w:textDirection w:val="lrTb"/>
            <w:noWrap w:val="false"/>
          </w:tcPr>
          <w:p>
            <w:pPr>
              <w:pStyle w:val="754"/>
              <w:tabs>
                <w:tab w:val="left" w:pos="709" w:leader="none"/>
              </w:tabs>
              <w:rPr>
                <w:bCs/>
                <w:sz w:val="20"/>
                <w:szCs w:val="20"/>
              </w:rPr>
            </w:pPr>
            <w:r>
              <w:rPr>
                <w:bCs/>
                <w:sz w:val="20"/>
                <w:szCs w:val="20"/>
              </w:rPr>
              <w:t xml:space="preserve">При сумме остатка свыше </w:t>
            </w:r>
            <w:r>
              <w:rPr>
                <w:bCs/>
                <w:sz w:val="20"/>
                <w:szCs w:val="20"/>
              </w:rPr>
            </w:r>
          </w:p>
          <w:p>
            <w:pPr>
              <w:pStyle w:val="754"/>
              <w:tabs>
                <w:tab w:val="left" w:pos="709" w:leader="none"/>
              </w:tabs>
              <w:rPr>
                <w:bCs/>
                <w:sz w:val="20"/>
                <w:szCs w:val="20"/>
              </w:rPr>
            </w:pPr>
            <w:r>
              <w:rPr>
                <w:bCs/>
                <w:sz w:val="20"/>
                <w:szCs w:val="20"/>
              </w:rPr>
              <w:t xml:space="preserve">3 000 000.00 евро по состоянию на                   01 января (ежегодно)</w:t>
            </w:r>
            <w:r>
              <w:rPr>
                <w:bCs/>
                <w:sz w:val="20"/>
                <w:szCs w:val="20"/>
              </w:rPr>
            </w:r>
          </w:p>
        </w:tc>
        <w:tc>
          <w:tcPr>
            <w:tcW w:w="983" w:type="pct"/>
            <w:vAlign w:val="top"/>
            <w:textDirection w:val="lrTb"/>
            <w:noWrap w:val="false"/>
          </w:tcPr>
          <w:p>
            <w:pPr>
              <w:pStyle w:val="754"/>
              <w:tabs>
                <w:tab w:val="left" w:pos="709" w:leader="none"/>
              </w:tabs>
              <w:rPr>
                <w:bCs/>
                <w:sz w:val="20"/>
                <w:szCs w:val="20"/>
              </w:rPr>
            </w:pPr>
            <w:r>
              <w:rPr>
                <w:bCs/>
                <w:sz w:val="20"/>
                <w:szCs w:val="20"/>
              </w:rPr>
              <w:t xml:space="preserve">Дополнительная комиссия 0,2% от суммы, превышающей остаток в размере 3 млн. евро</w:t>
            </w:r>
            <w:r>
              <w:rPr>
                <w:bCs/>
                <w:sz w:val="20"/>
                <w:szCs w:val="20"/>
              </w:rPr>
              <w:t xml:space="preserve"> </w:t>
            </w:r>
            <w:r>
              <w:rPr>
                <w:bCs/>
                <w:sz w:val="20"/>
                <w:szCs w:val="20"/>
              </w:rPr>
              <w:t xml:space="preserve">по состоянию на </w:t>
            </w:r>
            <w:r>
              <w:rPr>
                <w:bCs/>
                <w:sz w:val="20"/>
                <w:szCs w:val="20"/>
              </w:rPr>
              <w:t xml:space="preserve">01 января</w:t>
            </w:r>
            <w:r>
              <w:rPr>
                <w:bCs/>
                <w:sz w:val="20"/>
                <w:szCs w:val="20"/>
              </w:rPr>
              <w:t xml:space="preserve"> (ежегодно)</w:t>
            </w:r>
            <w:r>
              <w:rPr>
                <w:bCs/>
                <w:sz w:val="20"/>
                <w:szCs w:val="20"/>
              </w:rPr>
            </w:r>
            <w:r>
              <w:rPr>
                <w:bCs/>
                <w:sz w:val="20"/>
                <w:szCs w:val="20"/>
              </w:rPr>
            </w:r>
          </w:p>
        </w:tc>
        <w:tc>
          <w:tcPr>
            <w:tcW w:w="1122" w:type="pct"/>
            <w:vAlign w:val="top"/>
            <w:textDirection w:val="lrTb"/>
            <w:noWrap w:val="false"/>
          </w:tcPr>
          <w:p>
            <w:pPr>
              <w:pStyle w:val="754"/>
              <w:tabs>
                <w:tab w:val="left" w:pos="709" w:leader="none"/>
              </w:tabs>
              <w:rPr>
                <w:iCs/>
                <w:sz w:val="20"/>
                <w:szCs w:val="20"/>
              </w:rPr>
            </w:pPr>
            <w:r>
              <w:rPr>
                <w:bCs/>
                <w:sz w:val="20"/>
                <w:szCs w:val="20"/>
              </w:rPr>
              <w:t xml:space="preserve">Комиссия взимается не позднее                  20 января (ежегодно) дополнительно к ко</w:t>
            </w:r>
            <w:r>
              <w:rPr>
                <w:bCs/>
                <w:sz w:val="20"/>
                <w:szCs w:val="20"/>
              </w:rPr>
              <w:t xml:space="preserve">миссиям, указанным в п. 1.4.3.1 и 1.4.3.2».</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Cs/>
                <w:sz w:val="20"/>
              </w:rPr>
            </w:pPr>
            <w:r>
              <w:rPr>
                <w:bCs/>
                <w:sz w:val="20"/>
              </w:rPr>
              <w:t xml:space="preserve">1.4.</w:t>
            </w:r>
            <w:r>
              <w:rPr>
                <w:bCs/>
                <w:sz w:val="20"/>
              </w:rPr>
              <w:t xml:space="preserve">4</w:t>
            </w:r>
            <w:r>
              <w:rPr>
                <w:bCs/>
                <w:sz w:val="20"/>
              </w:rPr>
              <w:t xml:space="preserve">.</w:t>
            </w:r>
            <w:r>
              <w:rPr>
                <w:bCs/>
                <w:sz w:val="20"/>
              </w:rPr>
            </w:r>
          </w:p>
        </w:tc>
        <w:tc>
          <w:tcPr>
            <w:tcW w:w="2456" w:type="pct"/>
            <w:vAlign w:val="top"/>
            <w:textDirection w:val="lrTb"/>
            <w:noWrap w:val="false"/>
          </w:tcPr>
          <w:p>
            <w:pPr>
              <w:pStyle w:val="754"/>
              <w:tabs>
                <w:tab w:val="left" w:pos="709" w:leader="none"/>
              </w:tabs>
              <w:rPr>
                <w:bCs/>
                <w:sz w:val="20"/>
              </w:rPr>
            </w:pPr>
            <w:r>
              <w:rPr>
                <w:bCs/>
                <w:sz w:val="20"/>
              </w:rPr>
              <w:t xml:space="preserve">Ведение корреспондентского счета специального назначения для кредитной организации - участника закупок</w:t>
              <w:tab/>
            </w:r>
            <w:r>
              <w:rPr>
                <w:bCs/>
                <w:sz w:val="20"/>
              </w:rPr>
            </w:r>
          </w:p>
        </w:tc>
        <w:tc>
          <w:tcPr>
            <w:tcW w:w="983" w:type="pct"/>
            <w:vAlign w:val="top"/>
            <w:textDirection w:val="lrTb"/>
            <w:noWrap w:val="false"/>
          </w:tcPr>
          <w:p>
            <w:pPr>
              <w:pStyle w:val="754"/>
              <w:tabs>
                <w:tab w:val="left" w:pos="709" w:leader="none"/>
              </w:tabs>
              <w:rPr>
                <w:bCs/>
                <w:sz w:val="20"/>
              </w:rPr>
            </w:pPr>
            <w:r>
              <w:rPr>
                <w:bCs/>
                <w:sz w:val="20"/>
              </w:rPr>
              <w:t xml:space="preserve">Комиссия не взимается</w:t>
            </w:r>
            <w:r>
              <w:rPr>
                <w:bCs/>
                <w:sz w:val="20"/>
              </w:rPr>
            </w:r>
          </w:p>
        </w:tc>
        <w:tc>
          <w:tcPr>
            <w:tcW w:w="1122"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Cs/>
                <w:sz w:val="20"/>
              </w:rPr>
            </w:pPr>
            <w:r>
              <w:rPr>
                <w:bCs/>
                <w:sz w:val="20"/>
              </w:rPr>
              <w:t xml:space="preserve">1.4.</w:t>
            </w:r>
            <w:r>
              <w:rPr>
                <w:bCs/>
                <w:sz w:val="20"/>
              </w:rPr>
              <w:t xml:space="preserve">5</w:t>
            </w:r>
            <w:r>
              <w:rPr>
                <w:bCs/>
                <w:sz w:val="20"/>
              </w:rPr>
              <w:t xml:space="preserve">.</w:t>
            </w:r>
            <w:r>
              <w:rPr>
                <w:bCs/>
                <w:sz w:val="20"/>
              </w:rPr>
            </w:r>
          </w:p>
        </w:tc>
        <w:tc>
          <w:tcPr>
            <w:tcW w:w="2456" w:type="pct"/>
            <w:vAlign w:val="top"/>
            <w:textDirection w:val="lrTb"/>
            <w:noWrap w:val="false"/>
          </w:tcPr>
          <w:p>
            <w:pPr>
              <w:pStyle w:val="754"/>
              <w:tabs>
                <w:tab w:val="left" w:pos="709" w:leader="none"/>
              </w:tabs>
              <w:rPr>
                <w:bCs/>
                <w:sz w:val="20"/>
              </w:rPr>
            </w:pPr>
            <w:r>
              <w:rPr>
                <w:bCs/>
                <w:sz w:val="20"/>
              </w:rPr>
              <w:t xml:space="preserve">Ведение корреспондентского счета в драгоценных металлах</w:t>
            </w:r>
            <w:r>
              <w:rPr>
                <w:bCs/>
                <w:sz w:val="20"/>
              </w:rPr>
            </w:r>
          </w:p>
        </w:tc>
        <w:tc>
          <w:tcPr>
            <w:tcW w:w="983" w:type="pct"/>
            <w:vAlign w:val="top"/>
            <w:textDirection w:val="lrTb"/>
            <w:noWrap w:val="false"/>
          </w:tcPr>
          <w:p>
            <w:pPr>
              <w:pStyle w:val="754"/>
              <w:tabs>
                <w:tab w:val="left" w:pos="709" w:leader="none"/>
              </w:tabs>
              <w:rPr>
                <w:bCs/>
                <w:sz w:val="20"/>
              </w:rPr>
            </w:pPr>
            <w:r>
              <w:rPr>
                <w:bCs/>
                <w:sz w:val="20"/>
              </w:rPr>
              <w:t xml:space="preserve">Комиссия не взимается</w:t>
            </w:r>
            <w:r>
              <w:rPr>
                <w:bCs/>
                <w:sz w:val="20"/>
              </w:rPr>
            </w:r>
          </w:p>
        </w:tc>
        <w:tc>
          <w:tcPr>
            <w:tcW w:w="1122"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1.5.</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Закрытие корреспондентского счета</w:t>
            </w:r>
            <w:r>
              <w:rPr>
                <w:sz w:val="20"/>
              </w:rPr>
              <w:t xml:space="preserve"> </w:t>
            </w:r>
            <w:r>
              <w:rPr>
                <w:b/>
                <w:bCs/>
                <w:sz w:val="20"/>
              </w:rPr>
            </w:r>
            <w:r>
              <w:rPr>
                <w:b/>
                <w:bCs/>
                <w:sz w:val="20"/>
              </w:rPr>
            </w:r>
          </w:p>
        </w:tc>
        <w:tc>
          <w:tcPr>
            <w:tcW w:w="983"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22" w:type="pct"/>
            <w:vAlign w:val="top"/>
            <w:textDirection w:val="lrTb"/>
            <w:noWrap w:val="false"/>
          </w:tcPr>
          <w:p>
            <w:pPr>
              <w:pStyle w:val="754"/>
              <w:tabs>
                <w:tab w:val="left" w:pos="709" w:leader="none"/>
              </w:tabs>
              <w:rPr>
                <w:iCs/>
                <w:sz w:val="20"/>
              </w:rPr>
            </w:pPr>
            <w:r>
              <w:rPr>
                <w:iCs/>
                <w:sz w:val="20"/>
              </w:rPr>
              <w:t xml:space="preserve"> </w:t>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Cs/>
                <w:sz w:val="20"/>
              </w:rPr>
            </w:pPr>
            <w:r>
              <w:rPr>
                <w:bCs/>
                <w:sz w:val="20"/>
              </w:rPr>
              <w:t xml:space="preserve">1.5.1.</w:t>
            </w:r>
            <w:r>
              <w:rPr>
                <w:bCs/>
                <w:sz w:val="20"/>
              </w:rPr>
            </w:r>
          </w:p>
        </w:tc>
        <w:tc>
          <w:tcPr>
            <w:tcW w:w="2456" w:type="pct"/>
            <w:vAlign w:val="top"/>
            <w:textDirection w:val="lrTb"/>
            <w:noWrap w:val="false"/>
          </w:tcPr>
          <w:p>
            <w:pPr>
              <w:pStyle w:val="754"/>
              <w:tabs>
                <w:tab w:val="left" w:pos="709" w:leader="none"/>
              </w:tabs>
              <w:rPr>
                <w:bCs/>
                <w:sz w:val="20"/>
              </w:rPr>
            </w:pPr>
            <w:r>
              <w:rPr>
                <w:bCs/>
                <w:sz w:val="20"/>
              </w:rPr>
              <w:t xml:space="preserve">Закрытие корреспондентского счета специального назначения для кредитной организации - участника закупок</w:t>
              <w:tab/>
            </w:r>
            <w:r>
              <w:rPr>
                <w:bCs/>
                <w:sz w:val="20"/>
              </w:rPr>
            </w:r>
          </w:p>
        </w:tc>
        <w:tc>
          <w:tcPr>
            <w:tcW w:w="983"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22"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Cs/>
                <w:sz w:val="20"/>
              </w:rPr>
            </w:pPr>
            <w:r>
              <w:rPr>
                <w:bCs/>
                <w:sz w:val="20"/>
              </w:rPr>
              <w:t xml:space="preserve">1.5.2.</w:t>
            </w:r>
            <w:r>
              <w:rPr>
                <w:bCs/>
                <w:sz w:val="20"/>
              </w:rPr>
            </w:r>
          </w:p>
        </w:tc>
        <w:tc>
          <w:tcPr>
            <w:tcW w:w="2456" w:type="pct"/>
            <w:vAlign w:val="top"/>
            <w:textDirection w:val="lrTb"/>
            <w:noWrap w:val="false"/>
          </w:tcPr>
          <w:p>
            <w:pPr>
              <w:pStyle w:val="754"/>
              <w:tabs>
                <w:tab w:val="left" w:pos="709" w:leader="none"/>
              </w:tabs>
              <w:rPr>
                <w:bCs/>
                <w:sz w:val="20"/>
              </w:rPr>
            </w:pPr>
            <w:r>
              <w:rPr>
                <w:bCs/>
                <w:sz w:val="20"/>
              </w:rPr>
              <w:t xml:space="preserve">Закрытие корреспондентского счета в драгоценных металлах</w:t>
            </w:r>
            <w:r>
              <w:rPr>
                <w:bCs/>
                <w:sz w:val="20"/>
              </w:rPr>
            </w:r>
          </w:p>
        </w:tc>
        <w:tc>
          <w:tcPr>
            <w:tcW w:w="983"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22"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lang w:val="en-US"/>
              </w:rPr>
            </w:pPr>
            <w:r>
              <w:rPr>
                <w:b/>
                <w:bCs/>
                <w:sz w:val="20"/>
              </w:rPr>
              <w:t xml:space="preserve">1.6</w:t>
            </w:r>
            <w:r>
              <w:rPr>
                <w:b/>
                <w:bCs/>
                <w:sz w:val="20"/>
                <w:lang w:val="en-US"/>
              </w:rPr>
              <w:t xml:space="preserve">.</w:t>
            </w:r>
            <w:r>
              <w:rPr>
                <w:b/>
                <w:bCs/>
                <w:sz w:val="20"/>
                <w:lang w:val="en-US"/>
              </w:rPr>
            </w:r>
          </w:p>
        </w:tc>
        <w:tc>
          <w:tcPr>
            <w:tcW w:w="2456" w:type="pct"/>
            <w:vAlign w:val="top"/>
            <w:textDirection w:val="lrTb"/>
            <w:noWrap w:val="false"/>
          </w:tcPr>
          <w:p>
            <w:pPr>
              <w:pStyle w:val="754"/>
              <w:tabs>
                <w:tab w:val="left" w:pos="709" w:leader="none"/>
              </w:tabs>
              <w:rPr>
                <w:b/>
                <w:bCs/>
                <w:sz w:val="20"/>
              </w:rPr>
            </w:pPr>
            <w:r>
              <w:rPr>
                <w:b/>
                <w:bCs/>
                <w:sz w:val="20"/>
              </w:rPr>
              <w:t xml:space="preserve">Направление выписок, дебетовых и кредитовых авизо по системам SWIFT, TELEX, Системе передачи финансовых сообщений Банка России</w:t>
            </w:r>
            <w:r>
              <w:rPr>
                <w:b/>
                <w:bCs/>
                <w:sz w:val="20"/>
              </w:rPr>
            </w:r>
          </w:p>
        </w:tc>
        <w:tc>
          <w:tcPr>
            <w:tcW w:w="983"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22"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1.7.</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Направление выписок, дебетовых и кредитовых авизо по почте, по факсу и электронной почте по запросу респондента</w:t>
            </w:r>
            <w:r>
              <w:rPr>
                <w:b/>
                <w:bCs/>
                <w:sz w:val="20"/>
              </w:rPr>
            </w:r>
          </w:p>
        </w:tc>
        <w:tc>
          <w:tcPr>
            <w:tcW w:w="983" w:type="pct"/>
            <w:vAlign w:val="top"/>
            <w:textDirection w:val="lrTb"/>
            <w:noWrap w:val="false"/>
          </w:tcPr>
          <w:p>
            <w:pPr>
              <w:pStyle w:val="754"/>
              <w:tabs>
                <w:tab w:val="left" w:pos="709" w:leader="none"/>
              </w:tabs>
              <w:rPr>
                <w:sz w:val="20"/>
              </w:rPr>
            </w:pPr>
            <w:r>
              <w:rPr>
                <w:sz w:val="20"/>
              </w:rPr>
              <w:t xml:space="preserve">15 долларов</w:t>
            </w:r>
            <w:r>
              <w:rPr>
                <w:sz w:val="20"/>
              </w:rPr>
              <w:t xml:space="preserve"> США</w:t>
            </w:r>
            <w:r>
              <w:rPr>
                <w:sz w:val="20"/>
              </w:rPr>
              <w:t xml:space="preserve"> за каждый документ</w:t>
            </w:r>
            <w:r>
              <w:rPr>
                <w:sz w:val="20"/>
              </w:rPr>
            </w:r>
          </w:p>
        </w:tc>
        <w:tc>
          <w:tcPr>
            <w:tcW w:w="1122"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1.8.</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Направление дубликатов выписок, дебетовых и кредитовых авизо по запросу респондента</w:t>
            </w:r>
            <w:r>
              <w:rPr>
                <w:b/>
                <w:bCs/>
                <w:sz w:val="20"/>
              </w:rPr>
            </w:r>
          </w:p>
        </w:tc>
        <w:tc>
          <w:tcPr>
            <w:tcW w:w="983" w:type="pct"/>
            <w:vAlign w:val="top"/>
            <w:textDirection w:val="lrTb"/>
            <w:noWrap w:val="false"/>
          </w:tcPr>
          <w:p>
            <w:pPr>
              <w:pStyle w:val="754"/>
              <w:tabs>
                <w:tab w:val="left" w:pos="709" w:leader="none"/>
              </w:tabs>
              <w:rPr>
                <w:sz w:val="20"/>
              </w:rPr>
            </w:pPr>
            <w:r>
              <w:rPr>
                <w:sz w:val="20"/>
              </w:rPr>
              <w:t xml:space="preserve">50 долларов</w:t>
            </w:r>
            <w:r>
              <w:rPr>
                <w:sz w:val="20"/>
              </w:rPr>
              <w:t xml:space="preserve"> США</w:t>
            </w:r>
            <w:r>
              <w:rPr>
                <w:sz w:val="20"/>
              </w:rPr>
              <w:t xml:space="preserve"> за каждый документ</w:t>
            </w:r>
            <w:r>
              <w:rPr>
                <w:sz w:val="20"/>
              </w:rPr>
            </w:r>
          </w:p>
        </w:tc>
        <w:tc>
          <w:tcPr>
            <w:tcW w:w="1122" w:type="pct"/>
            <w:vAlign w:val="top"/>
            <w:textDirection w:val="lrTb"/>
            <w:noWrap w:val="false"/>
          </w:tcPr>
          <w:p>
            <w:pPr>
              <w:pStyle w:val="754"/>
              <w:tabs>
                <w:tab w:val="left" w:pos="709" w:leader="none"/>
              </w:tabs>
              <w:rPr>
                <w:iCs/>
                <w:sz w:val="20"/>
              </w:rPr>
            </w:pPr>
            <w:r>
              <w:rPr>
                <w:iCs/>
                <w:sz w:val="20"/>
              </w:rPr>
            </w:r>
            <w:r>
              <w:rPr>
                <w:iCs/>
                <w:sz w:val="20"/>
              </w:rPr>
            </w:r>
          </w:p>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1.9.</w:t>
            </w:r>
            <w:r>
              <w:rPr>
                <w:b/>
                <w:bCs/>
                <w:sz w:val="20"/>
              </w:rPr>
            </w:r>
          </w:p>
        </w:tc>
        <w:tc>
          <w:tcPr>
            <w:tcW w:w="2456" w:type="pct"/>
            <w:vAlign w:val="top"/>
            <w:textDirection w:val="lrTb"/>
            <w:noWrap w:val="false"/>
          </w:tcPr>
          <w:p>
            <w:pPr>
              <w:pStyle w:val="754"/>
              <w:tabs>
                <w:tab w:val="left" w:pos="709" w:leader="none"/>
              </w:tabs>
              <w:rPr>
                <w:sz w:val="20"/>
              </w:rPr>
            </w:pPr>
            <w:r>
              <w:rPr>
                <w:b/>
                <w:bCs/>
                <w:sz w:val="20"/>
              </w:rPr>
              <w:t xml:space="preserve">Начисление процентов</w:t>
            </w:r>
            <w:r>
              <w:rPr>
                <w:rStyle w:val="820"/>
                <w:b/>
                <w:bCs/>
                <w:sz w:val="20"/>
              </w:rPr>
              <w:footnoteReference w:id="2"/>
            </w:r>
            <w:r>
              <w:rPr>
                <w:sz w:val="20"/>
              </w:rPr>
              <w:t xml:space="preserve">:</w:t>
            </w:r>
            <w:r>
              <w:rPr>
                <w:sz w:val="20"/>
              </w:rPr>
            </w:r>
          </w:p>
        </w:tc>
        <w:tc>
          <w:tcPr>
            <w:tcW w:w="983" w:type="pct"/>
            <w:vAlign w:val="top"/>
            <w:vMerge w:val="restart"/>
            <w:textDirection w:val="lrTb"/>
            <w:noWrap w:val="false"/>
          </w:tcPr>
          <w:p>
            <w:pPr>
              <w:pStyle w:val="754"/>
              <w:tabs>
                <w:tab w:val="left" w:pos="709" w:leader="none"/>
              </w:tabs>
              <w:rPr>
                <w:sz w:val="20"/>
              </w:rPr>
            </w:pPr>
            <w:r>
              <w:rPr>
                <w:bCs/>
                <w:sz w:val="20"/>
              </w:rPr>
              <w:t xml:space="preserve">В соответствии с решением головного офиса Банка (уполномоченного органа либо уполномоченного лица в пределах установленных полномочий)</w:t>
            </w:r>
            <w:r>
              <w:rPr>
                <w:sz w:val="20"/>
              </w:rPr>
            </w:r>
            <w:r>
              <w:rPr>
                <w:sz w:val="20"/>
              </w:rPr>
            </w:r>
          </w:p>
        </w:tc>
        <w:tc>
          <w:tcPr>
            <w:tcW w:w="1122" w:type="pct"/>
            <w:vAlign w:val="top"/>
            <w:textDirection w:val="lrTb"/>
            <w:noWrap w:val="false"/>
          </w:tcPr>
          <w:p>
            <w:pPr>
              <w:pStyle w:val="754"/>
              <w:tabs>
                <w:tab w:val="left" w:pos="709" w:leader="none"/>
              </w:tabs>
              <w:rPr>
                <w:iCs/>
                <w:sz w:val="20"/>
              </w:rPr>
            </w:pPr>
            <w:r>
              <w:rPr>
                <w:sz w:val="20"/>
              </w:rPr>
              <w:t xml:space="preserve">по отдельному соглашению</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8"/>
              </w:numPr>
              <w:ind w:hanging="1036"/>
              <w:tabs>
                <w:tab w:val="num" w:pos="360" w:leader="none"/>
                <w:tab w:val="left" w:pos="709" w:leader="none"/>
              </w:tabs>
              <w:rPr>
                <w:bCs/>
                <w:sz w:val="20"/>
              </w:rPr>
            </w:pPr>
            <w:r>
              <w:rPr>
                <w:bCs/>
                <w:sz w:val="20"/>
              </w:rPr>
              <w:t xml:space="preserve">на кредитовый остаток</w:t>
            </w:r>
            <w:r>
              <w:rPr>
                <w:bCs/>
                <w:sz w:val="20"/>
              </w:rPr>
            </w:r>
          </w:p>
        </w:tc>
        <w:tc>
          <w:tcPr>
            <w:tcW w:w="983" w:type="pct"/>
            <w:vAlign w:val="top"/>
            <w:vMerge w:val="continue"/>
            <w:textDirection w:val="lrTb"/>
            <w:noWrap w:val="false"/>
          </w:tcPr>
          <w:p>
            <w:pPr>
              <w:pStyle w:val="754"/>
              <w:tabs>
                <w:tab w:val="left" w:pos="709" w:leader="none"/>
              </w:tabs>
              <w:rPr>
                <w:sz w:val="20"/>
              </w:rPr>
            </w:pPr>
            <w:r>
              <w:rPr>
                <w:sz w:val="20"/>
              </w:rPr>
            </w:r>
            <w:r>
              <w:rPr>
                <w:sz w:val="20"/>
              </w:rPr>
            </w:r>
          </w:p>
        </w:tc>
        <w:tc>
          <w:tcPr>
            <w:tcW w:w="1122" w:type="pct"/>
            <w:vAlign w:val="top"/>
            <w:textDirection w:val="lrTb"/>
            <w:noWrap w:val="false"/>
          </w:tcPr>
          <w:p>
            <w:pPr>
              <w:pStyle w:val="754"/>
              <w:tabs>
                <w:tab w:val="left" w:pos="709" w:leader="none"/>
              </w:tabs>
              <w:rPr>
                <w:sz w:val="20"/>
              </w:rPr>
            </w:pPr>
            <w:r>
              <w:rPr>
                <w:sz w:val="20"/>
              </w:rPr>
              <w:t xml:space="preserve">по отдельному соглашению</w:t>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8"/>
              </w:numPr>
              <w:ind w:hanging="1036"/>
              <w:tabs>
                <w:tab w:val="num" w:pos="360" w:leader="none"/>
                <w:tab w:val="left" w:pos="709" w:leader="none"/>
              </w:tabs>
              <w:rPr>
                <w:bCs/>
                <w:sz w:val="20"/>
              </w:rPr>
            </w:pPr>
            <w:r>
              <w:rPr>
                <w:bCs/>
                <w:sz w:val="20"/>
              </w:rPr>
              <w:t xml:space="preserve">за овердрафт</w:t>
            </w:r>
            <w:r>
              <w:rPr>
                <w:bCs/>
                <w:sz w:val="20"/>
              </w:rPr>
            </w:r>
          </w:p>
        </w:tc>
        <w:tc>
          <w:tcPr>
            <w:tcW w:w="983" w:type="pct"/>
            <w:vAlign w:val="top"/>
            <w:vMerge w:val="continue"/>
            <w:textDirection w:val="lrTb"/>
            <w:noWrap w:val="false"/>
          </w:tcPr>
          <w:p>
            <w:pPr>
              <w:pStyle w:val="754"/>
              <w:tabs>
                <w:tab w:val="left" w:pos="709" w:leader="none"/>
              </w:tabs>
              <w:rPr>
                <w:sz w:val="20"/>
              </w:rPr>
            </w:pPr>
            <w:r>
              <w:rPr>
                <w:sz w:val="20"/>
              </w:rPr>
            </w:r>
            <w:r>
              <w:rPr>
                <w:sz w:val="20"/>
              </w:rPr>
            </w:r>
          </w:p>
        </w:tc>
        <w:tc>
          <w:tcPr>
            <w:tcW w:w="1122" w:type="pct"/>
            <w:vAlign w:val="top"/>
            <w:textDirection w:val="lrTb"/>
            <w:noWrap w:val="false"/>
          </w:tcPr>
          <w:p>
            <w:pPr>
              <w:pStyle w:val="754"/>
              <w:tabs>
                <w:tab w:val="left" w:pos="709" w:leader="none"/>
              </w:tabs>
              <w:rPr>
                <w:sz w:val="20"/>
              </w:rPr>
            </w:pPr>
            <w:r>
              <w:rPr>
                <w:sz w:val="20"/>
              </w:rPr>
              <w:t xml:space="preserve">по отдельному соглашению</w:t>
            </w:r>
            <w:r>
              <w:rPr>
                <w:sz w:val="20"/>
              </w:rPr>
            </w:r>
          </w:p>
        </w:tc>
      </w:tr>
    </w:tbl>
    <w:p>
      <w:pPr>
        <w:pStyle w:val="754"/>
        <w:rPr>
          <w:sz w:val="20"/>
          <w:szCs w:val="20"/>
        </w:rPr>
      </w:pPr>
      <w:r>
        <w:rPr>
          <w:sz w:val="20"/>
          <w:szCs w:val="20"/>
        </w:rPr>
      </w:r>
      <w:r>
        <w:rPr>
          <w:sz w:val="20"/>
          <w:szCs w:val="20"/>
        </w:rPr>
      </w:r>
    </w:p>
    <w:p>
      <w:pPr>
        <w:pStyle w:val="754"/>
        <w:rPr>
          <w:sz w:val="20"/>
          <w:szCs w:val="20"/>
        </w:rPr>
      </w:pPr>
      <w:r>
        <w:rPr>
          <w:sz w:val="20"/>
          <w:szCs w:val="20"/>
        </w:rPr>
      </w:r>
      <w:r>
        <w:rPr>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89"/>
        <w:gridCol w:w="4968"/>
        <w:gridCol w:w="2031"/>
        <w:gridCol w:w="2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5000" w:type="pct"/>
            <w:vAlign w:val="center"/>
            <w:textDirection w:val="lrTb"/>
            <w:noWrap w:val="false"/>
          </w:tcPr>
          <w:p>
            <w:pPr>
              <w:pStyle w:val="754"/>
              <w:jc w:val="center"/>
              <w:tabs>
                <w:tab w:val="left" w:pos="709" w:leader="none"/>
              </w:tabs>
              <w:rPr>
                <w:b/>
                <w:bCs/>
              </w:rPr>
            </w:pPr>
            <w:r>
              <w:rPr>
                <w:b/>
                <w:bCs/>
              </w:rPr>
              <w:t xml:space="preserve">2. </w:t>
            </w:r>
            <w:r>
              <w:rPr>
                <w:b/>
                <w:bCs/>
              </w:rPr>
              <w:t xml:space="preserve">Расчетное обслуживание (для респондентов)</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center"/>
            <w:textDirection w:val="lrTb"/>
            <w:noWrap w:val="false"/>
          </w:tcPr>
          <w:p>
            <w:pPr>
              <w:pStyle w:val="754"/>
              <w:tabs>
                <w:tab w:val="left" w:pos="709" w:leader="none"/>
              </w:tabs>
              <w:rPr>
                <w:iCs/>
                <w:sz w:val="20"/>
              </w:rPr>
            </w:pPr>
            <w:r>
              <w:rPr>
                <w:iCs/>
                <w:sz w:val="20"/>
              </w:rPr>
              <w:t xml:space="preserve">№ п/п</w:t>
            </w:r>
            <w:r>
              <w:rPr>
                <w:iCs/>
                <w:sz w:val="20"/>
              </w:rPr>
            </w:r>
          </w:p>
        </w:tc>
        <w:tc>
          <w:tcPr>
            <w:tcW w:w="2456" w:type="pct"/>
            <w:vAlign w:val="center"/>
            <w:textDirection w:val="lrTb"/>
            <w:noWrap w:val="false"/>
          </w:tcPr>
          <w:p>
            <w:pPr>
              <w:pStyle w:val="754"/>
              <w:tabs>
                <w:tab w:val="left" w:pos="709" w:leader="none"/>
              </w:tabs>
              <w:rPr>
                <w:iCs/>
                <w:sz w:val="20"/>
              </w:rPr>
            </w:pPr>
            <w:r>
              <w:rPr>
                <w:iCs/>
                <w:sz w:val="20"/>
              </w:rPr>
              <w:t xml:space="preserve">Наименование услуги</w:t>
            </w:r>
            <w:r>
              <w:rPr>
                <w:iCs/>
                <w:sz w:val="20"/>
              </w:rPr>
            </w:r>
          </w:p>
        </w:tc>
        <w:tc>
          <w:tcPr>
            <w:tcW w:w="1004" w:type="pct"/>
            <w:vAlign w:val="center"/>
            <w:textDirection w:val="lrTb"/>
            <w:noWrap w:val="false"/>
          </w:tcPr>
          <w:p>
            <w:pPr>
              <w:pStyle w:val="754"/>
              <w:tabs>
                <w:tab w:val="left" w:pos="709" w:leader="none"/>
              </w:tabs>
              <w:rPr>
                <w:iCs/>
                <w:sz w:val="20"/>
              </w:rPr>
            </w:pPr>
            <w:r>
              <w:rPr>
                <w:iCs/>
                <w:sz w:val="20"/>
              </w:rPr>
              <w:t xml:space="preserve">Тариф</w:t>
            </w:r>
            <w:r>
              <w:rPr>
                <w:iCs/>
                <w:sz w:val="20"/>
              </w:rPr>
            </w:r>
          </w:p>
        </w:tc>
        <w:tc>
          <w:tcPr>
            <w:tcW w:w="1101" w:type="pct"/>
            <w:vAlign w:val="center"/>
            <w:textDirection w:val="lrTb"/>
            <w:noWrap w:val="false"/>
          </w:tcPr>
          <w:p>
            <w:pPr>
              <w:pStyle w:val="754"/>
              <w:tabs>
                <w:tab w:val="left" w:pos="709" w:leader="none"/>
              </w:tabs>
              <w:rPr>
                <w:iCs/>
                <w:sz w:val="20"/>
              </w:rPr>
            </w:pPr>
            <w:r>
              <w:rPr>
                <w:iCs/>
                <w:sz w:val="20"/>
              </w:rPr>
              <w:t xml:space="preserve">Примечание</w:t>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2.1.</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Переводы в валюте Российской Федерации: </w:t>
            </w:r>
            <w:r>
              <w:rPr>
                <w:b/>
                <w:bCs/>
                <w:sz w:val="20"/>
              </w:rPr>
            </w:r>
          </w:p>
        </w:tc>
        <w:tc>
          <w:tcPr>
            <w:tcW w:w="1004" w:type="pct"/>
            <w:vAlign w:val="top"/>
            <w:textDirection w:val="lrTb"/>
            <w:noWrap w:val="false"/>
          </w:tcPr>
          <w:p>
            <w:pPr>
              <w:pStyle w:val="754"/>
              <w:tabs>
                <w:tab w:val="left" w:pos="709" w:leader="none"/>
              </w:tabs>
              <w:rPr>
                <w:iCs/>
                <w:sz w:val="20"/>
              </w:rPr>
            </w:pPr>
            <w:r>
              <w:rPr>
                <w:iCs/>
                <w:sz w:val="20"/>
              </w:rPr>
            </w:r>
            <w:r>
              <w:rPr>
                <w:iCs/>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2.1.1.</w:t>
            </w:r>
            <w:r>
              <w:rPr>
                <w:sz w:val="20"/>
              </w:rPr>
            </w:r>
          </w:p>
        </w:tc>
        <w:tc>
          <w:tcPr>
            <w:tcW w:w="2456" w:type="pct"/>
            <w:vAlign w:val="top"/>
            <w:textDirection w:val="lrTb"/>
            <w:noWrap w:val="false"/>
          </w:tcPr>
          <w:p>
            <w:pPr>
              <w:pStyle w:val="754"/>
              <w:tabs>
                <w:tab w:val="left" w:pos="709" w:leader="none"/>
              </w:tabs>
              <w:rPr>
                <w:sz w:val="20"/>
              </w:rPr>
            </w:pPr>
            <w:r>
              <w:rPr>
                <w:sz w:val="20"/>
              </w:rPr>
              <w:t xml:space="preserve">Зачисление средств на корреспондентский счет</w:t>
            </w:r>
            <w:r>
              <w:rPr>
                <w:sz w:val="20"/>
              </w:rPr>
            </w:r>
          </w:p>
        </w:tc>
        <w:tc>
          <w:tcPr>
            <w:tcW w:w="1004"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2.1.2.</w:t>
            </w:r>
            <w:r>
              <w:rPr>
                <w:sz w:val="20"/>
              </w:rPr>
            </w:r>
          </w:p>
        </w:tc>
        <w:tc>
          <w:tcPr>
            <w:tcW w:w="2456" w:type="pct"/>
            <w:vAlign w:val="top"/>
            <w:textDirection w:val="lrTb"/>
            <w:noWrap w:val="false"/>
          </w:tcPr>
          <w:p>
            <w:pPr>
              <w:pStyle w:val="754"/>
              <w:tabs>
                <w:tab w:val="left" w:pos="709" w:leader="none"/>
              </w:tabs>
              <w:rPr>
                <w:sz w:val="20"/>
              </w:rPr>
            </w:pPr>
            <w:r>
              <w:rPr>
                <w:sz w:val="20"/>
              </w:rPr>
              <w:t xml:space="preserve">Списание средств с корреспондентского счета:</w:t>
            </w:r>
            <w:r>
              <w:rPr>
                <w:sz w:val="20"/>
              </w:rPr>
            </w:r>
          </w:p>
        </w:tc>
        <w:tc>
          <w:tcPr>
            <w:tcW w:w="1004" w:type="pct"/>
            <w:vAlign w:val="top"/>
            <w:textDirection w:val="lrTb"/>
            <w:noWrap w:val="false"/>
          </w:tcPr>
          <w:p>
            <w:pPr>
              <w:pStyle w:val="754"/>
              <w:tabs>
                <w:tab w:val="left" w:pos="709" w:leader="none"/>
              </w:tabs>
              <w:rPr>
                <w:iCs/>
                <w:sz w:val="20"/>
              </w:rPr>
            </w:pPr>
            <w:r>
              <w:rPr>
                <w:iCs/>
                <w:sz w:val="20"/>
              </w:rPr>
            </w:r>
            <w:r>
              <w:rPr>
                <w:iCs/>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restart"/>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tabs>
                <w:tab w:val="num" w:pos="224" w:leader="none"/>
                <w:tab w:val="left" w:pos="709" w:leader="none"/>
              </w:tabs>
              <w:rPr>
                <w:sz w:val="20"/>
              </w:rPr>
            </w:pPr>
            <w:r>
              <w:rPr>
                <w:sz w:val="20"/>
              </w:rPr>
              <w:t xml:space="preserve">переводы внутри Банка</w:t>
            </w:r>
            <w:r>
              <w:rPr>
                <w:sz w:val="20"/>
              </w:rPr>
            </w:r>
          </w:p>
        </w:tc>
        <w:tc>
          <w:tcPr>
            <w:tcW w:w="1004" w:type="pct"/>
            <w:vAlign w:val="top"/>
            <w:textDirection w:val="lrTb"/>
            <w:noWrap w:val="false"/>
          </w:tcPr>
          <w:p>
            <w:pPr>
              <w:pStyle w:val="754"/>
              <w:tabs>
                <w:tab w:val="left" w:pos="709" w:leader="none"/>
              </w:tabs>
              <w:rPr>
                <w:iCs/>
                <w:sz w:val="20"/>
              </w:rPr>
            </w:pPr>
            <w:r>
              <w:rPr>
                <w:sz w:val="20"/>
              </w:rPr>
              <w:t xml:space="preserve">Комиссия не взимается</w:t>
            </w:r>
            <w:r>
              <w:rPr>
                <w:iCs/>
                <w:sz w:val="20"/>
              </w:rPr>
            </w:r>
            <w:r>
              <w:rPr>
                <w:iCs/>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tabs>
                <w:tab w:val="num" w:pos="224" w:leader="none"/>
                <w:tab w:val="left" w:pos="709" w:leader="none"/>
              </w:tabs>
              <w:rPr>
                <w:sz w:val="20"/>
              </w:rPr>
            </w:pPr>
            <w:r>
              <w:rPr>
                <w:sz w:val="20"/>
              </w:rPr>
              <w:t xml:space="preserve">переводы через платежную систему Банка России:</w:t>
            </w:r>
            <w:r>
              <w:rPr>
                <w:sz w:val="20"/>
              </w:rPr>
            </w:r>
          </w:p>
        </w:tc>
        <w:tc>
          <w:tcPr>
            <w:tcW w:w="1004" w:type="pct"/>
            <w:vAlign w:val="top"/>
            <w:textDirection w:val="lrTb"/>
            <w:noWrap w:val="false"/>
          </w:tcPr>
          <w:p>
            <w:pPr>
              <w:pStyle w:val="754"/>
              <w:tabs>
                <w:tab w:val="left" w:pos="709" w:leader="none"/>
              </w:tabs>
              <w:rPr>
                <w:iCs/>
                <w:sz w:val="20"/>
              </w:rPr>
            </w:pPr>
            <w:r>
              <w:rPr>
                <w:iCs/>
                <w:sz w:val="20"/>
              </w:rPr>
            </w:r>
            <w:r>
              <w:rPr>
                <w:iCs/>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tabs>
                <w:tab w:val="left" w:pos="709" w:leader="none"/>
              </w:tabs>
              <w:rPr>
                <w:sz w:val="20"/>
              </w:rPr>
            </w:pPr>
            <w:r>
              <w:rPr>
                <w:sz w:val="20"/>
              </w:rPr>
              <w:t xml:space="preserve">- переводы с использованием сервиса несрочного перевода Банка России по распоряжениям, принятым до установленного времени, указанного в договоре</w:t>
            </w:r>
            <w:r>
              <w:rPr>
                <w:sz w:val="20"/>
              </w:rPr>
            </w:r>
          </w:p>
        </w:tc>
        <w:tc>
          <w:tcPr>
            <w:tcW w:w="1004" w:type="pct"/>
            <w:vAlign w:val="top"/>
            <w:textDirection w:val="lrTb"/>
            <w:noWrap w:val="false"/>
          </w:tcPr>
          <w:p>
            <w:pPr>
              <w:pStyle w:val="754"/>
              <w:tabs>
                <w:tab w:val="left" w:pos="709" w:leader="none"/>
              </w:tabs>
              <w:rPr>
                <w:sz w:val="20"/>
              </w:rPr>
            </w:pPr>
            <w:r>
              <w:rPr>
                <w:sz w:val="20"/>
              </w:rPr>
              <w:t xml:space="preserve">23 рубля за одно платежное поручение</w:t>
            </w:r>
            <w:r>
              <w:rPr>
                <w:sz w:val="20"/>
              </w:rPr>
            </w:r>
          </w:p>
        </w:tc>
        <w:tc>
          <w:tcPr>
            <w:tcW w:w="1101" w:type="pct"/>
            <w:vAlign w:val="center"/>
            <w:vMerge w:val="restart"/>
            <w:textDirection w:val="lrTb"/>
            <w:noWrap w:val="false"/>
          </w:tcPr>
          <w:p>
            <w:pPr>
              <w:pStyle w:val="754"/>
              <w:tabs>
                <w:tab w:val="left" w:pos="709" w:leader="none"/>
              </w:tabs>
              <w:rPr>
                <w:iCs/>
                <w:sz w:val="20"/>
              </w:rPr>
            </w:pPr>
            <w:r>
              <w:rPr>
                <w:iCs/>
                <w:sz w:val="20"/>
              </w:rPr>
              <w:t xml:space="preserve">Тариф ЦБ РФ за телеграфный перевод оплачивается дополнительно</w:t>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tabs>
                <w:tab w:val="left" w:pos="709" w:leader="none"/>
              </w:tabs>
              <w:rPr>
                <w:sz w:val="20"/>
              </w:rPr>
            </w:pPr>
            <w:r>
              <w:rPr>
                <w:sz w:val="20"/>
              </w:rPr>
              <w:t xml:space="preserve">- переводы с использованием сервиса срочного перевода Банка России по распоряжениям, принятым до установленного времени, указанного в договоре</w:t>
            </w:r>
            <w:r>
              <w:rPr>
                <w:sz w:val="20"/>
              </w:rPr>
            </w:r>
          </w:p>
        </w:tc>
        <w:tc>
          <w:tcPr>
            <w:tcW w:w="1004" w:type="pct"/>
            <w:vAlign w:val="top"/>
            <w:textDirection w:val="lrTb"/>
            <w:noWrap w:val="false"/>
          </w:tcPr>
          <w:p>
            <w:pPr>
              <w:pStyle w:val="754"/>
              <w:tabs>
                <w:tab w:val="left" w:pos="709" w:leader="none"/>
              </w:tabs>
              <w:rPr>
                <w:sz w:val="20"/>
              </w:rPr>
            </w:pPr>
            <w:r>
              <w:rPr>
                <w:sz w:val="20"/>
              </w:rPr>
              <w:t xml:space="preserve">30 рублей </w:t>
              <w:br w:type="textWrapping" w:clear="all"/>
              <w:t xml:space="preserve">за одно платежное поручение</w:t>
            </w:r>
            <w:r>
              <w:rPr>
                <w:sz w:val="20"/>
              </w:rPr>
            </w:r>
          </w:p>
        </w:tc>
        <w:tc>
          <w:tcPr>
            <w:tcW w:w="1101" w:type="pct"/>
            <w:vAlign w:val="top"/>
            <w:vMerge w:val="continue"/>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tabs>
                <w:tab w:val="left" w:pos="709" w:leader="none"/>
              </w:tabs>
              <w:rPr>
                <w:sz w:val="20"/>
              </w:rPr>
            </w:pPr>
            <w:r>
              <w:rPr>
                <w:sz w:val="20"/>
              </w:rPr>
              <w:t xml:space="preserve">- переводы по распоряжениям, принятым после установленного времени, указанного в договоре (при наличии возможности)</w:t>
            </w:r>
            <w:r>
              <w:rPr>
                <w:sz w:val="20"/>
              </w:rPr>
            </w:r>
          </w:p>
        </w:tc>
        <w:tc>
          <w:tcPr>
            <w:tcW w:w="1004" w:type="pct"/>
            <w:vAlign w:val="top"/>
            <w:textDirection w:val="lrTb"/>
            <w:noWrap w:val="false"/>
          </w:tcPr>
          <w:p>
            <w:pPr>
              <w:pStyle w:val="754"/>
              <w:tabs>
                <w:tab w:val="left" w:pos="709" w:leader="none"/>
              </w:tabs>
              <w:rPr>
                <w:sz w:val="20"/>
              </w:rPr>
            </w:pPr>
            <w:r>
              <w:rPr>
                <w:sz w:val="20"/>
              </w:rPr>
              <w:t xml:space="preserve">300 рублей </w:t>
              <w:br w:type="textWrapping" w:clear="all"/>
              <w:t xml:space="preserve">за одно платежное поручение</w:t>
            </w:r>
            <w:r>
              <w:rPr>
                <w:sz w:val="20"/>
              </w:rPr>
            </w:r>
          </w:p>
        </w:tc>
        <w:tc>
          <w:tcPr>
            <w:tcW w:w="1101" w:type="pct"/>
            <w:vAlign w:val="top"/>
            <w:vMerge w:val="continue"/>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2.1.3.</w:t>
            </w:r>
            <w:r>
              <w:rPr>
                <w:sz w:val="20"/>
              </w:rPr>
            </w:r>
          </w:p>
        </w:tc>
        <w:tc>
          <w:tcPr>
            <w:tcW w:w="2456" w:type="pct"/>
            <w:vAlign w:val="top"/>
            <w:textDirection w:val="lrTb"/>
            <w:noWrap w:val="false"/>
          </w:tcPr>
          <w:p>
            <w:pPr>
              <w:pStyle w:val="754"/>
              <w:tabs>
                <w:tab w:val="left" w:pos="709" w:leader="none"/>
              </w:tabs>
              <w:rPr>
                <w:sz w:val="20"/>
              </w:rPr>
            </w:pPr>
            <w:r>
              <w:rPr>
                <w:sz w:val="20"/>
              </w:rPr>
              <w:t xml:space="preserve">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r>
              <w:rPr>
                <w:sz w:val="20"/>
              </w:rPr>
            </w:r>
          </w:p>
        </w:tc>
        <w:tc>
          <w:tcPr>
            <w:tcW w:w="1004" w:type="pct"/>
            <w:vAlign w:val="top"/>
            <w:textDirection w:val="lrTb"/>
            <w:noWrap w:val="false"/>
          </w:tcPr>
          <w:p>
            <w:pPr>
              <w:pStyle w:val="754"/>
              <w:tabs>
                <w:tab w:val="left" w:pos="709" w:leader="none"/>
              </w:tabs>
              <w:rPr>
                <w:sz w:val="20"/>
              </w:rPr>
            </w:pPr>
            <w:r>
              <w:rPr>
                <w:sz w:val="20"/>
              </w:rPr>
              <w:t xml:space="preserve">500 рублей </w:t>
              <w:br w:type="textWrapping" w:clear="all"/>
              <w:t xml:space="preserve">за каждый перевод</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2.2.</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Переводы в иностранной валюте:</w:t>
            </w:r>
            <w:r>
              <w:rPr>
                <w:b/>
                <w:bCs/>
                <w:sz w:val="20"/>
              </w:rPr>
            </w:r>
          </w:p>
        </w:tc>
        <w:tc>
          <w:tcPr>
            <w:tcW w:w="1004" w:type="pct"/>
            <w:vAlign w:val="top"/>
            <w:textDirection w:val="lrTb"/>
            <w:noWrap w:val="false"/>
          </w:tcPr>
          <w:p>
            <w:pPr>
              <w:pStyle w:val="754"/>
              <w:tabs>
                <w:tab w:val="left" w:pos="709" w:leader="none"/>
              </w:tabs>
              <w:rPr>
                <w:iCs/>
                <w:sz w:val="20"/>
              </w:rPr>
            </w:pPr>
            <w:r>
              <w:rPr>
                <w:iCs/>
                <w:sz w:val="20"/>
              </w:rPr>
            </w:r>
            <w:r>
              <w:rPr>
                <w:iCs/>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2.2.1.</w:t>
            </w:r>
            <w:r>
              <w:rPr>
                <w:sz w:val="20"/>
              </w:rPr>
            </w:r>
          </w:p>
        </w:tc>
        <w:tc>
          <w:tcPr>
            <w:tcW w:w="2456" w:type="pct"/>
            <w:vAlign w:val="top"/>
            <w:textDirection w:val="lrTb"/>
            <w:noWrap w:val="false"/>
          </w:tcPr>
          <w:p>
            <w:pPr>
              <w:pStyle w:val="754"/>
              <w:tabs>
                <w:tab w:val="left" w:pos="709" w:leader="none"/>
              </w:tabs>
              <w:rPr>
                <w:sz w:val="20"/>
              </w:rPr>
            </w:pPr>
            <w:r>
              <w:rPr>
                <w:sz w:val="20"/>
              </w:rPr>
              <w:t xml:space="preserve">Зачисление средств на корреспондентский счет</w:t>
            </w:r>
            <w:r>
              <w:rPr>
                <w:sz w:val="20"/>
              </w:rPr>
            </w:r>
          </w:p>
        </w:tc>
        <w:tc>
          <w:tcPr>
            <w:tcW w:w="1004"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2.2.2.</w:t>
            </w:r>
            <w:r>
              <w:rPr>
                <w:sz w:val="20"/>
              </w:rPr>
            </w:r>
          </w:p>
        </w:tc>
        <w:tc>
          <w:tcPr>
            <w:tcW w:w="2456" w:type="pct"/>
            <w:vAlign w:val="top"/>
            <w:textDirection w:val="lrTb"/>
            <w:noWrap w:val="false"/>
          </w:tcPr>
          <w:p>
            <w:pPr>
              <w:pStyle w:val="754"/>
              <w:tabs>
                <w:tab w:val="left" w:pos="709" w:leader="none"/>
              </w:tabs>
              <w:rPr>
                <w:sz w:val="20"/>
              </w:rPr>
            </w:pPr>
            <w:r>
              <w:rPr>
                <w:sz w:val="20"/>
              </w:rPr>
              <w:t xml:space="preserve">Списание средств с корреспондентского счета:</w:t>
            </w:r>
            <w:r>
              <w:rPr>
                <w:sz w:val="20"/>
              </w:rPr>
            </w:r>
          </w:p>
        </w:tc>
        <w:tc>
          <w:tcPr>
            <w:tcW w:w="1004" w:type="pct"/>
            <w:vAlign w:val="top"/>
            <w:textDirection w:val="lrTb"/>
            <w:noWrap w:val="false"/>
          </w:tcPr>
          <w:p>
            <w:pPr>
              <w:pStyle w:val="754"/>
              <w:tabs>
                <w:tab w:val="left" w:pos="709" w:leader="none"/>
              </w:tabs>
              <w:rPr>
                <w:iCs/>
                <w:sz w:val="20"/>
              </w:rPr>
            </w:pPr>
            <w:r>
              <w:rPr>
                <w:iCs/>
                <w:sz w:val="20"/>
              </w:rPr>
            </w:r>
            <w:r>
              <w:rPr>
                <w:iCs/>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restart"/>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jc w:val="both"/>
              <w:tabs>
                <w:tab w:val="num" w:pos="224" w:leader="none"/>
                <w:tab w:val="left" w:pos="709" w:leader="none"/>
              </w:tabs>
              <w:rPr>
                <w:sz w:val="20"/>
              </w:rPr>
            </w:pPr>
            <w:r>
              <w:rPr>
                <w:sz w:val="20"/>
              </w:rPr>
              <w:t xml:space="preserve">Переводы в пользу бенефициара-клиента Банка</w:t>
            </w:r>
            <w:r>
              <w:rPr>
                <w:sz w:val="20"/>
              </w:rPr>
            </w:r>
          </w:p>
        </w:tc>
        <w:tc>
          <w:tcPr>
            <w:tcW w:w="1004"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jc w:val="both"/>
              <w:tabs>
                <w:tab w:val="num" w:pos="224" w:leader="none"/>
                <w:tab w:val="left" w:pos="709" w:leader="none"/>
              </w:tabs>
              <w:rPr>
                <w:sz w:val="20"/>
              </w:rPr>
            </w:pPr>
            <w:r>
              <w:rPr>
                <w:sz w:val="20"/>
              </w:rPr>
              <w:t xml:space="preserve">Переводы с использованием корреспондентской сети ЛОРО АО «Россельхозбанк»</w:t>
            </w:r>
            <w:r>
              <w:rPr>
                <w:sz w:val="20"/>
              </w:rPr>
            </w:r>
          </w:p>
        </w:tc>
        <w:tc>
          <w:tcPr>
            <w:tcW w:w="1004"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jc w:val="both"/>
              <w:tabs>
                <w:tab w:val="num" w:pos="224" w:leader="none"/>
                <w:tab w:val="left" w:pos="709" w:leader="none"/>
              </w:tabs>
              <w:rPr>
                <w:b/>
                <w:bCs/>
                <w:sz w:val="20"/>
              </w:rPr>
            </w:pPr>
            <w:r>
              <w:rPr>
                <w:sz w:val="20"/>
              </w:rPr>
              <w:t xml:space="preserve">Переводы в пользу бенефициара-клиента другого банка с использованием счетов НОСТРО </w:t>
            </w:r>
            <w:r>
              <w:rPr>
                <w:sz w:val="20"/>
              </w:rPr>
              <w:br w:type="textWrapping" w:clear="all"/>
            </w:r>
            <w:r>
              <w:rPr>
                <w:sz w:val="20"/>
              </w:rPr>
              <w:t xml:space="preserve">АО «Россельхозбанк»:</w:t>
            </w:r>
            <w:r>
              <w:rPr>
                <w:b/>
                <w:bCs/>
                <w:sz w:val="20"/>
              </w:rPr>
            </w:r>
            <w:r>
              <w:rPr>
                <w:b/>
                <w:bCs/>
                <w:sz w:val="20"/>
              </w:rPr>
            </w:r>
          </w:p>
        </w:tc>
        <w:tc>
          <w:tcPr>
            <w:tcW w:w="1004" w:type="pct"/>
            <w:vAlign w:val="top"/>
            <w:textDirection w:val="lrTb"/>
            <w:noWrap w:val="false"/>
          </w:tcPr>
          <w:p>
            <w:pPr>
              <w:pStyle w:val="754"/>
              <w:tabs>
                <w:tab w:val="left" w:pos="709" w:leader="none"/>
              </w:tabs>
              <w:rPr>
                <w:iCs/>
                <w:sz w:val="20"/>
              </w:rPr>
            </w:pPr>
            <w:r>
              <w:rPr>
                <w:iCs/>
                <w:sz w:val="20"/>
              </w:rPr>
            </w:r>
            <w:r>
              <w:rPr>
                <w:iCs/>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tabs>
                <w:tab w:val="left" w:pos="709" w:leader="none"/>
              </w:tabs>
              <w:rPr>
                <w:sz w:val="20"/>
              </w:rPr>
            </w:pPr>
            <w:r>
              <w:rPr>
                <w:sz w:val="20"/>
              </w:rPr>
              <w:t xml:space="preserve">«BEN» - все расходы относятся на счет бенефициара</w:t>
            </w:r>
            <w:r>
              <w:rPr>
                <w:sz w:val="20"/>
              </w:rPr>
            </w:r>
          </w:p>
        </w:tc>
        <w:tc>
          <w:tcPr>
            <w:tcW w:w="1004" w:type="pct"/>
            <w:vAlign w:val="top"/>
            <w:textDirection w:val="lrTb"/>
            <w:noWrap w:val="false"/>
          </w:tcPr>
          <w:p>
            <w:pPr>
              <w:pStyle w:val="754"/>
              <w:tabs>
                <w:tab w:val="left" w:pos="709" w:leader="none"/>
              </w:tabs>
              <w:rPr>
                <w:sz w:val="20"/>
              </w:rPr>
            </w:pPr>
            <w:r>
              <w:rPr>
                <w:sz w:val="20"/>
              </w:rPr>
              <w:t xml:space="preserve">12 долларов США</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tabs>
                <w:tab w:val="left" w:pos="709" w:leader="none"/>
              </w:tabs>
              <w:rPr>
                <w:sz w:val="20"/>
              </w:rPr>
            </w:pPr>
            <w:r>
              <w:rPr>
                <w:sz w:val="20"/>
              </w:rPr>
              <w:t xml:space="preserve">«OUR» - все расходы относятся на счет отправителя</w:t>
            </w:r>
            <w:r>
              <w:rPr>
                <w:sz w:val="20"/>
              </w:rPr>
            </w:r>
          </w:p>
        </w:tc>
        <w:tc>
          <w:tcPr>
            <w:tcW w:w="1004" w:type="pct"/>
            <w:vAlign w:val="top"/>
            <w:textDirection w:val="lrTb"/>
            <w:noWrap w:val="false"/>
          </w:tcPr>
          <w:p>
            <w:pPr>
              <w:pStyle w:val="754"/>
              <w:tabs>
                <w:tab w:val="left" w:pos="709" w:leader="none"/>
              </w:tabs>
              <w:rPr>
                <w:sz w:val="20"/>
              </w:rPr>
            </w:pPr>
            <w:r>
              <w:rPr>
                <w:sz w:val="20"/>
              </w:rPr>
              <w:t xml:space="preserve">12 долларов США</w:t>
            </w:r>
            <w:r>
              <w:rPr>
                <w:sz w:val="20"/>
              </w:rPr>
            </w:r>
          </w:p>
        </w:tc>
        <w:tc>
          <w:tcPr>
            <w:tcW w:w="1101" w:type="pct"/>
            <w:vAlign w:val="top"/>
            <w:textDirection w:val="lrTb"/>
            <w:noWrap w:val="false"/>
          </w:tcPr>
          <w:p>
            <w:pPr>
              <w:pStyle w:val="754"/>
              <w:tabs>
                <w:tab w:val="left" w:pos="709" w:leader="none"/>
              </w:tabs>
              <w:rPr>
                <w:iCs/>
                <w:sz w:val="20"/>
              </w:rPr>
            </w:pPr>
            <w:r>
              <w:rPr>
                <w:iCs/>
                <w:sz w:val="20"/>
              </w:rPr>
              <w:t xml:space="preserve">Комиссии третьих банков взимаются дополнительно</w:t>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tabs>
                <w:tab w:val="left" w:pos="709" w:leader="none"/>
              </w:tabs>
              <w:rPr>
                <w:sz w:val="20"/>
              </w:rPr>
            </w:pPr>
            <w:r>
              <w:rPr>
                <w:sz w:val="20"/>
              </w:rPr>
              <w:t xml:space="preserve">«SHA» - все расходы на стороне отправителя относятся на счет отправителя</w:t>
            </w:r>
            <w:r>
              <w:rPr>
                <w:sz w:val="20"/>
              </w:rPr>
            </w:r>
          </w:p>
        </w:tc>
        <w:tc>
          <w:tcPr>
            <w:tcW w:w="1004" w:type="pct"/>
            <w:vAlign w:val="top"/>
            <w:textDirection w:val="lrTb"/>
            <w:noWrap w:val="false"/>
          </w:tcPr>
          <w:p>
            <w:pPr>
              <w:pStyle w:val="754"/>
              <w:tabs>
                <w:tab w:val="left" w:pos="709" w:leader="none"/>
              </w:tabs>
              <w:rPr>
                <w:sz w:val="20"/>
              </w:rPr>
            </w:pPr>
            <w:r>
              <w:rPr>
                <w:sz w:val="20"/>
              </w:rPr>
              <w:t xml:space="preserve">12 долларов США</w:t>
            </w:r>
            <w:r>
              <w:rPr>
                <w:sz w:val="20"/>
              </w:rPr>
            </w:r>
          </w:p>
        </w:tc>
        <w:tc>
          <w:tcPr>
            <w:tcW w:w="1101" w:type="pct"/>
            <w:vAlign w:val="top"/>
            <w:textDirection w:val="lrTb"/>
            <w:noWrap w:val="false"/>
          </w:tcPr>
          <w:p>
            <w:pPr>
              <w:pStyle w:val="754"/>
              <w:tabs>
                <w:tab w:val="left" w:pos="709" w:leader="none"/>
              </w:tabs>
              <w:rPr>
                <w:iCs/>
                <w:sz w:val="20"/>
              </w:rPr>
            </w:pPr>
            <w:r>
              <w:rPr>
                <w:iCs/>
                <w:sz w:val="20"/>
              </w:rPr>
              <w:t xml:space="preserve">Комиссия, взимаемая остальными участниками перевода, взимается за счет бенефициара</w:t>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2.2.3.</w:t>
            </w:r>
            <w:r>
              <w:rPr>
                <w:sz w:val="20"/>
              </w:rPr>
            </w:r>
          </w:p>
        </w:tc>
        <w:tc>
          <w:tcPr>
            <w:tcW w:w="2456" w:type="pct"/>
            <w:vAlign w:val="top"/>
            <w:textDirection w:val="lrTb"/>
            <w:noWrap w:val="false"/>
          </w:tcPr>
          <w:p>
            <w:pPr>
              <w:pStyle w:val="754"/>
              <w:tabs>
                <w:tab w:val="left" w:pos="709" w:leader="none"/>
              </w:tabs>
              <w:rPr>
                <w:sz w:val="20"/>
              </w:rPr>
            </w:pPr>
            <w:r>
              <w:rPr>
                <w:sz w:val="20"/>
              </w:rPr>
              <w:t xml:space="preserve">Межбанковские переводы</w:t>
            </w:r>
            <w:r>
              <w:rPr>
                <w:sz w:val="20"/>
              </w:rPr>
            </w:r>
          </w:p>
        </w:tc>
        <w:tc>
          <w:tcPr>
            <w:tcW w:w="1004" w:type="pct"/>
            <w:vAlign w:val="top"/>
            <w:textDirection w:val="lrTb"/>
            <w:noWrap w:val="false"/>
          </w:tcPr>
          <w:p>
            <w:pPr>
              <w:pStyle w:val="754"/>
              <w:tabs>
                <w:tab w:val="left" w:pos="709" w:leader="none"/>
              </w:tabs>
              <w:rPr>
                <w:sz w:val="20"/>
              </w:rPr>
            </w:pPr>
            <w:r>
              <w:rPr>
                <w:sz w:val="20"/>
              </w:rPr>
              <w:t xml:space="preserve">Комиссия не взимается</w:t>
            </w:r>
            <w:r>
              <w:rPr>
                <w:sz w:val="20"/>
              </w:rPr>
            </w:r>
          </w:p>
        </w:tc>
        <w:tc>
          <w:tcPr>
            <w:tcW w:w="1101" w:type="pct"/>
            <w:vAlign w:val="top"/>
            <w:textDirection w:val="lrTb"/>
            <w:noWrap w:val="false"/>
          </w:tcPr>
          <w:p>
            <w:pPr>
              <w:pStyle w:val="754"/>
              <w:tabs>
                <w:tab w:val="left" w:pos="709" w:leader="none"/>
              </w:tabs>
              <w:rPr>
                <w:iCs/>
                <w:sz w:val="20"/>
              </w:rPr>
            </w:pPr>
            <w:r>
              <w:rPr>
                <w:iCs/>
                <w:sz w:val="20"/>
              </w:rPr>
              <w:t xml:space="preserve">Взимаются только комиссии третьих банков</w:t>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2.2.4.</w:t>
            </w:r>
            <w:r>
              <w:rPr>
                <w:sz w:val="20"/>
              </w:rPr>
            </w:r>
          </w:p>
        </w:tc>
        <w:tc>
          <w:tcPr>
            <w:tcW w:w="2456" w:type="pct"/>
            <w:vAlign w:val="top"/>
            <w:textDirection w:val="lrTb"/>
            <w:noWrap w:val="false"/>
          </w:tcPr>
          <w:p>
            <w:pPr>
              <w:pStyle w:val="754"/>
              <w:tabs>
                <w:tab w:val="left" w:pos="709" w:leader="none"/>
              </w:tabs>
              <w:rPr>
                <w:sz w:val="20"/>
                <w:szCs w:val="20"/>
              </w:rPr>
            </w:pPr>
            <w:r>
              <w:rPr>
                <w:sz w:val="20"/>
                <w:szCs w:val="20"/>
              </w:rP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 </w:t>
            </w:r>
            <w:r>
              <w:rPr>
                <w:sz w:val="20"/>
                <w:szCs w:val="20"/>
              </w:rPr>
            </w:r>
          </w:p>
        </w:tc>
        <w:tc>
          <w:tcPr>
            <w:tcW w:w="1004" w:type="pct"/>
            <w:vAlign w:val="top"/>
            <w:textDirection w:val="lrTb"/>
            <w:noWrap w:val="false"/>
          </w:tcPr>
          <w:p>
            <w:pPr>
              <w:pStyle w:val="754"/>
              <w:tabs>
                <w:tab w:val="left" w:pos="709" w:leader="none"/>
              </w:tabs>
              <w:rPr>
                <w:sz w:val="20"/>
                <w:szCs w:val="20"/>
              </w:rPr>
            </w:pPr>
            <w:r>
              <w:rPr>
                <w:sz w:val="20"/>
                <w:szCs w:val="20"/>
              </w:rPr>
              <w:t xml:space="preserve">50 долларов США</w:t>
            </w:r>
            <w:r>
              <w:rPr>
                <w:sz w:val="20"/>
                <w:szCs w:val="20"/>
              </w:rPr>
            </w:r>
          </w:p>
        </w:tc>
        <w:tc>
          <w:tcPr>
            <w:tcW w:w="1101" w:type="pct"/>
            <w:vAlign w:val="top"/>
            <w:textDirection w:val="lrTb"/>
            <w:noWrap w:val="false"/>
          </w:tcPr>
          <w:p>
            <w:pPr>
              <w:pStyle w:val="754"/>
              <w:tabs>
                <w:tab w:val="left" w:pos="709" w:leader="none"/>
              </w:tabs>
              <w:rPr>
                <w:iCs/>
                <w:sz w:val="20"/>
                <w:szCs w:val="20"/>
              </w:rPr>
            </w:pPr>
            <w:r>
              <w:rPr>
                <w:iCs/>
                <w:sz w:val="20"/>
                <w:szCs w:val="20"/>
              </w:rPr>
              <w:t xml:space="preserve">Комиссии третьих банков взимаются дополнительно».</w:t>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2.2.5.</w:t>
            </w:r>
            <w:r>
              <w:rPr>
                <w:sz w:val="20"/>
              </w:rPr>
            </w:r>
          </w:p>
        </w:tc>
        <w:tc>
          <w:tcPr>
            <w:tcW w:w="2456" w:type="pct"/>
            <w:vAlign w:val="top"/>
            <w:textDirection w:val="lrTb"/>
            <w:noWrap w:val="false"/>
          </w:tcPr>
          <w:p>
            <w:pPr>
              <w:pStyle w:val="754"/>
              <w:tabs>
                <w:tab w:val="left" w:pos="709" w:leader="none"/>
              </w:tabs>
              <w:rPr>
                <w:sz w:val="20"/>
              </w:rPr>
            </w:pPr>
            <w:r>
              <w:rPr>
                <w:sz w:val="20"/>
              </w:rPr>
              <w:t xml:space="preserve">Изменение реквизитов переводов, возврат/аннуляция распоряжения о переводе, запрос о дате кредитования счета бенефициара</w:t>
            </w:r>
            <w:r>
              <w:rPr>
                <w:sz w:val="20"/>
              </w:rPr>
            </w:r>
          </w:p>
        </w:tc>
        <w:tc>
          <w:tcPr>
            <w:tcW w:w="1004" w:type="pct"/>
            <w:vAlign w:val="top"/>
            <w:textDirection w:val="lrTb"/>
            <w:noWrap w:val="false"/>
          </w:tcPr>
          <w:p>
            <w:pPr>
              <w:pStyle w:val="754"/>
              <w:tabs>
                <w:tab w:val="left" w:pos="709" w:leader="none"/>
              </w:tabs>
              <w:rPr>
                <w:sz w:val="20"/>
              </w:rPr>
            </w:pPr>
            <w:r>
              <w:rPr>
                <w:sz w:val="20"/>
              </w:rPr>
              <w:t xml:space="preserve">50 долларов США за каждый перевод</w:t>
            </w:r>
            <w:r>
              <w:rPr>
                <w:sz w:val="20"/>
              </w:rPr>
            </w:r>
          </w:p>
        </w:tc>
        <w:tc>
          <w:tcPr>
            <w:tcW w:w="1101" w:type="pct"/>
            <w:vAlign w:val="top"/>
            <w:textDirection w:val="lrTb"/>
            <w:noWrap w:val="false"/>
          </w:tcPr>
          <w:p>
            <w:pPr>
              <w:pStyle w:val="754"/>
              <w:tabs>
                <w:tab w:val="left" w:pos="709" w:leader="none"/>
              </w:tabs>
              <w:rPr>
                <w:iCs/>
                <w:sz w:val="20"/>
              </w:rPr>
            </w:pPr>
            <w:r>
              <w:rPr>
                <w:iCs/>
                <w:sz w:val="20"/>
              </w:rPr>
              <w:t xml:space="preserve">Комиссии третьих банков взимаются дополнительно</w:t>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2.2.6.</w:t>
            </w:r>
            <w:r>
              <w:rPr>
                <w:sz w:val="20"/>
              </w:rPr>
            </w:r>
          </w:p>
        </w:tc>
        <w:tc>
          <w:tcPr>
            <w:tcW w:w="2456" w:type="pct"/>
            <w:vAlign w:val="top"/>
            <w:textDirection w:val="lrTb"/>
            <w:noWrap w:val="false"/>
          </w:tcPr>
          <w:p>
            <w:pPr>
              <w:pStyle w:val="754"/>
              <w:tabs>
                <w:tab w:val="left" w:pos="709" w:leader="none"/>
              </w:tabs>
              <w:rPr>
                <w:sz w:val="20"/>
              </w:rPr>
            </w:pPr>
            <w:r>
              <w:rPr>
                <w:sz w:val="20"/>
              </w:rPr>
              <w:t xml:space="preserve">Возврат переводоотправителю поступившего в Банк перевода ввиду невозможности исполнения</w:t>
            </w:r>
            <w:r>
              <w:rPr>
                <w:sz w:val="20"/>
              </w:rPr>
            </w:r>
          </w:p>
        </w:tc>
        <w:tc>
          <w:tcPr>
            <w:tcW w:w="1004" w:type="pct"/>
            <w:vAlign w:val="top"/>
            <w:textDirection w:val="lrTb"/>
            <w:noWrap w:val="false"/>
          </w:tcPr>
          <w:p>
            <w:pPr>
              <w:pStyle w:val="754"/>
              <w:tabs>
                <w:tab w:val="left" w:pos="709" w:leader="none"/>
              </w:tabs>
              <w:rPr>
                <w:sz w:val="20"/>
              </w:rPr>
            </w:pPr>
            <w:r>
              <w:rPr>
                <w:sz w:val="20"/>
              </w:rPr>
              <w:t xml:space="preserve">25 долларов США за каждый перевод </w:t>
            </w:r>
            <w:r>
              <w:rPr>
                <w:sz w:val="20"/>
              </w:rPr>
              <w:t xml:space="preserve">на сумму свыше</w:t>
            </w:r>
            <w:r>
              <w:rPr>
                <w:sz w:val="20"/>
              </w:rPr>
              <w:t xml:space="preserve"> 1000 долларов США</w:t>
            </w:r>
            <w:r>
              <w:rPr>
                <w:sz w:val="20"/>
              </w:rPr>
            </w:r>
          </w:p>
        </w:tc>
        <w:tc>
          <w:tcPr>
            <w:tcW w:w="1101"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sz w:val="20"/>
              </w:rPr>
            </w:pPr>
            <w:r>
              <w:rPr>
                <w:b/>
                <w:sz w:val="20"/>
              </w:rPr>
              <w:t xml:space="preserve">2.3.</w:t>
            </w:r>
            <w:r>
              <w:rPr>
                <w:b/>
                <w:sz w:val="20"/>
              </w:rPr>
            </w:r>
          </w:p>
        </w:tc>
        <w:tc>
          <w:tcPr>
            <w:tcW w:w="2456" w:type="pct"/>
            <w:vAlign w:val="top"/>
            <w:textDirection w:val="lrTb"/>
            <w:noWrap w:val="false"/>
          </w:tcPr>
          <w:p>
            <w:pPr>
              <w:pStyle w:val="754"/>
              <w:tabs>
                <w:tab w:val="left" w:pos="709" w:leader="none"/>
              </w:tabs>
              <w:rPr>
                <w:sz w:val="20"/>
              </w:rPr>
            </w:pPr>
            <w:r>
              <w:rPr>
                <w:b/>
                <w:bCs/>
                <w:sz w:val="20"/>
              </w:rPr>
              <w:t xml:space="preserve">Зачисление драгоценного металла на счет:</w:t>
            </w:r>
            <w:r>
              <w:rPr>
                <w:sz w:val="20"/>
              </w:rPr>
            </w:r>
            <w:r>
              <w:rPr>
                <w:sz w:val="20"/>
              </w:rPr>
            </w:r>
          </w:p>
        </w:tc>
        <w:tc>
          <w:tcPr>
            <w:tcW w:w="1004" w:type="pct"/>
            <w:vAlign w:val="top"/>
            <w:textDirection w:val="lrTb"/>
            <w:noWrap w:val="false"/>
          </w:tcPr>
          <w:p>
            <w:pPr>
              <w:pStyle w:val="754"/>
              <w:tabs>
                <w:tab w:val="left" w:pos="709" w:leader="none"/>
              </w:tabs>
              <w:rPr>
                <w:sz w:val="20"/>
              </w:rPr>
            </w:pPr>
            <w:r>
              <w:rPr>
                <w:sz w:val="20"/>
              </w:rPr>
            </w:r>
            <w:r>
              <w:rPr>
                <w:sz w:val="20"/>
              </w:rPr>
            </w:r>
          </w:p>
        </w:tc>
        <w:tc>
          <w:tcPr>
            <w:tcW w:w="1101"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trPr>
        <w:tc>
          <w:tcPr>
            <w:tcW w:w="439" w:type="pct"/>
            <w:vAlign w:val="top"/>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tabs>
                <w:tab w:val="num" w:pos="224" w:leader="none"/>
                <w:tab w:val="left" w:pos="709" w:leader="none"/>
              </w:tabs>
              <w:rPr>
                <w:sz w:val="20"/>
              </w:rPr>
            </w:pPr>
            <w:r>
              <w:rPr>
                <w:sz w:val="20"/>
              </w:rPr>
              <w:t xml:space="preserve">внесенного респондентом в виде слитков в хранилище ценностей</w:t>
            </w:r>
            <w:r>
              <w:rPr>
                <w:sz w:val="20"/>
              </w:rPr>
            </w:r>
          </w:p>
        </w:tc>
        <w:tc>
          <w:tcPr>
            <w:tcW w:w="1004" w:type="pct"/>
            <w:vAlign w:val="top"/>
            <w:textDirection w:val="lrTb"/>
            <w:noWrap w:val="false"/>
          </w:tcPr>
          <w:p>
            <w:pPr>
              <w:pStyle w:val="754"/>
              <w:tabs>
                <w:tab w:val="left" w:pos="709" w:leader="none"/>
              </w:tabs>
              <w:rPr>
                <w:sz w:val="20"/>
              </w:rPr>
            </w:pPr>
            <w:r>
              <w:rPr>
                <w:sz w:val="20"/>
              </w:rPr>
              <w:t xml:space="preserve">По </w:t>
            </w:r>
            <w:r>
              <w:rPr>
                <w:sz w:val="20"/>
              </w:rPr>
              <w:t xml:space="preserve">соглашению</w:t>
            </w:r>
            <w:r>
              <w:rPr>
                <w:sz w:val="20"/>
              </w:rPr>
              <w:t xml:space="preserve"> сторон</w:t>
            </w:r>
            <w:r>
              <w:rPr>
                <w:sz w:val="20"/>
              </w:rPr>
            </w:r>
          </w:p>
        </w:tc>
        <w:tc>
          <w:tcPr>
            <w:tcW w:w="1101"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tabs>
                <w:tab w:val="num" w:pos="224" w:leader="none"/>
                <w:tab w:val="left" w:pos="709" w:leader="none"/>
              </w:tabs>
              <w:rPr>
                <w:sz w:val="20"/>
              </w:rPr>
            </w:pPr>
            <w:r>
              <w:rPr>
                <w:sz w:val="20"/>
              </w:rPr>
              <w:t xml:space="preserve">поступившего с иного корреспондентского счета в драгоценных металлах</w:t>
            </w:r>
            <w:r>
              <w:rPr>
                <w:sz w:val="20"/>
              </w:rPr>
            </w:r>
          </w:p>
        </w:tc>
        <w:tc>
          <w:tcPr>
            <w:tcW w:w="1004" w:type="pct"/>
            <w:vAlign w:val="top"/>
            <w:textDirection w:val="lrTb"/>
            <w:noWrap w:val="false"/>
          </w:tcPr>
          <w:p>
            <w:pPr>
              <w:pStyle w:val="754"/>
              <w:tabs>
                <w:tab w:val="left" w:pos="709" w:leader="none"/>
              </w:tabs>
              <w:rPr>
                <w:sz w:val="20"/>
              </w:rPr>
            </w:pPr>
            <w:r>
              <w:rPr>
                <w:sz w:val="20"/>
              </w:rPr>
              <w:t xml:space="preserve">Комиссия</w:t>
            </w:r>
            <w:r>
              <w:rPr>
                <w:sz w:val="20"/>
              </w:rPr>
            </w:r>
          </w:p>
          <w:p>
            <w:pPr>
              <w:pStyle w:val="754"/>
              <w:tabs>
                <w:tab w:val="left" w:pos="709" w:leader="none"/>
              </w:tabs>
              <w:rPr>
                <w:sz w:val="20"/>
              </w:rPr>
            </w:pPr>
            <w:r>
              <w:rPr>
                <w:sz w:val="20"/>
              </w:rPr>
              <w:t xml:space="preserve">не взимается</w:t>
            </w:r>
            <w:r>
              <w:rPr>
                <w:sz w:val="20"/>
              </w:rPr>
            </w:r>
          </w:p>
        </w:tc>
        <w:tc>
          <w:tcPr>
            <w:tcW w:w="1101"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tabs>
                <w:tab w:val="num" w:pos="224" w:leader="none"/>
                <w:tab w:val="left" w:pos="709" w:leader="none"/>
              </w:tabs>
              <w:rPr>
                <w:sz w:val="20"/>
              </w:rPr>
            </w:pPr>
            <w:r>
              <w:rPr>
                <w:sz w:val="20"/>
              </w:rPr>
              <w:t xml:space="preserve">поступившего от Банка по сделкам с драгоценным металлом</w:t>
            </w:r>
            <w:r>
              <w:rPr>
                <w:sz w:val="20"/>
              </w:rPr>
            </w:r>
          </w:p>
        </w:tc>
        <w:tc>
          <w:tcPr>
            <w:tcW w:w="1004" w:type="pct"/>
            <w:vAlign w:val="top"/>
            <w:textDirection w:val="lrTb"/>
            <w:noWrap w:val="false"/>
          </w:tcPr>
          <w:p>
            <w:pPr>
              <w:pStyle w:val="754"/>
              <w:tabs>
                <w:tab w:val="left" w:pos="709" w:leader="none"/>
              </w:tabs>
              <w:rPr>
                <w:sz w:val="20"/>
              </w:rPr>
            </w:pPr>
            <w:r>
              <w:rPr>
                <w:sz w:val="20"/>
              </w:rPr>
              <w:t xml:space="preserve">Комиссия</w:t>
            </w:r>
            <w:r>
              <w:rPr>
                <w:sz w:val="20"/>
              </w:rPr>
            </w:r>
          </w:p>
          <w:p>
            <w:pPr>
              <w:pStyle w:val="754"/>
              <w:tabs>
                <w:tab w:val="left" w:pos="709" w:leader="none"/>
              </w:tabs>
              <w:rPr>
                <w:sz w:val="20"/>
              </w:rPr>
            </w:pPr>
            <w:r>
              <w:rPr>
                <w:sz w:val="20"/>
              </w:rPr>
              <w:t xml:space="preserve">не взимается</w:t>
            </w:r>
            <w:r>
              <w:rPr>
                <w:sz w:val="20"/>
              </w:rPr>
            </w:r>
          </w:p>
        </w:tc>
        <w:tc>
          <w:tcPr>
            <w:tcW w:w="1101"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t xml:space="preserve">2.3.1.</w:t>
            </w:r>
            <w:r>
              <w:rPr>
                <w:sz w:val="20"/>
              </w:rPr>
            </w:r>
          </w:p>
        </w:tc>
        <w:tc>
          <w:tcPr>
            <w:tcW w:w="2456" w:type="pct"/>
            <w:vAlign w:val="top"/>
            <w:textDirection w:val="lrTb"/>
            <w:noWrap w:val="false"/>
          </w:tcPr>
          <w:p>
            <w:pPr>
              <w:pStyle w:val="754"/>
              <w:tabs>
                <w:tab w:val="left" w:pos="709" w:leader="none"/>
              </w:tabs>
              <w:rPr>
                <w:sz w:val="20"/>
              </w:rPr>
            </w:pPr>
            <w:r>
              <w:rPr>
                <w:bCs/>
                <w:sz w:val="20"/>
              </w:rPr>
              <w:t xml:space="preserve">Списание драгоценного металла со счета:</w:t>
            </w:r>
            <w:r>
              <w:rPr>
                <w:sz w:val="20"/>
              </w:rPr>
            </w:r>
            <w:r>
              <w:rPr>
                <w:sz w:val="20"/>
              </w:rPr>
            </w:r>
          </w:p>
        </w:tc>
        <w:tc>
          <w:tcPr>
            <w:tcW w:w="1004" w:type="pct"/>
            <w:vAlign w:val="top"/>
            <w:textDirection w:val="lrTb"/>
            <w:noWrap w:val="false"/>
          </w:tcPr>
          <w:p>
            <w:pPr>
              <w:pStyle w:val="754"/>
              <w:tabs>
                <w:tab w:val="left" w:pos="709" w:leader="none"/>
              </w:tabs>
              <w:rPr>
                <w:sz w:val="20"/>
              </w:rPr>
            </w:pPr>
            <w:r>
              <w:rPr>
                <w:sz w:val="20"/>
              </w:rPr>
            </w:r>
            <w:r>
              <w:rPr>
                <w:sz w:val="20"/>
              </w:rPr>
            </w:r>
          </w:p>
        </w:tc>
        <w:tc>
          <w:tcPr>
            <w:tcW w:w="1101"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tabs>
                <w:tab w:val="num" w:pos="224" w:leader="none"/>
                <w:tab w:val="left" w:pos="709" w:leader="none"/>
              </w:tabs>
              <w:rPr>
                <w:sz w:val="20"/>
              </w:rPr>
            </w:pPr>
            <w:r>
              <w:rPr>
                <w:sz w:val="20"/>
              </w:rPr>
              <w:t xml:space="preserve">с последующей выдачей слитков респонденту в хранилище ценностей</w:t>
            </w:r>
            <w:r>
              <w:rPr>
                <w:sz w:val="20"/>
              </w:rPr>
            </w:r>
          </w:p>
        </w:tc>
        <w:tc>
          <w:tcPr>
            <w:tcW w:w="1004" w:type="pct"/>
            <w:vAlign w:val="top"/>
            <w:textDirection w:val="lrTb"/>
            <w:noWrap w:val="false"/>
          </w:tcPr>
          <w:p>
            <w:pPr>
              <w:pStyle w:val="754"/>
              <w:tabs>
                <w:tab w:val="left" w:pos="709" w:leader="none"/>
              </w:tabs>
              <w:rPr>
                <w:sz w:val="20"/>
              </w:rPr>
            </w:pPr>
            <w:r>
              <w:rPr>
                <w:bCs/>
                <w:sz w:val="20"/>
              </w:rPr>
              <w:t xml:space="preserve">По </w:t>
            </w:r>
            <w:r>
              <w:rPr>
                <w:bCs/>
                <w:sz w:val="20"/>
              </w:rPr>
              <w:t xml:space="preserve">соглашению</w:t>
            </w:r>
            <w:r>
              <w:rPr>
                <w:bCs/>
                <w:sz w:val="20"/>
              </w:rPr>
              <w:t xml:space="preserve"> сторон</w:t>
            </w:r>
            <w:r>
              <w:rPr>
                <w:sz w:val="20"/>
              </w:rPr>
            </w:r>
            <w:r>
              <w:rPr>
                <w:sz w:val="20"/>
              </w:rPr>
            </w:r>
          </w:p>
        </w:tc>
        <w:tc>
          <w:tcPr>
            <w:tcW w:w="1101"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numPr>
                <w:ilvl w:val="0"/>
                <w:numId w:val="13"/>
              </w:numPr>
              <w:tabs>
                <w:tab w:val="num" w:pos="224" w:leader="none"/>
                <w:tab w:val="left" w:pos="709" w:leader="none"/>
              </w:tabs>
              <w:rPr>
                <w:sz w:val="20"/>
              </w:rPr>
            </w:pPr>
            <w:r>
              <w:rPr>
                <w:sz w:val="20"/>
              </w:rPr>
              <w:t xml:space="preserve">для зачисления на иной корреспондентский счет в драгоценных металлах</w:t>
            </w:r>
            <w:r>
              <w:rPr>
                <w:sz w:val="20"/>
              </w:rPr>
            </w:r>
          </w:p>
        </w:tc>
        <w:tc>
          <w:tcPr>
            <w:tcW w:w="1004" w:type="pct"/>
            <w:vAlign w:val="top"/>
            <w:textDirection w:val="lrTb"/>
            <w:noWrap w:val="false"/>
          </w:tcPr>
          <w:p>
            <w:pPr>
              <w:pStyle w:val="754"/>
              <w:tabs>
                <w:tab w:val="left" w:pos="709" w:leader="none"/>
              </w:tabs>
              <w:rPr>
                <w:bCs/>
                <w:sz w:val="20"/>
              </w:rPr>
            </w:pPr>
            <w:r>
              <w:rPr>
                <w:bCs/>
                <w:sz w:val="20"/>
              </w:rPr>
              <w:t xml:space="preserve">Комиссия</w:t>
            </w:r>
            <w:r>
              <w:rPr>
                <w:bCs/>
                <w:sz w:val="20"/>
              </w:rPr>
            </w:r>
          </w:p>
          <w:p>
            <w:pPr>
              <w:pStyle w:val="754"/>
              <w:tabs>
                <w:tab w:val="left" w:pos="709" w:leader="none"/>
              </w:tabs>
              <w:rPr>
                <w:sz w:val="20"/>
              </w:rPr>
            </w:pPr>
            <w:r>
              <w:rPr>
                <w:bCs/>
                <w:sz w:val="20"/>
              </w:rPr>
              <w:t xml:space="preserve">не взимается</w:t>
            </w:r>
            <w:r>
              <w:rPr>
                <w:sz w:val="20"/>
              </w:rPr>
            </w:r>
            <w:r>
              <w:rPr>
                <w:sz w:val="20"/>
              </w:rPr>
            </w:r>
          </w:p>
        </w:tc>
        <w:tc>
          <w:tcPr>
            <w:tcW w:w="1101" w:type="pct"/>
            <w:vAlign w:val="top"/>
            <w:textDirection w:val="lrTb"/>
            <w:noWrap w:val="false"/>
          </w:tcPr>
          <w:p>
            <w:pPr>
              <w:pStyle w:val="754"/>
              <w:tabs>
                <w:tab w:val="left" w:pos="709" w:leader="none"/>
              </w:tabs>
              <w:rPr>
                <w:sz w:val="20"/>
              </w:rPr>
            </w:pPr>
            <w:r>
              <w:rPr>
                <w:iCs/>
                <w:sz w:val="20"/>
              </w:rPr>
              <w:t xml:space="preserve">Комиссии третьих банков взимаются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Cs/>
                <w:sz w:val="20"/>
                <w:u w:val="single"/>
              </w:rPr>
            </w:pPr>
            <w:r>
              <w:rPr>
                <w:bCs/>
                <w:sz w:val="20"/>
                <w:u w:val="single"/>
              </w:rPr>
            </w:r>
            <w:r>
              <w:rPr>
                <w:bCs/>
                <w:sz w:val="20"/>
                <w:u w:val="single"/>
              </w:rPr>
            </w:r>
          </w:p>
        </w:tc>
        <w:tc>
          <w:tcPr>
            <w:tcW w:w="2456" w:type="pct"/>
            <w:vAlign w:val="top"/>
            <w:textDirection w:val="lrTb"/>
            <w:noWrap w:val="false"/>
          </w:tcPr>
          <w:p>
            <w:pPr>
              <w:pStyle w:val="754"/>
              <w:numPr>
                <w:ilvl w:val="0"/>
                <w:numId w:val="13"/>
              </w:numPr>
              <w:tabs>
                <w:tab w:val="num" w:pos="224" w:leader="none"/>
                <w:tab w:val="left" w:pos="709" w:leader="none"/>
              </w:tabs>
              <w:rPr>
                <w:sz w:val="20"/>
              </w:rPr>
            </w:pPr>
            <w:r>
              <w:rPr>
                <w:sz w:val="20"/>
              </w:rPr>
              <w:t xml:space="preserve">в пользу Банка от респондента по сделкам с драгоценным металлом</w:t>
            </w:r>
            <w:r>
              <w:rPr>
                <w:sz w:val="20"/>
              </w:rPr>
            </w:r>
          </w:p>
        </w:tc>
        <w:tc>
          <w:tcPr>
            <w:tcW w:w="1004" w:type="pct"/>
            <w:vAlign w:val="top"/>
            <w:textDirection w:val="lrTb"/>
            <w:noWrap w:val="false"/>
          </w:tcPr>
          <w:p>
            <w:pPr>
              <w:pStyle w:val="754"/>
              <w:tabs>
                <w:tab w:val="left" w:pos="709" w:leader="none"/>
              </w:tabs>
              <w:rPr>
                <w:bCs/>
                <w:sz w:val="20"/>
              </w:rPr>
            </w:pPr>
            <w:r>
              <w:rPr>
                <w:bCs/>
                <w:sz w:val="20"/>
              </w:rPr>
              <w:t xml:space="preserve">Комиссия</w:t>
            </w:r>
            <w:r>
              <w:rPr>
                <w:bCs/>
                <w:sz w:val="20"/>
              </w:rPr>
            </w:r>
          </w:p>
          <w:p>
            <w:pPr>
              <w:pStyle w:val="754"/>
              <w:tabs>
                <w:tab w:val="left" w:pos="709" w:leader="none"/>
              </w:tabs>
              <w:rPr>
                <w:sz w:val="20"/>
              </w:rPr>
            </w:pPr>
            <w:r>
              <w:rPr>
                <w:bCs/>
                <w:sz w:val="20"/>
              </w:rPr>
              <w:t xml:space="preserve">не взимается</w:t>
            </w:r>
            <w:r>
              <w:rPr>
                <w:sz w:val="20"/>
              </w:rPr>
            </w:r>
            <w:r>
              <w:rPr>
                <w:sz w:val="20"/>
              </w:rPr>
            </w:r>
          </w:p>
        </w:tc>
        <w:tc>
          <w:tcPr>
            <w:tcW w:w="1101" w:type="pct"/>
            <w:vAlign w:val="top"/>
            <w:textDirection w:val="lrTb"/>
            <w:noWrap w:val="false"/>
          </w:tcPr>
          <w:p>
            <w:pPr>
              <w:pStyle w:val="754"/>
              <w:tabs>
                <w:tab w:val="left" w:pos="709" w:leader="none"/>
              </w:tabs>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Cs/>
                <w:sz w:val="20"/>
              </w:rPr>
            </w:pPr>
            <w:r>
              <w:rPr>
                <w:bCs/>
                <w:sz w:val="20"/>
              </w:rPr>
              <w:t xml:space="preserve">2.3.2.</w:t>
            </w:r>
            <w:r>
              <w:rPr>
                <w:bCs/>
                <w:sz w:val="20"/>
              </w:rPr>
            </w:r>
          </w:p>
        </w:tc>
        <w:tc>
          <w:tcPr>
            <w:tcW w:w="2456" w:type="pct"/>
            <w:vAlign w:val="top"/>
            <w:textDirection w:val="lrTb"/>
            <w:noWrap w:val="false"/>
          </w:tcPr>
          <w:p>
            <w:pPr>
              <w:pStyle w:val="754"/>
              <w:tabs>
                <w:tab w:val="left" w:pos="0" w:leader="none"/>
              </w:tabs>
              <w:rPr>
                <w:b/>
                <w:sz w:val="20"/>
              </w:rPr>
            </w:pPr>
            <w:r>
              <w:rPr>
                <w:b/>
                <w:sz w:val="20"/>
              </w:rPr>
              <w:t xml:space="preserve">Иные операции с драгоценным металлом, предусмотренные законодательством Российской Федерации и нормативными актами Банка России</w:t>
            </w:r>
            <w:r>
              <w:rPr>
                <w:b/>
                <w:sz w:val="20"/>
              </w:rPr>
            </w:r>
          </w:p>
        </w:tc>
        <w:tc>
          <w:tcPr>
            <w:tcW w:w="1004" w:type="pct"/>
            <w:vAlign w:val="top"/>
            <w:textDirection w:val="lrTb"/>
            <w:noWrap w:val="false"/>
          </w:tcPr>
          <w:p>
            <w:pPr>
              <w:pStyle w:val="754"/>
              <w:tabs>
                <w:tab w:val="left" w:pos="709" w:leader="none"/>
              </w:tabs>
              <w:rPr>
                <w:bCs/>
                <w:sz w:val="20"/>
              </w:rPr>
            </w:pPr>
            <w:r>
              <w:rPr>
                <w:bCs/>
                <w:sz w:val="20"/>
              </w:rPr>
              <w:t xml:space="preserve">По </w:t>
            </w:r>
            <w:r>
              <w:rPr>
                <w:bCs/>
                <w:sz w:val="20"/>
              </w:rPr>
              <w:t xml:space="preserve">соглашению</w:t>
            </w:r>
            <w:r>
              <w:rPr>
                <w:bCs/>
                <w:sz w:val="20"/>
              </w:rPr>
              <w:t xml:space="preserve"> сторон</w:t>
            </w:r>
            <w:r>
              <w:rPr>
                <w:bCs/>
                <w:sz w:val="20"/>
              </w:rPr>
            </w:r>
          </w:p>
        </w:tc>
        <w:tc>
          <w:tcPr>
            <w:tcW w:w="1101" w:type="pct"/>
            <w:vAlign w:val="top"/>
            <w:textDirection w:val="lrTb"/>
            <w:noWrap w:val="false"/>
          </w:tcPr>
          <w:p>
            <w:pPr>
              <w:pStyle w:val="754"/>
              <w:tabs>
                <w:tab w:val="left" w:pos="709" w:leader="none"/>
              </w:tabs>
              <w:rPr>
                <w:sz w:val="20"/>
              </w:rPr>
            </w:pPr>
            <w:r>
              <w:rPr>
                <w:sz w:val="20"/>
              </w:rPr>
              <w:t xml:space="preserve">П</w:t>
            </w:r>
            <w:r>
              <w:rPr>
                <w:sz w:val="20"/>
              </w:rPr>
              <w:t xml:space="preserve">о отдельному соглашению</w:t>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2.4.</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b/>
                <w:bCs/>
                <w:sz w:val="20"/>
              </w:rPr>
            </w:r>
          </w:p>
        </w:tc>
        <w:tc>
          <w:tcPr>
            <w:tcW w:w="1004" w:type="pct"/>
            <w:vAlign w:val="top"/>
            <w:textDirection w:val="lrTb"/>
            <w:noWrap w:val="false"/>
          </w:tcPr>
          <w:p>
            <w:pPr>
              <w:pStyle w:val="754"/>
              <w:tabs>
                <w:tab w:val="left" w:pos="709" w:leader="none"/>
              </w:tabs>
              <w:rPr>
                <w:sz w:val="20"/>
              </w:rPr>
            </w:pPr>
            <w:r>
              <w:rPr>
                <w:sz w:val="20"/>
              </w:rPr>
              <w:t xml:space="preserve">20 долларов США за каждое распоряжение </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2.5.</w:t>
            </w:r>
            <w:r>
              <w:rPr>
                <w:b/>
                <w:bCs/>
                <w:sz w:val="20"/>
              </w:rPr>
            </w:r>
          </w:p>
        </w:tc>
        <w:tc>
          <w:tcPr>
            <w:tcW w:w="2456" w:type="pct"/>
            <w:vAlign w:val="top"/>
            <w:textDirection w:val="lrTb"/>
            <w:noWrap w:val="false"/>
          </w:tcPr>
          <w:p>
            <w:pPr>
              <w:pStyle w:val="754"/>
              <w:tabs>
                <w:tab w:val="left" w:pos="709" w:leader="none"/>
              </w:tabs>
              <w:rPr>
                <w:b/>
                <w:bCs/>
                <w:sz w:val="20"/>
              </w:rPr>
            </w:pPr>
            <w:r>
              <w:rPr>
                <w:b/>
                <w:sz w:val="20"/>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b/>
                <w:bCs/>
                <w:sz w:val="20"/>
              </w:rPr>
            </w:r>
            <w:r>
              <w:rPr>
                <w:b/>
                <w:bCs/>
                <w:sz w:val="20"/>
              </w:rPr>
            </w:r>
          </w:p>
        </w:tc>
        <w:tc>
          <w:tcPr>
            <w:tcW w:w="1004" w:type="pct"/>
            <w:vAlign w:val="top"/>
            <w:textDirection w:val="lrTb"/>
            <w:noWrap w:val="false"/>
          </w:tcPr>
          <w:p>
            <w:pPr>
              <w:pStyle w:val="754"/>
              <w:tabs>
                <w:tab w:val="left" w:pos="709" w:leader="none"/>
              </w:tabs>
              <w:rPr>
                <w:b/>
                <w:bCs/>
                <w:sz w:val="20"/>
              </w:rPr>
            </w:pPr>
            <w:r>
              <w:rPr>
                <w:b/>
                <w:bCs/>
                <w:sz w:val="20"/>
              </w:rPr>
            </w:r>
            <w:r>
              <w:rPr>
                <w:b/>
                <w:bCs/>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Cs/>
                <w:sz w:val="20"/>
                <w:lang w:val="en-US"/>
              </w:rPr>
              <w:t xml:space="preserve">2.</w:t>
            </w:r>
            <w:r>
              <w:rPr>
                <w:bCs/>
                <w:sz w:val="20"/>
              </w:rPr>
              <w:t xml:space="preserve">5</w:t>
            </w:r>
            <w:r>
              <w:rPr>
                <w:bCs/>
                <w:sz w:val="20"/>
                <w:lang w:val="en-US"/>
              </w:rPr>
              <w:t xml:space="preserve">.1.</w:t>
            </w:r>
            <w:r>
              <w:rPr>
                <w:b/>
                <w:bCs/>
                <w:sz w:val="20"/>
              </w:rPr>
            </w:r>
            <w:r>
              <w:rPr>
                <w:b/>
                <w:bCs/>
                <w:sz w:val="20"/>
              </w:rPr>
            </w:r>
          </w:p>
        </w:tc>
        <w:tc>
          <w:tcPr>
            <w:tcW w:w="2456" w:type="pct"/>
            <w:vAlign w:val="top"/>
            <w:textDirection w:val="lrTb"/>
            <w:noWrap w:val="false"/>
          </w:tcPr>
          <w:p>
            <w:pPr>
              <w:pStyle w:val="754"/>
              <w:tabs>
                <w:tab w:val="left" w:pos="709" w:leader="none"/>
              </w:tabs>
              <w:rPr>
                <w:b/>
                <w:bCs/>
                <w:sz w:val="20"/>
              </w:rPr>
            </w:pPr>
            <w:r>
              <w:rPr>
                <w:bCs/>
                <w:sz w:val="20"/>
              </w:rPr>
              <w:t xml:space="preserve">Для кредитных организаций – резидентов Российской Федерации (</w:t>
            </w:r>
            <w:r>
              <w:rPr>
                <w:sz w:val="20"/>
              </w:rPr>
              <w:t xml:space="preserve">кредитных организаций, созданных в соответствии с законодательством Российской Федерации</w:t>
            </w:r>
            <w:r>
              <w:rPr>
                <w:bCs/>
                <w:sz w:val="20"/>
              </w:rPr>
              <w:t xml:space="preserve">)</w:t>
            </w:r>
            <w:r>
              <w:rPr>
                <w:b/>
                <w:bCs/>
                <w:sz w:val="20"/>
              </w:rPr>
            </w:r>
            <w:r>
              <w:rPr>
                <w:b/>
                <w:bCs/>
                <w:sz w:val="20"/>
              </w:rPr>
            </w:r>
          </w:p>
        </w:tc>
        <w:tc>
          <w:tcPr>
            <w:tcW w:w="1004" w:type="pct"/>
            <w:vAlign w:val="top"/>
            <w:textDirection w:val="lrTb"/>
            <w:noWrap w:val="false"/>
          </w:tcPr>
          <w:p>
            <w:pPr>
              <w:pStyle w:val="754"/>
              <w:tabs>
                <w:tab w:val="left" w:pos="709" w:leader="none"/>
              </w:tabs>
              <w:rPr>
                <w:sz w:val="20"/>
              </w:rPr>
            </w:pPr>
            <w:r>
              <w:rPr>
                <w:sz w:val="20"/>
              </w:rPr>
              <w:t xml:space="preserve">20 долларов США за каждое распоряжение</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Cs/>
                <w:sz w:val="20"/>
                <w:lang w:val="en-US"/>
              </w:rPr>
              <w:t xml:space="preserve">2.</w:t>
            </w:r>
            <w:r>
              <w:rPr>
                <w:bCs/>
                <w:sz w:val="20"/>
              </w:rPr>
              <w:t xml:space="preserve">5</w:t>
            </w:r>
            <w:r>
              <w:rPr>
                <w:bCs/>
                <w:sz w:val="20"/>
                <w:lang w:val="en-US"/>
              </w:rPr>
              <w:t xml:space="preserve">.2.</w:t>
            </w:r>
            <w:r>
              <w:rPr>
                <w:b/>
                <w:bCs/>
                <w:sz w:val="20"/>
              </w:rPr>
            </w:r>
            <w:r>
              <w:rPr>
                <w:b/>
                <w:bCs/>
                <w:sz w:val="20"/>
              </w:rPr>
            </w:r>
          </w:p>
        </w:tc>
        <w:tc>
          <w:tcPr>
            <w:tcW w:w="2456" w:type="pct"/>
            <w:vAlign w:val="top"/>
            <w:textDirection w:val="lrTb"/>
            <w:noWrap w:val="false"/>
          </w:tcPr>
          <w:p>
            <w:pPr>
              <w:pStyle w:val="754"/>
              <w:tabs>
                <w:tab w:val="left" w:pos="709" w:leader="none"/>
              </w:tabs>
              <w:rPr>
                <w:b/>
                <w:bCs/>
                <w:sz w:val="20"/>
              </w:rPr>
            </w:pPr>
            <w:r>
              <w:rPr>
                <w:bCs/>
                <w:sz w:val="20"/>
              </w:rPr>
              <w:t xml:space="preserve">Для кредитных организаций – нерезидентов (</w:t>
            </w:r>
            <w:r>
              <w:rPr>
                <w:sz w:val="20"/>
              </w:rP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b/>
                <w:bCs/>
                <w:sz w:val="20"/>
              </w:rPr>
            </w:r>
            <w:r>
              <w:rPr>
                <w:b/>
                <w:bCs/>
                <w:sz w:val="20"/>
              </w:rPr>
            </w:r>
          </w:p>
        </w:tc>
        <w:tc>
          <w:tcPr>
            <w:tcW w:w="1004" w:type="pct"/>
            <w:vAlign w:val="top"/>
            <w:textDirection w:val="lrTb"/>
            <w:noWrap w:val="false"/>
          </w:tcPr>
          <w:p>
            <w:pPr>
              <w:pStyle w:val="754"/>
              <w:tabs>
                <w:tab w:val="left" w:pos="709" w:leader="none"/>
              </w:tabs>
              <w:rPr>
                <w:sz w:val="20"/>
              </w:rPr>
            </w:pPr>
            <w:r>
              <w:rPr>
                <w:bCs/>
                <w:sz w:val="20"/>
              </w:rPr>
              <w:t xml:space="preserve">Комиссия не взимается</w:t>
            </w:r>
            <w:r>
              <w:rPr>
                <w:sz w:val="20"/>
              </w:rPr>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2.6.</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b/>
                <w:bCs/>
                <w:sz w:val="20"/>
              </w:rPr>
            </w:r>
          </w:p>
        </w:tc>
        <w:tc>
          <w:tcPr>
            <w:tcW w:w="1004" w:type="pct"/>
            <w:vAlign w:val="top"/>
            <w:textDirection w:val="lrTb"/>
            <w:noWrap w:val="false"/>
          </w:tcPr>
          <w:p>
            <w:pPr>
              <w:pStyle w:val="754"/>
              <w:tabs>
                <w:tab w:val="left" w:pos="709" w:leader="none"/>
              </w:tabs>
              <w:rPr>
                <w:b/>
                <w:bCs/>
                <w:sz w:val="20"/>
              </w:rPr>
            </w:pPr>
            <w:r>
              <w:rPr>
                <w:b/>
                <w:bCs/>
                <w:sz w:val="20"/>
              </w:rPr>
            </w:r>
            <w:r>
              <w:rPr>
                <w:b/>
                <w:bCs/>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restart"/>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tabs>
                <w:tab w:val="left" w:pos="709" w:leader="none"/>
              </w:tabs>
              <w:rPr>
                <w:sz w:val="20"/>
              </w:rPr>
            </w:pPr>
            <w:r>
              <w:rPr>
                <w:sz w:val="20"/>
              </w:rPr>
              <w:t xml:space="preserve">до трех</w:t>
            </w:r>
            <w:r>
              <w:rPr>
                <w:sz w:val="20"/>
              </w:rPr>
              <w:t xml:space="preserve"> календарных</w:t>
            </w:r>
            <w:r>
              <w:rPr>
                <w:sz w:val="20"/>
              </w:rPr>
              <w:t xml:space="preserve"> месяцев</w:t>
            </w:r>
            <w:r>
              <w:rPr>
                <w:sz w:val="20"/>
              </w:rPr>
            </w:r>
          </w:p>
        </w:tc>
        <w:tc>
          <w:tcPr>
            <w:tcW w:w="1004" w:type="pct"/>
            <w:vAlign w:val="top"/>
            <w:textDirection w:val="lrTb"/>
            <w:noWrap w:val="false"/>
          </w:tcPr>
          <w:p>
            <w:pPr>
              <w:pStyle w:val="754"/>
              <w:tabs>
                <w:tab w:val="left" w:pos="709" w:leader="none"/>
              </w:tabs>
              <w:rPr>
                <w:sz w:val="20"/>
              </w:rPr>
            </w:pPr>
            <w:r>
              <w:rPr>
                <w:sz w:val="20"/>
              </w:rPr>
              <w:t xml:space="preserve">20 долларов США за каждый счет</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vMerge w:val="continue"/>
            <w:textDirection w:val="lrTb"/>
            <w:noWrap w:val="false"/>
          </w:tcPr>
          <w:p>
            <w:pPr>
              <w:pStyle w:val="754"/>
              <w:tabs>
                <w:tab w:val="left" w:pos="709" w:leader="none"/>
              </w:tabs>
              <w:rPr>
                <w:sz w:val="20"/>
              </w:rPr>
            </w:pPr>
            <w:r>
              <w:rPr>
                <w:sz w:val="20"/>
              </w:rPr>
            </w:r>
            <w:r>
              <w:rPr>
                <w:sz w:val="20"/>
              </w:rPr>
            </w:r>
          </w:p>
        </w:tc>
        <w:tc>
          <w:tcPr>
            <w:tcW w:w="2456" w:type="pct"/>
            <w:vAlign w:val="top"/>
            <w:textDirection w:val="lrTb"/>
            <w:noWrap w:val="false"/>
          </w:tcPr>
          <w:p>
            <w:pPr>
              <w:pStyle w:val="754"/>
              <w:tabs>
                <w:tab w:val="left" w:pos="709" w:leader="none"/>
              </w:tabs>
              <w:rPr>
                <w:sz w:val="20"/>
              </w:rPr>
            </w:pPr>
            <w:r>
              <w:rPr>
                <w:sz w:val="20"/>
              </w:rPr>
              <w:t xml:space="preserve">свыше трех </w:t>
            </w:r>
            <w:r>
              <w:rPr>
                <w:sz w:val="20"/>
              </w:rPr>
              <w:t xml:space="preserve">календарных </w:t>
            </w:r>
            <w:r>
              <w:rPr>
                <w:sz w:val="20"/>
              </w:rPr>
              <w:t xml:space="preserve">месяцев</w:t>
            </w:r>
            <w:r>
              <w:rPr>
                <w:sz w:val="20"/>
              </w:rPr>
            </w:r>
          </w:p>
        </w:tc>
        <w:tc>
          <w:tcPr>
            <w:tcW w:w="1004" w:type="pct"/>
            <w:vAlign w:val="top"/>
            <w:textDirection w:val="lrTb"/>
            <w:noWrap w:val="false"/>
          </w:tcPr>
          <w:p>
            <w:pPr>
              <w:pStyle w:val="754"/>
              <w:tabs>
                <w:tab w:val="left" w:pos="709" w:leader="none"/>
              </w:tabs>
              <w:rPr>
                <w:sz w:val="20"/>
              </w:rPr>
            </w:pPr>
            <w:r>
              <w:rPr>
                <w:sz w:val="20"/>
              </w:rPr>
              <w:t xml:space="preserve">30 долларов США за каждый счет</w:t>
            </w:r>
            <w:r>
              <w:rPr>
                <w:sz w:val="20"/>
              </w:rPr>
            </w:r>
          </w:p>
        </w:tc>
        <w:tc>
          <w:tcPr>
            <w:tcW w:w="1101" w:type="pct"/>
            <w:vAlign w:val="top"/>
            <w:textDirection w:val="lrTb"/>
            <w:noWrap w:val="false"/>
          </w:tcPr>
          <w:p>
            <w:pPr>
              <w:pStyle w:val="754"/>
              <w:tabs>
                <w:tab w:val="left" w:pos="709" w:leader="none"/>
              </w:tabs>
              <w:rPr>
                <w:iCs/>
                <w:sz w:val="20"/>
              </w:rPr>
            </w:pP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2.7.</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Предоставление информации по счетам Респондента для Аудиторской компании на основании письменного запроса Респондента</w:t>
            </w:r>
            <w:r>
              <w:rPr>
                <w:b/>
                <w:bCs/>
                <w:sz w:val="20"/>
              </w:rPr>
            </w:r>
          </w:p>
        </w:tc>
        <w:tc>
          <w:tcPr>
            <w:tcW w:w="1004" w:type="pct"/>
            <w:vAlign w:val="top"/>
            <w:textDirection w:val="lrTb"/>
            <w:noWrap w:val="false"/>
          </w:tcPr>
          <w:p>
            <w:pPr>
              <w:pStyle w:val="754"/>
              <w:tabs>
                <w:tab w:val="left" w:pos="709" w:leader="none"/>
              </w:tabs>
              <w:rPr>
                <w:sz w:val="20"/>
              </w:rPr>
            </w:pPr>
            <w:r>
              <w:rPr>
                <w:sz w:val="20"/>
              </w:rPr>
              <w:t xml:space="preserve">60 долларов США за каждый счет </w:t>
            </w:r>
            <w:r>
              <w:rPr>
                <w:sz w:val="20"/>
              </w:rPr>
            </w:r>
          </w:p>
        </w:tc>
        <w:tc>
          <w:tcPr>
            <w:tcW w:w="1101" w:type="pct"/>
            <w:vAlign w:val="top"/>
            <w:textDirection w:val="lrTb"/>
            <w:noWrap w:val="false"/>
          </w:tcPr>
          <w:p>
            <w:pPr>
              <w:pStyle w:val="754"/>
              <w:tabs>
                <w:tab w:val="left" w:pos="709" w:leader="none"/>
              </w:tabs>
              <w:rPr>
                <w:b/>
                <w:bCs/>
                <w:sz w:val="20"/>
              </w:rPr>
            </w:pP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39" w:type="pct"/>
            <w:vAlign w:val="top"/>
            <w:textDirection w:val="lrTb"/>
            <w:noWrap w:val="false"/>
          </w:tcPr>
          <w:p>
            <w:pPr>
              <w:pStyle w:val="754"/>
              <w:tabs>
                <w:tab w:val="left" w:pos="709" w:leader="none"/>
              </w:tabs>
              <w:rPr>
                <w:b/>
                <w:bCs/>
                <w:sz w:val="20"/>
              </w:rPr>
            </w:pPr>
            <w:r>
              <w:rPr>
                <w:b/>
                <w:bCs/>
                <w:sz w:val="20"/>
              </w:rPr>
              <w:t xml:space="preserve">2.8.</w:t>
            </w:r>
            <w:r>
              <w:rPr>
                <w:b/>
                <w:bCs/>
                <w:sz w:val="20"/>
              </w:rPr>
            </w:r>
          </w:p>
        </w:tc>
        <w:tc>
          <w:tcPr>
            <w:tcW w:w="2456" w:type="pct"/>
            <w:vAlign w:val="top"/>
            <w:textDirection w:val="lrTb"/>
            <w:noWrap w:val="false"/>
          </w:tcPr>
          <w:p>
            <w:pPr>
              <w:pStyle w:val="754"/>
              <w:tabs>
                <w:tab w:val="left" w:pos="709" w:leader="none"/>
              </w:tabs>
              <w:rPr>
                <w:b/>
                <w:bCs/>
                <w:sz w:val="20"/>
              </w:rPr>
            </w:pPr>
            <w:r>
              <w:rPr>
                <w:b/>
                <w:bCs/>
                <w:sz w:val="20"/>
              </w:rPr>
              <w:t xml:space="preserve">Проведение расследований перед зачислением</w:t>
            </w:r>
            <w:r>
              <w:rPr>
                <w:b/>
                <w:bCs/>
                <w:sz w:val="20"/>
              </w:rPr>
            </w:r>
          </w:p>
        </w:tc>
        <w:tc>
          <w:tcPr>
            <w:tcW w:w="1004" w:type="pct"/>
            <w:vAlign w:val="top"/>
            <w:textDirection w:val="lrTb"/>
            <w:noWrap w:val="false"/>
          </w:tcPr>
          <w:p>
            <w:pPr>
              <w:pStyle w:val="754"/>
              <w:tabs>
                <w:tab w:val="left" w:pos="709" w:leader="none"/>
              </w:tabs>
              <w:rPr>
                <w:sz w:val="20"/>
              </w:rPr>
            </w:pPr>
            <w:r>
              <w:rPr>
                <w:sz w:val="20"/>
              </w:rPr>
              <w:t xml:space="preserve">25 долларов США за каждый перевод</w:t>
            </w:r>
            <w:r>
              <w:rPr>
                <w:sz w:val="20"/>
              </w:rPr>
              <w:t xml:space="preserve"> на сумму свыше</w:t>
            </w:r>
            <w:r>
              <w:rPr>
                <w:sz w:val="20"/>
              </w:rPr>
              <w:t xml:space="preserve"> 1000 долларов США </w:t>
            </w:r>
            <w:r>
              <w:rPr>
                <w:sz w:val="20"/>
              </w:rPr>
            </w:r>
          </w:p>
        </w:tc>
        <w:tc>
          <w:tcPr>
            <w:tcW w:w="1101" w:type="pct"/>
            <w:vAlign w:val="top"/>
            <w:textDirection w:val="lrTb"/>
            <w:noWrap w:val="false"/>
          </w:tcPr>
          <w:p>
            <w:pPr>
              <w:pStyle w:val="754"/>
              <w:tabs>
                <w:tab w:val="left" w:pos="709" w:leader="none"/>
              </w:tabs>
              <w:rPr>
                <w:b/>
                <w:bCs/>
                <w:sz w:val="20"/>
              </w:rPr>
            </w:pPr>
            <w:r>
              <w:rPr>
                <w:b/>
                <w:bCs/>
                <w:sz w:val="20"/>
              </w:rPr>
            </w:r>
            <w:r>
              <w:rPr>
                <w:b/>
                <w:bCs/>
                <w:sz w:val="20"/>
              </w:rPr>
            </w:r>
          </w:p>
        </w:tc>
      </w:tr>
    </w:tbl>
    <w:p>
      <w:pPr>
        <w:pStyle w:val="754"/>
        <w:rPr>
          <w:sz w:val="20"/>
          <w:szCs w:val="20"/>
        </w:rPr>
      </w:pPr>
      <w:r>
        <w:rPr>
          <w:sz w:val="20"/>
          <w:szCs w:val="20"/>
        </w:rPr>
      </w:r>
      <w:r>
        <w:rPr>
          <w:sz w:val="20"/>
          <w:szCs w:val="20"/>
        </w:rPr>
      </w:r>
    </w:p>
    <w:p>
      <w:pPr>
        <w:pStyle w:val="754"/>
        <w:rPr>
          <w:sz w:val="20"/>
          <w:szCs w:val="20"/>
        </w:rPr>
      </w:pPr>
      <w:r>
        <w:rPr>
          <w:sz w:val="20"/>
          <w:szCs w:val="20"/>
        </w:rPr>
      </w:r>
      <w:r>
        <w:rPr>
          <w:sz w:val="20"/>
          <w:szCs w:val="20"/>
        </w:rPr>
      </w:r>
    </w:p>
    <w:tbl>
      <w:tblPr>
        <w:tblW w:w="10368" w:type="dxa"/>
        <w:tblInd w:w="0" w:type="dxa"/>
        <w:tblLayout w:type="fixed"/>
        <w:tblCellMar>
          <w:left w:w="108" w:type="dxa"/>
          <w:top w:w="0" w:type="dxa"/>
          <w:right w:w="108" w:type="dxa"/>
          <w:bottom w:w="0" w:type="dxa"/>
        </w:tblCellMar>
        <w:tblLook w:val="04A0" w:firstRow="1" w:lastRow="0" w:firstColumn="1" w:lastColumn="0" w:noHBand="0" w:noVBand="1"/>
      </w:tblPr>
      <w:tblGrid>
        <w:gridCol w:w="1080"/>
        <w:gridCol w:w="4968"/>
        <w:gridCol w:w="1800"/>
        <w:gridCol w:w="2520"/>
      </w:tblGrid>
      <w:tr>
        <w:tblPrEx/>
        <w:trPr>
          <w:trHeight w:val="276"/>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754"/>
              <w:jc w:val="center"/>
              <w:rPr>
                <w:sz w:val="20"/>
                <w:szCs w:val="20"/>
              </w:rPr>
            </w:pPr>
            <w:r>
              <w:rPr>
                <w:b/>
                <w:bCs/>
              </w:rPr>
              <w:t xml:space="preserve">3. Конверсионные операции</w:t>
            </w:r>
            <w:r>
              <w:rPr>
                <w:b/>
                <w:bCs/>
                <w:lang w:val="en-US"/>
              </w:rPr>
              <w:t xml:space="preserve"> (</w:t>
            </w:r>
            <w:r>
              <w:rPr>
                <w:b/>
                <w:bCs/>
              </w:rPr>
              <w:t xml:space="preserve">для респондентов)</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1080" w:type="dxa"/>
            <w:vAlign w:val="top"/>
            <w:textDirection w:val="lrTb"/>
            <w:noWrap w:val="false"/>
          </w:tcPr>
          <w:p>
            <w:pPr>
              <w:pStyle w:val="754"/>
              <w:jc w:val="center"/>
              <w:rPr>
                <w:b/>
                <w:bCs/>
                <w:sz w:val="20"/>
                <w:szCs w:val="20"/>
              </w:rPr>
            </w:pPr>
            <w:r>
              <w:rPr>
                <w:b/>
                <w:sz w:val="20"/>
                <w:szCs w:val="20"/>
              </w:rPr>
              <w:t xml:space="preserve">3.1.</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968" w:type="dxa"/>
            <w:vAlign w:val="top"/>
            <w:textDirection w:val="lrTb"/>
            <w:noWrap w:val="false"/>
          </w:tcPr>
          <w:p>
            <w:pPr>
              <w:pStyle w:val="754"/>
              <w:rPr>
                <w:b/>
                <w:bCs/>
                <w:sz w:val="20"/>
                <w:szCs w:val="20"/>
              </w:rPr>
            </w:pPr>
            <w:r>
              <w:rPr>
                <w:b/>
                <w:bCs/>
                <w:sz w:val="20"/>
                <w:szCs w:val="20"/>
              </w:rPr>
              <w:t xml:space="preserve">Покупка/продажа безналичной иностранной валюты за безналичные российские рубли </w:t>
            </w:r>
            <w:r>
              <w:rPr>
                <w:b/>
                <w:bCs/>
                <w:sz w:val="20"/>
                <w:szCs w:val="20"/>
              </w:rPr>
            </w:r>
          </w:p>
          <w:p>
            <w:pPr>
              <w:pStyle w:val="754"/>
              <w:ind w:left="72" w:right="252"/>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00" w:type="dxa"/>
            <w:vAlign w:val="top"/>
            <w:textDirection w:val="lrTb"/>
            <w:noWrap w:val="false"/>
          </w:tcPr>
          <w:p>
            <w:pPr>
              <w:pStyle w:val="754"/>
              <w:jc w:val="center"/>
              <w:rPr>
                <w:sz w:val="20"/>
                <w:szCs w:val="20"/>
              </w:rPr>
            </w:pPr>
            <w:r>
              <w:rPr>
                <w:iCs/>
                <w:sz w:val="20"/>
                <w:szCs w:val="20"/>
              </w:rPr>
              <w:t xml:space="preserve">По курсу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54"/>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1080" w:type="dxa"/>
            <w:vAlign w:val="top"/>
            <w:textDirection w:val="lrTb"/>
            <w:noWrap w:val="false"/>
          </w:tcPr>
          <w:p>
            <w:pPr>
              <w:pStyle w:val="754"/>
              <w:jc w:val="center"/>
              <w:rPr>
                <w:b/>
                <w:sz w:val="20"/>
                <w:szCs w:val="20"/>
              </w:rPr>
            </w:pPr>
            <w:r>
              <w:rPr>
                <w:b/>
                <w:sz w:val="20"/>
                <w:szCs w:val="20"/>
              </w:rPr>
              <w:t xml:space="preserve">3.2.</w:t>
            </w:r>
            <w:r>
              <w:rPr>
                <w:b/>
                <w:sz w:val="20"/>
                <w:szCs w:val="20"/>
              </w:rPr>
            </w:r>
          </w:p>
        </w:tc>
        <w:tc>
          <w:tcPr>
            <w:tcBorders>
              <w:top w:val="single" w:color="000000" w:sz="4" w:space="0"/>
              <w:left w:val="single" w:color="000000" w:sz="4" w:space="0"/>
              <w:bottom w:val="single" w:color="000000" w:sz="4" w:space="0"/>
              <w:right w:val="single" w:color="000000" w:sz="4" w:space="0"/>
            </w:tcBorders>
            <w:tcW w:w="4968" w:type="dxa"/>
            <w:vAlign w:val="top"/>
            <w:textDirection w:val="lrTb"/>
            <w:noWrap w:val="false"/>
          </w:tcPr>
          <w:p>
            <w:pPr>
              <w:pStyle w:val="754"/>
              <w:rPr>
                <w:b/>
                <w:bCs/>
                <w:sz w:val="20"/>
                <w:szCs w:val="20"/>
              </w:rPr>
            </w:pPr>
            <w:r>
              <w:rPr>
                <w:b/>
                <w:bCs/>
                <w:sz w:val="20"/>
                <w:szCs w:val="20"/>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b/>
                <w:bCs/>
                <w:sz w:val="20"/>
                <w:szCs w:val="20"/>
              </w:rPr>
            </w:r>
          </w:p>
          <w:p>
            <w:pPr>
              <w:pStyle w:val="754"/>
              <w:rPr>
                <w:b/>
                <w:bCs/>
                <w:sz w:val="20"/>
                <w:szCs w:val="20"/>
              </w:rPr>
            </w:pP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00" w:type="dxa"/>
            <w:vAlign w:val="top"/>
            <w:textDirection w:val="lrTb"/>
            <w:noWrap w:val="false"/>
          </w:tcPr>
          <w:p>
            <w:pPr>
              <w:pStyle w:val="754"/>
              <w:jc w:val="center"/>
              <w:rPr>
                <w:iCs/>
                <w:sz w:val="20"/>
                <w:szCs w:val="20"/>
              </w:rPr>
            </w:pPr>
            <w:r>
              <w:rPr>
                <w:iCs/>
                <w:sz w:val="20"/>
                <w:szCs w:val="20"/>
              </w:rPr>
              <w:t xml:space="preserve">По курсу Банка</w:t>
            </w:r>
            <w:r>
              <w:rPr>
                <w:i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54"/>
              <w:rPr>
                <w:sz w:val="20"/>
                <w:szCs w:val="20"/>
              </w:rPr>
            </w:pPr>
            <w:r>
              <w:rPr>
                <w:sz w:val="20"/>
                <w:szCs w:val="20"/>
              </w:rPr>
            </w:r>
            <w:r>
              <w:rPr>
                <w:sz w:val="20"/>
                <w:szCs w:val="20"/>
              </w:rPr>
            </w:r>
          </w:p>
        </w:tc>
      </w:tr>
      <w:tr>
        <w:tblPrEx/>
        <w:trPr>
          <w:trHeight w:val="371"/>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754"/>
              <w:ind w:right="-17"/>
              <w:jc w:val="center"/>
              <w:spacing w:line="240" w:lineRule="atLeast"/>
              <w:tabs>
                <w:tab w:val="left" w:pos="4464" w:leader="none"/>
                <w:tab w:val="left" w:pos="5760" w:leader="none"/>
              </w:tabs>
              <w:rPr>
                <w:sz w:val="20"/>
                <w:szCs w:val="20"/>
              </w:rPr>
            </w:pPr>
            <w:r>
              <w:rPr>
                <w:sz w:val="20"/>
                <w:szCs w:val="20"/>
              </w:rPr>
              <w:br w:type="page" w:clear="all"/>
            </w:r>
            <w:r>
              <w:rPr>
                <w:b/>
                <w:bCs/>
              </w:rPr>
              <w:t xml:space="preserve"> </w:t>
            </w:r>
            <w:r>
              <w:rPr>
                <w:sz w:val="20"/>
                <w:szCs w:val="20"/>
              </w:rPr>
            </w:r>
            <w:r>
              <w:rPr>
                <w:sz w:val="20"/>
                <w:szCs w:val="20"/>
              </w:rPr>
            </w:r>
          </w:p>
        </w:tc>
      </w:tr>
    </w:tbl>
    <w:p>
      <w:pPr>
        <w:pStyle w:val="754"/>
        <w:tabs>
          <w:tab w:val="left" w:pos="5940" w:leader="none"/>
        </w:tabs>
        <w:rPr>
          <w:sz w:val="20"/>
          <w:szCs w:val="20"/>
          <w:lang w:val="en-US" w:eastAsia="en-US"/>
        </w:rPr>
      </w:pPr>
      <w:r>
        <w:rPr>
          <w:sz w:val="20"/>
          <w:szCs w:val="20"/>
          <w:lang w:val="en-US" w:eastAsia="en-US"/>
        </w:rPr>
      </w:r>
      <w:r>
        <w:rPr>
          <w:sz w:val="20"/>
          <w:szCs w:val="20"/>
          <w:lang w:val="en-US" w:eastAsia="en-US"/>
        </w:rPr>
      </w:r>
    </w:p>
    <w:p>
      <w:pPr>
        <w:pStyle w:val="754"/>
        <w:tabs>
          <w:tab w:val="left" w:pos="5940" w:leader="none"/>
        </w:tabs>
        <w:rPr>
          <w:sz w:val="20"/>
          <w:szCs w:val="20"/>
          <w:lang w:val="en-US" w:eastAsia="en-US"/>
        </w:rPr>
      </w:pPr>
      <w:r>
        <w:rPr>
          <w:sz w:val="20"/>
          <w:szCs w:val="20"/>
          <w:lang w:val="en-US" w:eastAsia="en-US"/>
        </w:rPr>
      </w:r>
      <w:r>
        <w:rPr>
          <w:sz w:val="20"/>
          <w:szCs w:val="20"/>
          <w:lang w:val="en-US" w:eastAsia="en-US"/>
        </w:rPr>
      </w:r>
    </w:p>
    <w:tbl>
      <w:tblPr>
        <w:tblW w:w="10348" w:type="dxa"/>
        <w:tblInd w:w="-34" w:type="dxa"/>
        <w:tblLayout w:type="fixed"/>
        <w:tblCellMar>
          <w:left w:w="108" w:type="dxa"/>
          <w:top w:w="0" w:type="dxa"/>
          <w:right w:w="108" w:type="dxa"/>
          <w:bottom w:w="0" w:type="dxa"/>
        </w:tblCellMar>
        <w:tblLook w:val="04A0" w:firstRow="1" w:lastRow="0" w:firstColumn="1" w:lastColumn="0" w:noHBand="0" w:noVBand="1"/>
      </w:tblPr>
      <w:tblGrid>
        <w:gridCol w:w="851"/>
        <w:gridCol w:w="3827"/>
        <w:gridCol w:w="2410"/>
        <w:gridCol w:w="3260"/>
      </w:tblGrid>
      <w:tr>
        <w:tblPrEx/>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754"/>
              <w:ind w:right="-17"/>
              <w:jc w:val="center"/>
              <w:spacing w:before="120" w:after="120"/>
              <w:tabs>
                <w:tab w:val="left" w:pos="4464" w:leader="none"/>
                <w:tab w:val="left" w:pos="5760" w:leader="none"/>
              </w:tabs>
            </w:pPr>
            <w:r>
              <w:rPr>
                <w:b/>
                <w:bCs/>
              </w:rPr>
              <w:t xml:space="preserve">«4. Документарные аккредитивы</w:t>
            </w: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754"/>
              <w:ind w:right="-18"/>
              <w:jc w:val="center"/>
              <w:tabs>
                <w:tab w:val="left" w:pos="4464" w:leader="none"/>
                <w:tab w:val="left" w:pos="5760" w:leader="none"/>
              </w:tabs>
              <w:rPr>
                <w:iCs/>
                <w:sz w:val="20"/>
                <w:szCs w:val="20"/>
              </w:rPr>
            </w:pPr>
            <w:r>
              <w:rPr>
                <w:iCs/>
                <w:sz w:val="20"/>
                <w:szCs w:val="20"/>
              </w:rPr>
              <w:t xml:space="preserve">№ </w:t>
              <w:br w:type="textWrapping" w:clear="all"/>
              <w:t xml:space="preserve">п/п</w:t>
            </w:r>
            <w:r>
              <w:rPr>
                <w:i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754"/>
              <w:ind w:right="-18"/>
              <w:jc w:val="center"/>
              <w:keepNext/>
              <w:tabs>
                <w:tab w:val="left" w:pos="4464" w:leader="none"/>
                <w:tab w:val="left" w:pos="5760" w:leader="none"/>
              </w:tabs>
              <w:rPr>
                <w:iCs/>
                <w:sz w:val="20"/>
                <w:szCs w:val="20"/>
              </w:rPr>
              <w:outlineLvl w:val="7"/>
            </w:pPr>
            <w:r>
              <w:rPr>
                <w:iCs/>
                <w:sz w:val="20"/>
                <w:szCs w:val="20"/>
              </w:rPr>
              <w:t xml:space="preserve">Наименование услуги</w:t>
            </w:r>
            <w:r>
              <w:rPr>
                <w:i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754"/>
              <w:ind w:left="72" w:right="72"/>
              <w:jc w:val="center"/>
              <w:keepNext/>
              <w:tabs>
                <w:tab w:val="left" w:pos="4464" w:leader="none"/>
                <w:tab w:val="left" w:pos="5760" w:leader="none"/>
              </w:tabs>
              <w:rPr>
                <w:iCs/>
                <w:sz w:val="20"/>
                <w:szCs w:val="20"/>
              </w:rPr>
              <w:outlineLvl w:val="2"/>
            </w:pPr>
            <w:r>
              <w:rPr>
                <w:iCs/>
                <w:sz w:val="20"/>
                <w:szCs w:val="20"/>
              </w:rPr>
              <w:t xml:space="preserve">Тариф</w:t>
            </w:r>
            <w:r>
              <w:rPr>
                <w:i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754"/>
              <w:ind w:left="72" w:right="-18"/>
              <w:jc w:val="center"/>
              <w:tabs>
                <w:tab w:val="left" w:pos="4464" w:leader="none"/>
                <w:tab w:val="left" w:pos="5760" w:leader="none"/>
              </w:tabs>
              <w:rPr>
                <w:iCs/>
                <w:sz w:val="20"/>
                <w:szCs w:val="20"/>
              </w:rPr>
            </w:pPr>
            <w:r>
              <w:rPr>
                <w:iCs/>
                <w:sz w:val="20"/>
                <w:szCs w:val="20"/>
              </w:rPr>
              <w:t xml:space="preserve">Примечание</w:t>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spacing w:before="40" w:after="40"/>
              <w:rPr>
                <w:sz w:val="20"/>
                <w:szCs w:val="20"/>
              </w:rPr>
            </w:pPr>
            <w:r>
              <w:rPr>
                <w:b/>
                <w:bCs/>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754"/>
              <w:spacing w:before="40" w:after="40"/>
              <w:rPr>
                <w:b/>
                <w:sz w:val="20"/>
                <w:szCs w:val="20"/>
              </w:rPr>
            </w:pPr>
            <w:r>
              <w:rPr>
                <w:b/>
                <w:bCs/>
                <w:sz w:val="20"/>
                <w:szCs w:val="20"/>
              </w:rPr>
              <w:t xml:space="preserve">Операции по аккредитивам, открытым другими банками для расчетов по внешнеторговым сделкам </w:t>
            </w:r>
            <w:r>
              <w:rPr>
                <w:b/>
                <w:sz w:val="20"/>
                <w:szCs w:val="20"/>
              </w:rPr>
            </w:r>
            <w:r>
              <w:rPr>
                <w:b/>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spacing w:before="40" w:after="40"/>
              <w:rPr>
                <w:sz w:val="20"/>
                <w:szCs w:val="20"/>
              </w:rPr>
            </w:pPr>
            <w:r>
              <w:rPr>
                <w:sz w:val="20"/>
                <w:szCs w:val="20"/>
              </w:rPr>
              <w:t xml:space="preserve">4.1.1.</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spacing w:before="40" w:after="40"/>
              <w:rPr>
                <w:sz w:val="20"/>
                <w:szCs w:val="20"/>
              </w:rPr>
            </w:pPr>
            <w:r>
              <w:rPr>
                <w:bCs/>
                <w:sz w:val="20"/>
                <w:szCs w:val="20"/>
              </w:rPr>
              <w:t xml:space="preserve">Предварительное авизование аккредитива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spacing w:before="40" w:after="40"/>
              <w:rPr>
                <w:sz w:val="20"/>
                <w:szCs w:val="20"/>
              </w:rPr>
            </w:pPr>
            <w:r>
              <w:rPr>
                <w:sz w:val="20"/>
                <w:szCs w:val="20"/>
              </w:rPr>
              <w:t xml:space="preserve">10 </w:t>
            </w:r>
            <w:r>
              <w:rPr>
                <w:sz w:val="20"/>
                <w:szCs w:val="20"/>
                <w:lang w:val="en-US"/>
              </w:rPr>
              <w:t xml:space="preserve">0</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4.1.2.</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24"/>
              </w:numPr>
              <w:tabs>
                <w:tab w:val="left" w:pos="177" w:leader="none"/>
              </w:tabs>
              <w:rPr>
                <w:sz w:val="20"/>
                <w:szCs w:val="20"/>
              </w:rPr>
            </w:pPr>
            <w:r>
              <w:rPr>
                <w:sz w:val="20"/>
                <w:szCs w:val="20"/>
              </w:rPr>
              <w:t xml:space="preserve">Авизование аккредитива </w:t>
            </w:r>
            <w:r>
              <w:rPr>
                <w:sz w:val="20"/>
                <w:szCs w:val="20"/>
              </w:rPr>
            </w:r>
          </w:p>
          <w:p>
            <w:pPr>
              <w:pStyle w:val="754"/>
              <w:numPr>
                <w:ilvl w:val="0"/>
                <w:numId w:val="24"/>
              </w:numPr>
              <w:tabs>
                <w:tab w:val="left" w:pos="177" w:leader="none"/>
              </w:tabs>
              <w:rPr>
                <w:sz w:val="20"/>
                <w:szCs w:val="20"/>
              </w:rPr>
            </w:pPr>
            <w:r>
              <w:rPr>
                <w:bCs/>
                <w:sz w:val="20"/>
                <w:szCs w:val="20"/>
              </w:rPr>
              <w:t xml:space="preserve">Авизование изменения условий аккредитива, связанного с увеличением суммы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0,15% от суммы аккредитива </w:t>
            </w:r>
            <w:r>
              <w:rPr>
                <w:bCs/>
                <w:sz w:val="20"/>
                <w:szCs w:val="20"/>
              </w:rPr>
              <w:t xml:space="preserve">или увеличения суммы аккредитива</w:t>
            </w:r>
            <w:r>
              <w:rPr>
                <w:sz w:val="20"/>
                <w:szCs w:val="20"/>
              </w:rPr>
              <w:t xml:space="preserve">,</w:t>
            </w:r>
            <w:r>
              <w:rPr>
                <w:sz w:val="20"/>
                <w:szCs w:val="20"/>
              </w:rPr>
            </w:r>
          </w:p>
          <w:p>
            <w:pPr>
              <w:pStyle w:val="754"/>
              <w:jc w:val="center"/>
              <w:rPr>
                <w:sz w:val="20"/>
                <w:szCs w:val="20"/>
              </w:rPr>
            </w:pPr>
            <w:r>
              <w:rPr>
                <w:sz w:val="20"/>
                <w:szCs w:val="20"/>
              </w:rPr>
              <w:t xml:space="preserve">мин. 1</w:t>
            </w:r>
            <w:r>
              <w:rPr>
                <w:sz w:val="20"/>
                <w:szCs w:val="20"/>
                <w:lang w:val="en-US"/>
              </w:rPr>
              <w:t xml:space="preserve">0</w:t>
            </w:r>
            <w:r>
              <w:rPr>
                <w:sz w:val="20"/>
                <w:szCs w:val="20"/>
              </w:rPr>
              <w:t xml:space="preserve"> </w:t>
            </w:r>
            <w:r>
              <w:rPr>
                <w:sz w:val="20"/>
                <w:szCs w:val="20"/>
                <w:lang w:val="en-US"/>
              </w:rPr>
              <w:t xml:space="preserve">0</w:t>
            </w:r>
            <w:r>
              <w:rPr>
                <w:sz w:val="20"/>
                <w:szCs w:val="20"/>
              </w:rPr>
              <w:t xml:space="preserve">00 руб.,</w:t>
            </w:r>
            <w:r>
              <w:rPr>
                <w:sz w:val="20"/>
                <w:szCs w:val="20"/>
              </w:rPr>
            </w:r>
          </w:p>
          <w:p>
            <w:pPr>
              <w:pStyle w:val="754"/>
              <w:jc w:val="center"/>
              <w:rPr>
                <w:b/>
                <w:bCs/>
                <w:sz w:val="20"/>
                <w:szCs w:val="20"/>
              </w:rPr>
            </w:pPr>
            <w:r>
              <w:rPr>
                <w:sz w:val="20"/>
                <w:szCs w:val="20"/>
              </w:rPr>
              <w:t xml:space="preserve">макс. 75 000 руб.</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z w:val="20"/>
                <w:szCs w:val="20"/>
              </w:rPr>
            </w:pP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754"/>
              <w:jc w:val="center"/>
              <w:rPr>
                <w:sz w:val="20"/>
                <w:szCs w:val="20"/>
              </w:rPr>
            </w:pPr>
            <w:r>
              <w:rPr>
                <w:sz w:val="20"/>
                <w:szCs w:val="20"/>
              </w:rPr>
              <w:t xml:space="preserve">4.1.3.</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25"/>
              </w:numPr>
              <w:tabs>
                <w:tab w:val="left" w:pos="177" w:leader="none"/>
              </w:tabs>
              <w:rPr>
                <w:sz w:val="20"/>
                <w:szCs w:val="20"/>
              </w:rPr>
            </w:pPr>
            <w:r>
              <w:rPr>
                <w:sz w:val="20"/>
                <w:szCs w:val="20"/>
              </w:rPr>
              <w:t xml:space="preserve">Подтверждение аккредитива</w:t>
            </w:r>
            <w:r>
              <w:rPr>
                <w:sz w:val="20"/>
                <w:szCs w:val="20"/>
              </w:rPr>
            </w:r>
          </w:p>
          <w:p>
            <w:pPr>
              <w:pStyle w:val="754"/>
              <w:numPr>
                <w:ilvl w:val="0"/>
                <w:numId w:val="25"/>
              </w:numPr>
              <w:tabs>
                <w:tab w:val="left" w:pos="177" w:leader="none"/>
              </w:tabs>
              <w:rPr>
                <w:sz w:val="20"/>
                <w:szCs w:val="20"/>
              </w:rPr>
            </w:pPr>
            <w:r>
              <w:rPr>
                <w:sz w:val="20"/>
                <w:szCs w:val="20"/>
              </w:rPr>
              <w:t xml:space="preserve">Подтверждение изменения условий подтвержденного Банком аккредитива, связанного с увеличением суммы:</w:t>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z w:val="20"/>
                <w:szCs w:val="20"/>
                <w:highlight w:val="yellow"/>
              </w:rPr>
            </w:pPr>
            <w:r>
              <w:rPr>
                <w:iCs/>
                <w:sz w:val="20"/>
                <w:szCs w:val="20"/>
                <w:highlight w:val="yellow"/>
              </w:rPr>
            </w:r>
            <w:r>
              <w:rPr>
                <w:iCs/>
                <w:sz w:val="20"/>
                <w:szCs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75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rPr>
                <w:sz w:val="20"/>
                <w:szCs w:val="20"/>
              </w:rPr>
            </w:pPr>
            <w:r>
              <w:rPr>
                <w:bCs/>
                <w:iCs/>
                <w:sz w:val="20"/>
                <w:szCs w:val="20"/>
              </w:rPr>
              <w:t xml:space="preserve">- при предоставлении банком-эмитентом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0,80% годовых от суммы, предъявленной к оплате по аккредитиву, и/или неиспользованного остатка средств по аккредитиву</w:t>
            </w:r>
            <w:r>
              <w:rPr>
                <w:bCs/>
                <w:sz w:val="20"/>
                <w:szCs w:val="20"/>
              </w:rPr>
              <w:t xml:space="preserve">/от суммы тратты</w:t>
            </w:r>
            <w:r>
              <w:rPr>
                <w:sz w:val="20"/>
                <w:szCs w:val="20"/>
              </w:rPr>
              <w:t xml:space="preserve">, </w:t>
              <w:br w:type="textWrapping" w:clear="all"/>
              <w:t xml:space="preserve">мин. 10 000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z w:val="20"/>
                <w:szCs w:val="20"/>
              </w:rPr>
            </w:pP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75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rPr>
                <w:sz w:val="20"/>
                <w:szCs w:val="20"/>
              </w:rPr>
            </w:pPr>
            <w:r>
              <w:rPr>
                <w:iCs/>
                <w:sz w:val="20"/>
                <w:szCs w:val="20"/>
              </w:rPr>
              <w:t xml:space="preserve">- при отсутствии 100% </w:t>
            </w:r>
            <w:r>
              <w:rPr>
                <w:bCs/>
                <w:iCs/>
                <w:sz w:val="20"/>
                <w:szCs w:val="20"/>
              </w:rPr>
              <w:t xml:space="preserve">денежного покрытия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lang w:val="en-US"/>
              </w:rPr>
            </w:pPr>
            <w:r>
              <w:rPr>
                <w:sz w:val="20"/>
                <w:szCs w:val="20"/>
              </w:rPr>
              <w:t xml:space="preserve">По соглашению сторон</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z w:val="20"/>
                <w:szCs w:val="20"/>
                <w:highlight w:val="yellow"/>
              </w:rPr>
            </w:pPr>
            <w:r>
              <w:rPr>
                <w:iCs/>
                <w:sz w:val="20"/>
                <w:szCs w:val="20"/>
                <w:highlight w:val="yellow"/>
              </w:rPr>
            </w:r>
            <w:r>
              <w:rPr>
                <w:iCs/>
                <w:sz w:val="20"/>
                <w:szCs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4.1.4.</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25"/>
              </w:numPr>
              <w:ind w:hanging="42"/>
              <w:tabs>
                <w:tab w:val="left" w:pos="184" w:leader="none"/>
              </w:tabs>
              <w:rPr>
                <w:bCs/>
                <w:sz w:val="20"/>
                <w:szCs w:val="20"/>
              </w:rPr>
            </w:pPr>
            <w:r>
              <w:rPr>
                <w:iCs/>
                <w:sz w:val="20"/>
                <w:szCs w:val="20"/>
              </w:rPr>
              <w:t xml:space="preserve">Авизование изменения условий</w:t>
            </w:r>
            <w:r>
              <w:rPr>
                <w:bCs/>
                <w:sz w:val="20"/>
                <w:szCs w:val="20"/>
              </w:rPr>
              <w:t xml:space="preserve"> аккредитива, не связанного с увеличением суммы </w:t>
            </w:r>
            <w:r>
              <w:rPr>
                <w:bCs/>
                <w:sz w:val="20"/>
                <w:szCs w:val="20"/>
              </w:rPr>
            </w:r>
          </w:p>
          <w:p>
            <w:pPr>
              <w:pStyle w:val="754"/>
              <w:numPr>
                <w:ilvl w:val="0"/>
                <w:numId w:val="25"/>
              </w:numPr>
              <w:ind w:hanging="42"/>
              <w:tabs>
                <w:tab w:val="left" w:pos="0" w:leader="none"/>
                <w:tab w:val="left" w:pos="184" w:leader="none"/>
              </w:tabs>
              <w:rPr>
                <w:sz w:val="20"/>
                <w:szCs w:val="20"/>
              </w:rPr>
            </w:pPr>
            <w:r>
              <w:rPr>
                <w:sz w:val="20"/>
                <w:szCs w:val="20"/>
              </w:rPr>
              <w:t xml:space="preserve">Авизование запроса на аннуляцию аккредитива</w:t>
            </w:r>
            <w:r>
              <w:rPr>
                <w:sz w:val="20"/>
                <w:szCs w:val="20"/>
              </w:rPr>
            </w:r>
          </w:p>
          <w:p>
            <w:pPr>
              <w:pStyle w:val="754"/>
              <w:numPr>
                <w:ilvl w:val="0"/>
                <w:numId w:val="25"/>
              </w:numPr>
              <w:ind w:hanging="42"/>
              <w:tabs>
                <w:tab w:val="left" w:pos="184" w:leader="none"/>
              </w:tabs>
              <w:rPr>
                <w:i/>
                <w:iCs/>
                <w:sz w:val="20"/>
                <w:szCs w:val="20"/>
              </w:rPr>
            </w:pPr>
            <w:r>
              <w:rPr>
                <w:bCs/>
                <w:color w:val="000000"/>
                <w:sz w:val="20"/>
                <w:szCs w:val="20"/>
              </w:rPr>
              <w:t xml:space="preserve">Авизование иных сообщений по аккредитиву</w:t>
            </w:r>
            <w:r>
              <w:rPr>
                <w:i/>
                <w:iCs/>
                <w:sz w:val="20"/>
                <w:szCs w:val="20"/>
              </w:rPr>
            </w:r>
            <w:r>
              <w:rPr>
                <w:i/>
                <w:i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 3 500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strike/>
                <w:color w:val="ffffff"/>
                <w:sz w:val="20"/>
                <w:szCs w:val="20"/>
              </w:rPr>
            </w:pP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4.1.5.</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rPr>
                <w:sz w:val="20"/>
                <w:szCs w:val="20"/>
              </w:rPr>
            </w:pPr>
            <w:r>
              <w:rPr>
                <w:bCs/>
                <w:sz w:val="20"/>
                <w:szCs w:val="20"/>
              </w:rPr>
              <w:t xml:space="preserve">Обработка/проверка документов</w:t>
            </w:r>
            <w:r>
              <w:rPr>
                <w:sz w:val="20"/>
                <w:szCs w:val="20"/>
              </w:rPr>
              <w:t xml:space="preserve"> </w:t>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0,15% от суммы, </w:t>
            </w:r>
            <w:r>
              <w:rPr>
                <w:bCs/>
                <w:sz w:val="20"/>
                <w:szCs w:val="20"/>
              </w:rPr>
              <w:t xml:space="preserve">запрошенной к оплате</w:t>
            </w:r>
            <w:r>
              <w:rPr>
                <w:sz w:val="20"/>
                <w:szCs w:val="20"/>
              </w:rPr>
              <w:t xml:space="preserve">,</w:t>
            </w:r>
            <w:r>
              <w:rPr>
                <w:sz w:val="20"/>
                <w:szCs w:val="20"/>
              </w:rPr>
            </w:r>
          </w:p>
          <w:p>
            <w:pPr>
              <w:pStyle w:val="754"/>
              <w:jc w:val="center"/>
              <w:rPr>
                <w:sz w:val="20"/>
                <w:szCs w:val="20"/>
              </w:rPr>
            </w:pPr>
            <w:r>
              <w:rPr>
                <w:sz w:val="20"/>
                <w:szCs w:val="20"/>
              </w:rPr>
              <w:t xml:space="preserve">мин. 1</w:t>
            </w:r>
            <w:r>
              <w:rPr>
                <w:sz w:val="20"/>
                <w:szCs w:val="20"/>
                <w:lang w:val="en-US"/>
              </w:rPr>
              <w:t xml:space="preserve">0</w:t>
            </w:r>
            <w:r>
              <w:rPr>
                <w:sz w:val="20"/>
                <w:szCs w:val="20"/>
              </w:rPr>
              <w:t xml:space="preserve"> 000 руб.,</w:t>
            </w:r>
            <w:r>
              <w:rPr>
                <w:sz w:val="20"/>
                <w:szCs w:val="20"/>
              </w:rPr>
            </w:r>
          </w:p>
          <w:p>
            <w:pPr>
              <w:pStyle w:val="754"/>
              <w:jc w:val="center"/>
              <w:rPr>
                <w:sz w:val="20"/>
                <w:szCs w:val="20"/>
              </w:rPr>
            </w:pPr>
            <w:r>
              <w:rPr>
                <w:sz w:val="20"/>
                <w:szCs w:val="20"/>
              </w:rPr>
              <w:t xml:space="preserve">макс. 3</w:t>
            </w:r>
            <w:r>
              <w:rPr>
                <w:sz w:val="20"/>
                <w:szCs w:val="20"/>
                <w:lang w:val="en-US"/>
              </w:rPr>
              <w:t xml:space="preserve">5</w:t>
            </w:r>
            <w:r>
              <w:rPr>
                <w:sz w:val="20"/>
                <w:szCs w:val="20"/>
              </w:rPr>
              <w:t xml:space="preserve">0 000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z w:val="20"/>
                <w:szCs w:val="20"/>
              </w:rPr>
            </w:pPr>
            <w:r>
              <w:rPr>
                <w:bCs/>
                <w:sz w:val="20"/>
                <w:szCs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4.1.6.</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keepNext/>
              <w:rPr>
                <w:sz w:val="20"/>
                <w:szCs w:val="20"/>
              </w:rPr>
              <w:outlineLvl w:val="6"/>
            </w:pPr>
            <w:r>
              <w:rPr>
                <w:sz w:val="20"/>
                <w:szCs w:val="20"/>
              </w:rPr>
              <w:t xml:space="preserve">Комиссия за </w:t>
            </w:r>
            <w:r>
              <w:rPr>
                <w:bCs/>
                <w:sz w:val="20"/>
                <w:szCs w:val="20"/>
              </w:rPr>
              <w:t xml:space="preserve">предоставление </w:t>
            </w:r>
            <w:r>
              <w:rPr>
                <w:sz w:val="20"/>
                <w:szCs w:val="20"/>
              </w:rPr>
              <w:t xml:space="preserve">отсрочки </w:t>
            </w:r>
            <w:r>
              <w:rPr>
                <w:bCs/>
                <w:sz w:val="20"/>
                <w:szCs w:val="20"/>
              </w:rPr>
              <w:t xml:space="preserve">возмещения</w:t>
            </w:r>
            <w:r>
              <w:rPr>
                <w:sz w:val="20"/>
                <w:szCs w:val="20"/>
              </w:rPr>
              <w:t xml:space="preserve"> платежа, совершенного по аккредитиву (в случае исполнения подтвержденного аккредитива и предоставления финансирования Банком)</w:t>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По соглашению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z w:val="20"/>
                <w:szCs w:val="20"/>
              </w:rPr>
            </w:pP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4.1.7.</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keepNext/>
              <w:rPr>
                <w:sz w:val="20"/>
                <w:szCs w:val="20"/>
              </w:rPr>
              <w:outlineLvl w:val="6"/>
            </w:pPr>
            <w:r>
              <w:rPr>
                <w:sz w:val="20"/>
                <w:szCs w:val="20"/>
              </w:rPr>
              <w:t xml:space="preserve">Запрос по аккредитиву по инициативе клиента/банка-контрагента</w:t>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2 500 руб. </w:t>
            </w:r>
            <w:r>
              <w:rPr>
                <w:bCs/>
                <w:sz w:val="20"/>
                <w:szCs w:val="20"/>
              </w:rPr>
              <w:t xml:space="preserve">за каждый запрос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bCs/>
                <w:sz w:val="20"/>
                <w:szCs w:val="20"/>
              </w:rPr>
            </w:pPr>
            <w:r>
              <w:rPr>
                <w:bCs/>
                <w:sz w:val="20"/>
                <w:szCs w:val="20"/>
              </w:rPr>
            </w:r>
            <w:r>
              <w:rPr>
                <w:bCs/>
                <w:sz w:val="20"/>
                <w:szCs w:val="20"/>
              </w:rPr>
            </w:r>
          </w:p>
          <w:p>
            <w:pPr>
              <w:pStyle w:val="754"/>
              <w:jc w:val="center"/>
              <w:rPr>
                <w:iCs/>
                <w:strike/>
                <w:color w:val="ffffff"/>
                <w:sz w:val="20"/>
                <w:szCs w:val="20"/>
              </w:rPr>
            </w:pPr>
            <w:r>
              <w:rPr>
                <w:iCs/>
                <w:strike/>
                <w:color w:val="ffffff"/>
                <w:sz w:val="20"/>
                <w:szCs w:val="20"/>
              </w:rPr>
            </w:r>
            <w:r>
              <w:rPr>
                <w:iCs/>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lang w:val="en-US"/>
              </w:rPr>
              <w:t xml:space="preserve">4</w:t>
            </w:r>
            <w:r>
              <w:rPr>
                <w:sz w:val="20"/>
                <w:szCs w:val="20"/>
              </w:rPr>
              <w:t xml:space="preserve">.1.8.</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keepNext/>
              <w:rPr>
                <w:sz w:val="20"/>
                <w:szCs w:val="20"/>
              </w:rPr>
              <w:outlineLvl w:val="6"/>
            </w:pPr>
            <w:r>
              <w:rPr>
                <w:sz w:val="20"/>
                <w:szCs w:val="20"/>
              </w:rPr>
              <w:t xml:space="preserve">Проверка правильности телексных ключей</w:t>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4 000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trike/>
                <w:color w:val="ffffff"/>
                <w:sz w:val="20"/>
                <w:szCs w:val="20"/>
              </w:rPr>
            </w:pPr>
            <w:r>
              <w:rPr>
                <w:bCs/>
                <w:sz w:val="20"/>
                <w:szCs w:val="20"/>
              </w:rPr>
              <w:t xml:space="preserve">Комиссия включает НДС</w:t>
            </w:r>
            <w:r>
              <w:rPr>
                <w:iCs/>
                <w:strike/>
                <w:color w:val="ffffff"/>
                <w:sz w:val="20"/>
                <w:szCs w:val="20"/>
              </w:rPr>
            </w:r>
            <w:r>
              <w:rPr>
                <w:iCs/>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754"/>
              <w:jc w:val="center"/>
              <w:rPr>
                <w:bCs/>
                <w:sz w:val="20"/>
                <w:szCs w:val="20"/>
              </w:rPr>
            </w:pPr>
            <w:r>
              <w:rPr>
                <w:sz w:val="20"/>
                <w:szCs w:val="20"/>
                <w:lang w:val="en-US"/>
              </w:rPr>
              <w:t xml:space="preserve">4</w:t>
            </w:r>
            <w:r>
              <w:rPr>
                <w:sz w:val="20"/>
                <w:szCs w:val="20"/>
              </w:rPr>
              <w:t xml:space="preserve">.1.9.</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26"/>
              </w:numPr>
              <w:tabs>
                <w:tab w:val="left" w:pos="177" w:leader="none"/>
              </w:tabs>
              <w:rPr>
                <w:color w:val="000000"/>
                <w:sz w:val="20"/>
                <w:szCs w:val="20"/>
              </w:rPr>
            </w:pPr>
            <w:r>
              <w:rPr>
                <w:color w:val="000000"/>
                <w:sz w:val="20"/>
                <w:szCs w:val="20"/>
              </w:rPr>
              <w:t xml:space="preserve">Выпуск рамбурсного обязательства</w:t>
            </w:r>
            <w:r>
              <w:rPr>
                <w:color w:val="000000"/>
                <w:sz w:val="20"/>
                <w:szCs w:val="20"/>
              </w:rPr>
            </w:r>
          </w:p>
          <w:p>
            <w:pPr>
              <w:pStyle w:val="754"/>
              <w:numPr>
                <w:ilvl w:val="0"/>
                <w:numId w:val="26"/>
              </w:numPr>
              <w:tabs>
                <w:tab w:val="left" w:pos="184" w:leader="none"/>
              </w:tabs>
              <w:rPr>
                <w:rFonts w:eastAsia="Arial Unicode MS"/>
                <w:bCs/>
                <w:sz w:val="20"/>
                <w:szCs w:val="20"/>
              </w:rPr>
            </w:pPr>
            <w:r>
              <w:rPr>
                <w:sz w:val="20"/>
                <w:szCs w:val="20"/>
              </w:rPr>
              <w:t xml:space="preserve">Внесение изменений в условия рамбурсного обязательства, связанное с увеличением суммы: </w:t>
            </w:r>
            <w:r>
              <w:rPr>
                <w:rFonts w:eastAsia="Arial Unicode MS"/>
                <w:bCs/>
                <w:sz w:val="20"/>
                <w:szCs w:val="20"/>
              </w:rPr>
            </w:r>
            <w:r>
              <w:rPr>
                <w:rFonts w:eastAsia="Arial Unicode MS"/>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rPr>
                <w:color w:val="000000"/>
                <w:sz w:val="20"/>
                <w:szCs w:val="20"/>
              </w:rPr>
            </w:pP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both"/>
              <w:rPr>
                <w:color w:val="000000"/>
                <w:sz w:val="20"/>
                <w:szCs w:val="20"/>
              </w:rPr>
            </w:pPr>
            <w:r>
              <w:rPr>
                <w:color w:val="000000"/>
                <w:sz w:val="20"/>
                <w:szCs w:val="20"/>
              </w:rPr>
            </w:r>
            <w:r>
              <w:rPr>
                <w:color w:val="000000"/>
                <w:sz w:val="20"/>
                <w:szCs w:val="20"/>
              </w:rPr>
            </w:r>
          </w:p>
          <w:p>
            <w:pPr>
              <w:pStyle w:val="754"/>
              <w:jc w:val="both"/>
              <w:rPr>
                <w:iCs/>
                <w:sz w:val="20"/>
                <w:szCs w:val="20"/>
              </w:rPr>
            </w:pP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754"/>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tabs>
                <w:tab w:val="left" w:pos="177" w:leader="none"/>
              </w:tabs>
              <w:rPr>
                <w:color w:val="000000"/>
                <w:sz w:val="20"/>
                <w:szCs w:val="20"/>
              </w:rPr>
            </w:pPr>
            <w:r>
              <w:rPr>
                <w:bCs/>
                <w:color w:val="000000"/>
                <w:sz w:val="20"/>
                <w:szCs w:val="20"/>
              </w:rPr>
              <w:t xml:space="preserve">- при наличии 100% денежного покрытия</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color w:val="000000"/>
                <w:sz w:val="20"/>
                <w:szCs w:val="20"/>
              </w:rPr>
            </w:pPr>
            <w:r>
              <w:rPr>
                <w:color w:val="000000"/>
                <w:sz w:val="20"/>
                <w:szCs w:val="20"/>
              </w:rPr>
              <w:t xml:space="preserve">0,60% годовых от суммы рамбурсного требования и/или неиспользованного остатка по рамбурсному обязательству, </w:t>
            </w:r>
            <w:r>
              <w:rPr>
                <w:color w:val="000000"/>
                <w:sz w:val="20"/>
                <w:szCs w:val="20"/>
              </w:rPr>
            </w:r>
          </w:p>
          <w:p>
            <w:pPr>
              <w:pStyle w:val="754"/>
              <w:jc w:val="center"/>
              <w:rPr>
                <w:color w:val="000000"/>
                <w:sz w:val="20"/>
                <w:szCs w:val="20"/>
              </w:rPr>
            </w:pPr>
            <w:r>
              <w:rPr>
                <w:color w:val="000000"/>
                <w:sz w:val="20"/>
                <w:szCs w:val="20"/>
              </w:rPr>
              <w:t xml:space="preserve">мин. 10 000 руб.</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color w:val="000000"/>
                <w:sz w:val="20"/>
                <w:szCs w:val="20"/>
              </w:rPr>
            </w:pPr>
            <w:r>
              <w:rPr>
                <w:color w:val="000000"/>
                <w:sz w:val="20"/>
                <w:szCs w:val="20"/>
              </w:rPr>
            </w:r>
            <w:r>
              <w:rPr>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754"/>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tabs>
                <w:tab w:val="left" w:pos="177" w:leader="none"/>
              </w:tabs>
              <w:rPr>
                <w:color w:val="000000"/>
                <w:sz w:val="20"/>
                <w:szCs w:val="20"/>
              </w:rPr>
            </w:pPr>
            <w:r>
              <w:rPr>
                <w:bCs/>
                <w:color w:val="000000"/>
                <w:sz w:val="20"/>
                <w:szCs w:val="20"/>
              </w:rPr>
              <w:t xml:space="preserve">- при отсутствии 100% денежного покрытия</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color w:val="000000"/>
                <w:sz w:val="20"/>
                <w:szCs w:val="20"/>
              </w:rPr>
            </w:pPr>
            <w:r>
              <w:rPr>
                <w:color w:val="000000"/>
                <w:sz w:val="20"/>
                <w:szCs w:val="20"/>
              </w:rPr>
              <w:t xml:space="preserve">По соглашению сторон</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both"/>
              <w:rPr>
                <w:color w:val="000000"/>
                <w:sz w:val="20"/>
                <w:szCs w:val="20"/>
              </w:rPr>
            </w:pPr>
            <w:r>
              <w:rPr>
                <w:color w:val="000000"/>
                <w:sz w:val="20"/>
                <w:szCs w:val="20"/>
              </w:rPr>
            </w:r>
            <w:r>
              <w:rPr>
                <w:color w:val="00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bCs/>
                <w:sz w:val="20"/>
                <w:szCs w:val="20"/>
              </w:rPr>
            </w:pPr>
            <w:r>
              <w:rPr>
                <w:sz w:val="20"/>
                <w:szCs w:val="20"/>
                <w:lang w:val="en-US"/>
              </w:rPr>
              <w:t xml:space="preserve">4</w:t>
            </w:r>
            <w:r>
              <w:rPr>
                <w:sz w:val="20"/>
                <w:szCs w:val="20"/>
              </w:rPr>
              <w:t xml:space="preserve">.1.10.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27"/>
              </w:numPr>
              <w:tabs>
                <w:tab w:val="left" w:pos="177" w:leader="none"/>
              </w:tabs>
              <w:rPr>
                <w:bCs/>
                <w:sz w:val="20"/>
                <w:szCs w:val="20"/>
              </w:rPr>
            </w:pPr>
            <w:r>
              <w:rPr>
                <w:bCs/>
                <w:sz w:val="20"/>
                <w:szCs w:val="20"/>
              </w:rPr>
              <w:t xml:space="preserve">Изменение условий рамбурсного обязательства, не связанное с увеличением суммы</w:t>
            </w:r>
            <w:r>
              <w:rPr>
                <w:bCs/>
                <w:sz w:val="20"/>
                <w:szCs w:val="20"/>
              </w:rPr>
            </w:r>
          </w:p>
          <w:p>
            <w:pPr>
              <w:pStyle w:val="754"/>
              <w:numPr>
                <w:ilvl w:val="0"/>
                <w:numId w:val="27"/>
              </w:numPr>
              <w:keepNext/>
              <w:tabs>
                <w:tab w:val="left" w:pos="177" w:leader="none"/>
              </w:tabs>
              <w:rPr>
                <w:bCs/>
                <w:sz w:val="20"/>
                <w:szCs w:val="20"/>
              </w:rPr>
              <w:outlineLvl w:val="0"/>
            </w:pPr>
            <w:r>
              <w:rPr>
                <w:bCs/>
                <w:sz w:val="20"/>
                <w:szCs w:val="20"/>
              </w:rPr>
              <w:t xml:space="preserve">Запрос на аннуляцию рамбурсного обязательства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iCs/>
                <w:sz w:val="20"/>
                <w:szCs w:val="20"/>
              </w:rPr>
            </w:pPr>
            <w:r>
              <w:rPr>
                <w:bCs/>
                <w:sz w:val="20"/>
                <w:szCs w:val="20"/>
              </w:rPr>
              <w:t xml:space="preserve">1</w:t>
            </w:r>
            <w:r>
              <w:rPr>
                <w:bCs/>
                <w:sz w:val="20"/>
                <w:szCs w:val="20"/>
                <w:lang w:val="en-US"/>
              </w:rPr>
              <w:t xml:space="preserve">0 0</w:t>
            </w:r>
            <w:r>
              <w:rPr>
                <w:bCs/>
                <w:sz w:val="20"/>
                <w:szCs w:val="20"/>
              </w:rPr>
              <w:t xml:space="preserve">00 руб.</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z w:val="20"/>
                <w:szCs w:val="20"/>
              </w:rPr>
            </w:pP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bCs/>
                <w:sz w:val="20"/>
                <w:szCs w:val="20"/>
              </w:rPr>
            </w:pPr>
            <w:r>
              <w:rPr>
                <w:sz w:val="20"/>
                <w:szCs w:val="20"/>
                <w:lang w:val="en-US"/>
              </w:rPr>
              <w:t xml:space="preserve">4</w:t>
            </w:r>
            <w:r>
              <w:rPr>
                <w:sz w:val="20"/>
                <w:szCs w:val="20"/>
              </w:rPr>
              <w:t xml:space="preserve">.1.11.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keepNext/>
              <w:rPr>
                <w:bCs/>
                <w:sz w:val="20"/>
                <w:szCs w:val="20"/>
              </w:rPr>
              <w:outlineLvl w:val="0"/>
            </w:pPr>
            <w:r>
              <w:rPr>
                <w:bCs/>
                <w:sz w:val="20"/>
                <w:szCs w:val="20"/>
              </w:rPr>
              <w:t xml:space="preserve">Платеж по рамбурсному требованию</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iCs/>
                <w:sz w:val="20"/>
                <w:szCs w:val="20"/>
              </w:rPr>
            </w:pPr>
            <w:r>
              <w:rPr>
                <w:bCs/>
                <w:sz w:val="20"/>
                <w:szCs w:val="20"/>
              </w:rPr>
              <w:t xml:space="preserve">3 </w:t>
            </w:r>
            <w:r>
              <w:rPr>
                <w:bCs/>
                <w:sz w:val="20"/>
                <w:szCs w:val="20"/>
                <w:lang w:val="en-US"/>
              </w:rPr>
              <w:t xml:space="preserve">5</w:t>
            </w:r>
            <w:r>
              <w:rPr>
                <w:bCs/>
                <w:sz w:val="20"/>
                <w:szCs w:val="20"/>
              </w:rPr>
              <w:t xml:space="preserve">00 руб.</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rPr>
                <w:iCs/>
                <w:sz w:val="20"/>
                <w:szCs w:val="20"/>
              </w:rPr>
            </w:pP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spacing w:before="40" w:after="40"/>
              <w:rPr>
                <w:b/>
                <w:sz w:val="20"/>
                <w:szCs w:val="20"/>
              </w:rPr>
            </w:pPr>
            <w:r>
              <w:rPr>
                <w:b/>
                <w:bCs/>
                <w:sz w:val="20"/>
                <w:szCs w:val="20"/>
              </w:rPr>
              <w:t xml:space="preserve">4.2.</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754"/>
              <w:spacing w:before="40" w:after="40"/>
              <w:rPr>
                <w:b/>
                <w:sz w:val="20"/>
                <w:szCs w:val="20"/>
              </w:rPr>
            </w:pPr>
            <w:r>
              <w:rPr>
                <w:b/>
                <w:sz w:val="20"/>
                <w:szCs w:val="20"/>
              </w:rPr>
              <w:t xml:space="preserve">Операции по аккредитивам, открытым АО «Россельхозбанк» по запросам банков-контрагентов для расчетов по внешнеторговым сделкам:</w:t>
            </w:r>
            <w:r>
              <w:rPr>
                <w:b/>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754"/>
              <w:jc w:val="center"/>
              <w:rPr>
                <w:sz w:val="20"/>
                <w:szCs w:val="20"/>
              </w:rPr>
            </w:pPr>
            <w:r>
              <w:rPr>
                <w:sz w:val="20"/>
                <w:szCs w:val="20"/>
              </w:rPr>
              <w:t xml:space="preserve">4.2.1.</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28"/>
              </w:numPr>
              <w:ind w:firstLine="35"/>
              <w:tabs>
                <w:tab w:val="left" w:pos="177" w:leader="none"/>
              </w:tabs>
              <w:rPr>
                <w:iCs/>
                <w:sz w:val="20"/>
                <w:szCs w:val="20"/>
              </w:rPr>
            </w:pPr>
            <w:r>
              <w:rPr>
                <w:iCs/>
                <w:sz w:val="20"/>
                <w:szCs w:val="20"/>
              </w:rPr>
              <w:t xml:space="preserve">Открытие аккредитива</w:t>
            </w:r>
            <w:r>
              <w:rPr>
                <w:iCs/>
                <w:sz w:val="20"/>
                <w:szCs w:val="20"/>
              </w:rPr>
            </w:r>
          </w:p>
          <w:p>
            <w:pPr>
              <w:pStyle w:val="754"/>
              <w:numPr>
                <w:ilvl w:val="0"/>
                <w:numId w:val="28"/>
              </w:numPr>
              <w:ind w:firstLine="35"/>
              <w:tabs>
                <w:tab w:val="left" w:pos="177" w:leader="none"/>
              </w:tabs>
              <w:rPr>
                <w:iCs/>
                <w:sz w:val="20"/>
                <w:szCs w:val="20"/>
              </w:rPr>
            </w:pPr>
            <w:r>
              <w:rPr>
                <w:iCs/>
                <w:sz w:val="20"/>
                <w:szCs w:val="20"/>
              </w:rPr>
              <w:t xml:space="preserve">Увеличение суммы</w:t>
            </w:r>
            <w:r>
              <w:rPr>
                <w:iCs/>
                <w:sz w:val="20"/>
                <w:szCs w:val="20"/>
              </w:rPr>
            </w:r>
          </w:p>
          <w:p>
            <w:pPr>
              <w:pStyle w:val="754"/>
              <w:numPr>
                <w:ilvl w:val="0"/>
                <w:numId w:val="28"/>
              </w:numPr>
              <w:ind w:firstLine="35"/>
              <w:tabs>
                <w:tab w:val="left" w:pos="177" w:leader="none"/>
              </w:tabs>
              <w:rPr>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iCs/>
                <w:sz w:val="20"/>
                <w:szCs w:val="20"/>
              </w:rPr>
            </w:pP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z w:val="20"/>
                <w:szCs w:val="20"/>
              </w:rPr>
            </w:pP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75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tabs>
                <w:tab w:val="left" w:pos="432" w:leader="none"/>
              </w:tabs>
              <w:rPr>
                <w:sz w:val="20"/>
                <w:szCs w:val="20"/>
              </w:rPr>
            </w:pPr>
            <w:r>
              <w:rPr>
                <w:sz w:val="20"/>
                <w:szCs w:val="20"/>
              </w:rPr>
              <w:t xml:space="preserve">- при наличии 100% </w:t>
            </w:r>
            <w:r>
              <w:rPr>
                <w:bCs/>
                <w:iCs/>
                <w:sz w:val="20"/>
                <w:szCs w:val="20"/>
              </w:rPr>
              <w:t xml:space="preserve">денежного покрытия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rFonts w:ascii="Times New Roman CYR" w:hAnsi="Times New Roman CYR" w:cs="Times New Roman CYR"/>
                <w:sz w:val="20"/>
                <w:szCs w:val="20"/>
              </w:rPr>
            </w:pPr>
            <w:r>
              <w:rPr>
                <w:rFonts w:ascii="Times New Roman CYR" w:hAnsi="Times New Roman CYR" w:cs="Times New Roman CYR"/>
                <w:sz w:val="20"/>
                <w:szCs w:val="20"/>
              </w:rPr>
              <w:t xml:space="preserve">0,60% годовых от суммы, </w:t>
            </w:r>
            <w:r>
              <w:rPr>
                <w:sz w:val="20"/>
                <w:szCs w:val="20"/>
              </w:rPr>
              <w:t xml:space="preserve">предъявленной к оплате по</w:t>
            </w:r>
            <w:r>
              <w:rPr>
                <w:rFonts w:ascii="Times New Roman CYR" w:hAnsi="Times New Roman CYR" w:cs="Times New Roman CYR"/>
                <w:sz w:val="20"/>
                <w:szCs w:val="20"/>
              </w:rPr>
              <w:t xml:space="preserve"> аккредитиву,</w:t>
            </w:r>
            <w:r>
              <w:rPr>
                <w:rFonts w:ascii="Times New Roman CYR" w:hAnsi="Times New Roman CYR" w:cs="Times New Roman CYR"/>
                <w:bCs/>
                <w:sz w:val="20"/>
                <w:szCs w:val="20"/>
              </w:rPr>
              <w:t xml:space="preserve"> и/или неиспользованного остатка средств по аккредитиву</w:t>
            </w:r>
            <w:r>
              <w:rPr>
                <w:rFonts w:ascii="Times New Roman CYR" w:hAnsi="Times New Roman CYR" w:cs="Times New Roman CYR"/>
                <w:sz w:val="20"/>
                <w:szCs w:val="20"/>
              </w:rPr>
              <w:t xml:space="preserve">, </w:t>
              <w:br w:type="textWrapping" w:clear="all"/>
              <w:t xml:space="preserve">мин.10 000 руб. </w:t>
            </w:r>
            <w:r>
              <w:rPr>
                <w:rFonts w:ascii="Times New Roman CYR" w:hAnsi="Times New Roman CYR" w:cs="Times New Roman CY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75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tabs>
                <w:tab w:val="left" w:pos="432" w:leader="none"/>
              </w:tabs>
              <w:rPr>
                <w:bCs/>
                <w:sz w:val="20"/>
                <w:szCs w:val="20"/>
              </w:rPr>
            </w:pPr>
            <w:r>
              <w:rPr>
                <w:bCs/>
                <w:sz w:val="20"/>
                <w:szCs w:val="20"/>
              </w:rPr>
              <w:t xml:space="preserve">- при отсутствии 100% денежного покрытия </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По соглашению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4.2.2.</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29"/>
              </w:numPr>
              <w:tabs>
                <w:tab w:val="left" w:pos="184" w:leader="none"/>
              </w:tabs>
              <w:rPr>
                <w:bCs/>
                <w:sz w:val="20"/>
                <w:szCs w:val="20"/>
              </w:rPr>
            </w:pPr>
            <w:r>
              <w:rPr>
                <w:iCs/>
                <w:sz w:val="20"/>
                <w:szCs w:val="20"/>
              </w:rPr>
              <w:t xml:space="preserve">Внесение изменений в условия </w:t>
            </w:r>
            <w:r>
              <w:rPr>
                <w:bCs/>
                <w:sz w:val="20"/>
                <w:szCs w:val="20"/>
              </w:rPr>
              <w:t xml:space="preserve">открытого Банком аккредитива, не связанных с увеличением суммы</w:t>
            </w:r>
            <w:r>
              <w:rPr>
                <w:bCs/>
                <w:sz w:val="20"/>
                <w:szCs w:val="20"/>
              </w:rPr>
            </w:r>
          </w:p>
          <w:p>
            <w:pPr>
              <w:pStyle w:val="754"/>
              <w:numPr>
                <w:ilvl w:val="0"/>
                <w:numId w:val="30"/>
              </w:numPr>
              <w:tabs>
                <w:tab w:val="left" w:pos="177" w:leader="none"/>
              </w:tabs>
              <w:rPr>
                <w:bCs/>
                <w:sz w:val="20"/>
                <w:szCs w:val="20"/>
              </w:rPr>
            </w:pPr>
            <w:r>
              <w:rPr>
                <w:bCs/>
                <w:sz w:val="20"/>
                <w:szCs w:val="20"/>
              </w:rPr>
              <w:t xml:space="preserve">Запрос согласия на аннуляцию аккредитива</w:t>
            </w:r>
            <w:r>
              <w:rPr>
                <w:bCs/>
                <w:sz w:val="20"/>
                <w:szCs w:val="20"/>
              </w:rPr>
            </w:r>
          </w:p>
          <w:p>
            <w:pPr>
              <w:pStyle w:val="754"/>
              <w:jc w:val="both"/>
              <w:tabs>
                <w:tab w:val="left" w:pos="177" w:leader="none"/>
              </w:tabs>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3 </w:t>
            </w:r>
            <w:r>
              <w:rPr>
                <w:sz w:val="20"/>
                <w:szCs w:val="20"/>
                <w:lang w:val="en-US"/>
              </w:rPr>
              <w:t xml:space="preserve">5</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strike/>
                <w:color w:val="ffffff"/>
                <w:sz w:val="20"/>
                <w:szCs w:val="20"/>
              </w:rPr>
            </w:pP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4.2.3.</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rPr>
                <w:bCs/>
                <w:sz w:val="20"/>
                <w:szCs w:val="20"/>
              </w:rPr>
            </w:pPr>
            <w:r>
              <w:rPr>
                <w:bCs/>
                <w:sz w:val="20"/>
                <w:szCs w:val="20"/>
              </w:rPr>
              <w:t xml:space="preserve">Обработка/проверка документов</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0,15% от суммы, </w:t>
            </w:r>
            <w:r>
              <w:rPr>
                <w:bCs/>
                <w:sz w:val="20"/>
                <w:szCs w:val="20"/>
              </w:rPr>
              <w:t xml:space="preserve">запрошенной к оплате</w:t>
            </w:r>
            <w:r>
              <w:rPr>
                <w:sz w:val="20"/>
                <w:szCs w:val="20"/>
              </w:rPr>
              <w:t xml:space="preserve">,</w:t>
            </w:r>
            <w:r>
              <w:rPr>
                <w:sz w:val="20"/>
                <w:szCs w:val="20"/>
              </w:rPr>
            </w:r>
          </w:p>
          <w:p>
            <w:pPr>
              <w:pStyle w:val="754"/>
              <w:jc w:val="center"/>
              <w:rPr>
                <w:sz w:val="20"/>
                <w:szCs w:val="20"/>
              </w:rPr>
            </w:pPr>
            <w:r>
              <w:rPr>
                <w:sz w:val="20"/>
                <w:szCs w:val="20"/>
              </w:rPr>
              <w:t xml:space="preserve">мин. 10 </w:t>
            </w:r>
            <w:r>
              <w:rPr>
                <w:sz w:val="20"/>
                <w:szCs w:val="20"/>
                <w:lang w:val="en-US"/>
              </w:rPr>
              <w:t xml:space="preserve">0</w:t>
            </w:r>
            <w:r>
              <w:rPr>
                <w:sz w:val="20"/>
                <w:szCs w:val="20"/>
              </w:rPr>
              <w:t xml:space="preserve">00 руб., макс. 350 000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iCs/>
                <w:sz w:val="20"/>
                <w:szCs w:val="20"/>
              </w:rPr>
            </w:pPr>
            <w:r>
              <w:rPr>
                <w:bCs/>
                <w:sz w:val="20"/>
                <w:szCs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szCs w:val="20"/>
              </w:rPr>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4.2.4.</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keepNext/>
              <w:rPr>
                <w:sz w:val="20"/>
                <w:szCs w:val="20"/>
              </w:rPr>
              <w:outlineLvl w:val="6"/>
            </w:pPr>
            <w:r>
              <w:rPr>
                <w:sz w:val="20"/>
                <w:szCs w:val="20"/>
              </w:rPr>
              <w:t xml:space="preserve">Запрос по аккредитиву или рамбурсному обязательству по инициативе клиента/банка-контрагента</w:t>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2 500 руб. </w:t>
            </w:r>
            <w:r>
              <w:rPr>
                <w:bCs/>
                <w:sz w:val="20"/>
                <w:szCs w:val="20"/>
              </w:rPr>
              <w:t xml:space="preserve">за каждый запрос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4.2.5.</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rPr>
                <w:sz w:val="20"/>
                <w:szCs w:val="20"/>
              </w:rPr>
            </w:pPr>
            <w:r>
              <w:rPr>
                <w:bCs/>
                <w:sz w:val="20"/>
                <w:szCs w:val="20"/>
              </w:rPr>
              <w:t xml:space="preserve">Проверка правильности телексных ключей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4 000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strike/>
                <w:color w:val="ffffff"/>
                <w:sz w:val="20"/>
                <w:szCs w:val="20"/>
              </w:rPr>
            </w:pPr>
            <w:r>
              <w:rPr>
                <w:bCs/>
                <w:sz w:val="20"/>
                <w:szCs w:val="20"/>
              </w:rPr>
              <w:t xml:space="preserve">Комиссия включает НДС</w:t>
            </w: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4.2.6.</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30"/>
              </w:numPr>
              <w:tabs>
                <w:tab w:val="left" w:pos="177" w:leader="none"/>
              </w:tabs>
              <w:rPr>
                <w:bCs/>
                <w:sz w:val="20"/>
                <w:szCs w:val="20"/>
              </w:rPr>
            </w:pPr>
            <w:r>
              <w:rPr>
                <w:bCs/>
                <w:sz w:val="20"/>
                <w:szCs w:val="20"/>
              </w:rPr>
              <w:t xml:space="preserve">Перевод аккредитива в пользу другого бенефициара (трансферация второму бенефициару)</w:t>
            </w:r>
            <w:r>
              <w:rPr>
                <w:bCs/>
                <w:sz w:val="20"/>
                <w:szCs w:val="20"/>
              </w:rPr>
            </w:r>
          </w:p>
          <w:p>
            <w:pPr>
              <w:pStyle w:val="754"/>
              <w:numPr>
                <w:ilvl w:val="0"/>
                <w:numId w:val="30"/>
              </w:numPr>
              <w:keepNext/>
              <w:tabs>
                <w:tab w:val="left" w:pos="177" w:leader="none"/>
              </w:tabs>
              <w:rPr>
                <w:sz w:val="20"/>
                <w:szCs w:val="20"/>
              </w:rPr>
              <w:outlineLvl w:val="6"/>
            </w:pPr>
            <w:r>
              <w:rPr>
                <w:sz w:val="20"/>
                <w:szCs w:val="20"/>
              </w:rPr>
              <w:t xml:space="preserve">Внесение изменений в условия трансферированного аккредитива, связанных с увеличением суммы</w:t>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bCs/>
                <w:sz w:val="20"/>
                <w:szCs w:val="20"/>
              </w:rPr>
            </w:pPr>
            <w:r>
              <w:rPr>
                <w:bCs/>
                <w:sz w:val="20"/>
                <w:szCs w:val="20"/>
              </w:rPr>
              <w:t xml:space="preserve">0,15% от трансферированной суммы либо ее увеличения</w:t>
            </w:r>
            <w:r>
              <w:rPr>
                <w:bCs/>
                <w:sz w:val="20"/>
                <w:szCs w:val="20"/>
              </w:rPr>
            </w:r>
          </w:p>
          <w:p>
            <w:pPr>
              <w:pStyle w:val="754"/>
              <w:jc w:val="center"/>
              <w:rPr>
                <w:bCs/>
                <w:sz w:val="20"/>
                <w:szCs w:val="20"/>
              </w:rPr>
            </w:pPr>
            <w:r>
              <w:rPr>
                <w:bCs/>
                <w:sz w:val="20"/>
                <w:szCs w:val="20"/>
              </w:rPr>
              <w:t xml:space="preserve">мин. 1</w:t>
            </w:r>
            <w:r>
              <w:rPr>
                <w:bCs/>
                <w:sz w:val="20"/>
                <w:szCs w:val="20"/>
                <w:lang w:val="en-US"/>
              </w:rPr>
              <w:t xml:space="preserve">0</w:t>
            </w:r>
            <w:r>
              <w:rPr>
                <w:bCs/>
                <w:sz w:val="20"/>
                <w:szCs w:val="20"/>
              </w:rPr>
              <w:t xml:space="preserve"> </w:t>
            </w:r>
            <w:r>
              <w:rPr>
                <w:bCs/>
                <w:sz w:val="20"/>
                <w:szCs w:val="20"/>
                <w:lang w:val="en-US"/>
              </w:rPr>
              <w:t xml:space="preserve">0</w:t>
            </w:r>
            <w:r>
              <w:rPr>
                <w:bCs/>
                <w:sz w:val="20"/>
                <w:szCs w:val="20"/>
              </w:rPr>
              <w:t xml:space="preserve">00 руб.,</w:t>
            </w:r>
            <w:r>
              <w:rPr>
                <w:bCs/>
                <w:sz w:val="20"/>
                <w:szCs w:val="20"/>
              </w:rPr>
            </w:r>
          </w:p>
          <w:p>
            <w:pPr>
              <w:pStyle w:val="754"/>
              <w:jc w:val="center"/>
              <w:keepNext/>
              <w:rPr>
                <w:sz w:val="20"/>
                <w:szCs w:val="20"/>
              </w:rPr>
              <w:outlineLvl w:val="6"/>
            </w:pPr>
            <w:r>
              <w:rPr>
                <w:sz w:val="20"/>
                <w:szCs w:val="20"/>
              </w:rPr>
              <w:t xml:space="preserve">макс. 1</w:t>
            </w:r>
            <w:r>
              <w:rPr>
                <w:sz w:val="20"/>
                <w:szCs w:val="20"/>
                <w:lang w:val="en-US"/>
              </w:rPr>
              <w:t xml:space="preserve">00</w:t>
            </w:r>
            <w:r>
              <w:rPr>
                <w:sz w:val="20"/>
                <w:szCs w:val="20"/>
              </w:rPr>
              <w:t xml:space="preserve"> 000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strike/>
                <w:color w:val="ffffff"/>
                <w:sz w:val="20"/>
                <w:szCs w:val="20"/>
              </w:rPr>
            </w:pP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sz w:val="20"/>
                <w:szCs w:val="20"/>
              </w:rPr>
              <w:t xml:space="preserve">4.2.7.</w:t>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30"/>
              </w:numPr>
              <w:tabs>
                <w:tab w:val="left" w:pos="177" w:leader="none"/>
              </w:tabs>
              <w:rPr>
                <w:bCs/>
                <w:sz w:val="20"/>
                <w:szCs w:val="20"/>
              </w:rPr>
            </w:pPr>
            <w:r>
              <w:rPr>
                <w:bCs/>
                <w:sz w:val="20"/>
                <w:szCs w:val="20"/>
              </w:rPr>
              <w:t xml:space="preserve">Внесение изменений в условия трансферированного аккредитива, не связанных с увеличением суммы</w:t>
            </w:r>
            <w:r>
              <w:rPr>
                <w:bCs/>
                <w:sz w:val="20"/>
                <w:szCs w:val="20"/>
              </w:rPr>
            </w:r>
          </w:p>
          <w:p>
            <w:pPr>
              <w:pStyle w:val="754"/>
              <w:numPr>
                <w:ilvl w:val="0"/>
                <w:numId w:val="30"/>
              </w:numPr>
              <w:keepNext/>
              <w:tabs>
                <w:tab w:val="left" w:pos="177" w:leader="none"/>
              </w:tabs>
              <w:rPr>
                <w:sz w:val="20"/>
                <w:szCs w:val="20"/>
              </w:rPr>
              <w:outlineLvl w:val="6"/>
            </w:pPr>
            <w:r>
              <w:rPr>
                <w:sz w:val="20"/>
                <w:szCs w:val="20"/>
              </w:rPr>
              <w:t xml:space="preserve">Запрос согласия на аннуляцию трансферированного аккредитива</w:t>
            </w:r>
            <w:r>
              <w:rPr>
                <w:sz w:val="20"/>
                <w:szCs w:val="20"/>
              </w:rPr>
            </w:r>
          </w:p>
          <w:p>
            <w:pPr>
              <w:pStyle w:val="754"/>
              <w:numPr>
                <w:ilvl w:val="0"/>
                <w:numId w:val="30"/>
              </w:numPr>
              <w:tabs>
                <w:tab w:val="left" w:pos="177" w:leader="none"/>
              </w:tabs>
              <w:rPr>
                <w:bCs/>
                <w:color w:val="000000"/>
                <w:sz w:val="20"/>
                <w:szCs w:val="20"/>
              </w:rPr>
            </w:pPr>
            <w:r>
              <w:rPr>
                <w:bCs/>
                <w:color w:val="000000"/>
                <w:sz w:val="20"/>
                <w:szCs w:val="20"/>
              </w:rPr>
              <w:t xml:space="preserve">Авизование иного сообщения второму бенефициару по трансферированному аккредитиву</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keepNext/>
              <w:rPr>
                <w:sz w:val="20"/>
                <w:szCs w:val="20"/>
              </w:rPr>
              <w:outlineLvl w:val="6"/>
            </w:pPr>
            <w:r>
              <w:rPr>
                <w:sz w:val="20"/>
                <w:szCs w:val="20"/>
              </w:rPr>
              <w:t xml:space="preserve">1</w:t>
            </w:r>
            <w:r>
              <w:rPr>
                <w:sz w:val="20"/>
                <w:szCs w:val="20"/>
                <w:lang w:val="en-US"/>
              </w:rPr>
              <w:t xml:space="preserve">0</w:t>
            </w:r>
            <w:r>
              <w:rPr>
                <w:sz w:val="20"/>
                <w:szCs w:val="20"/>
              </w:rPr>
              <w:t xml:space="preserve"> </w:t>
            </w:r>
            <w:r>
              <w:rPr>
                <w:sz w:val="20"/>
                <w:szCs w:val="20"/>
                <w:lang w:val="en-US"/>
              </w:rPr>
              <w:t xml:space="preserve">0</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strike/>
                <w:color w:val="ffffff"/>
                <w:sz w:val="20"/>
                <w:szCs w:val="20"/>
              </w:rPr>
            </w:pPr>
            <w:r>
              <w:rPr>
                <w:strike/>
                <w:color w:val="ffffff"/>
                <w:sz w:val="20"/>
                <w:szCs w:val="20"/>
              </w:rPr>
            </w:r>
            <w:r>
              <w:rPr>
                <w:strike/>
                <w:color w:val="ffffff"/>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spacing w:before="40" w:after="40"/>
              <w:rPr>
                <w:b/>
                <w:sz w:val="20"/>
                <w:szCs w:val="20"/>
              </w:rPr>
            </w:pPr>
            <w:r>
              <w:rPr>
                <w:b/>
                <w:sz w:val="20"/>
                <w:szCs w:val="20"/>
              </w:rPr>
              <w:t xml:space="preserve">4.3.</w:t>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754"/>
              <w:spacing w:before="40" w:after="40"/>
              <w:rPr>
                <w:bCs/>
                <w:sz w:val="20"/>
                <w:szCs w:val="20"/>
              </w:rPr>
            </w:pPr>
            <w:r>
              <w:rPr>
                <w:b/>
                <w:bCs/>
                <w:sz w:val="20"/>
                <w:szCs w:val="20"/>
              </w:rPr>
              <w:t xml:space="preserve">Аккредитивы для расчетов на территории Российской Федерации </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bCs/>
                <w:sz w:val="20"/>
                <w:szCs w:val="20"/>
              </w:rPr>
              <w:t xml:space="preserve">4.3.1.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30"/>
              </w:numPr>
              <w:tabs>
                <w:tab w:val="left" w:pos="177" w:leader="none"/>
              </w:tabs>
              <w:rPr>
                <w:bCs/>
                <w:sz w:val="20"/>
                <w:szCs w:val="20"/>
              </w:rPr>
            </w:pPr>
            <w:r>
              <w:rPr>
                <w:bCs/>
                <w:sz w:val="20"/>
                <w:szCs w:val="20"/>
              </w:rPr>
              <w:t xml:space="preserve">Авизование аккредитива; </w:t>
            </w:r>
            <w:r>
              <w:rPr>
                <w:bCs/>
                <w:sz w:val="20"/>
                <w:szCs w:val="20"/>
              </w:rPr>
            </w:r>
          </w:p>
          <w:p>
            <w:pPr>
              <w:pStyle w:val="754"/>
              <w:numPr>
                <w:ilvl w:val="0"/>
                <w:numId w:val="30"/>
              </w:numPr>
              <w:tabs>
                <w:tab w:val="left" w:pos="177" w:leader="none"/>
              </w:tabs>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bCs/>
                <w:sz w:val="20"/>
                <w:szCs w:val="20"/>
              </w:rPr>
            </w:pPr>
            <w:r>
              <w:rPr>
                <w:bCs/>
                <w:sz w:val="20"/>
                <w:szCs w:val="20"/>
              </w:rPr>
              <w:t xml:space="preserve">0,1% от суммы аккредитива или ее увеличения</w:t>
            </w:r>
            <w:r>
              <w:rPr>
                <w:bCs/>
                <w:sz w:val="20"/>
                <w:szCs w:val="20"/>
              </w:rPr>
            </w:r>
          </w:p>
          <w:p>
            <w:pPr>
              <w:pStyle w:val="754"/>
              <w:jc w:val="center"/>
              <w:rPr>
                <w:bCs/>
                <w:sz w:val="20"/>
                <w:szCs w:val="20"/>
              </w:rPr>
            </w:pPr>
            <w:r>
              <w:rPr>
                <w:bCs/>
                <w:sz w:val="20"/>
                <w:szCs w:val="20"/>
              </w:rPr>
              <w:t xml:space="preserve">мин. 1 000 руб.,</w:t>
            </w:r>
            <w:r>
              <w:rPr>
                <w:bCs/>
                <w:sz w:val="20"/>
                <w:szCs w:val="20"/>
              </w:rPr>
            </w:r>
          </w:p>
          <w:p>
            <w:pPr>
              <w:pStyle w:val="754"/>
              <w:jc w:val="center"/>
              <w:keepNext/>
              <w:rPr>
                <w:bCs/>
                <w:sz w:val="20"/>
                <w:szCs w:val="20"/>
              </w:rPr>
              <w:outlineLvl w:val="6"/>
            </w:pPr>
            <w:r>
              <w:rPr>
                <w:bCs/>
                <w:sz w:val="20"/>
                <w:szCs w:val="20"/>
              </w:rPr>
              <w:t xml:space="preserve">макс. 10 000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754"/>
              <w:jc w:val="center"/>
              <w:rPr>
                <w:sz w:val="20"/>
                <w:szCs w:val="20"/>
              </w:rPr>
            </w:pPr>
            <w:r>
              <w:rPr>
                <w:bCs/>
                <w:sz w:val="20"/>
                <w:szCs w:val="20"/>
              </w:rPr>
              <w:t xml:space="preserve">4.3.2.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30"/>
              </w:numPr>
              <w:tabs>
                <w:tab w:val="left" w:pos="177" w:leader="none"/>
              </w:tabs>
              <w:rPr>
                <w:bCs/>
                <w:sz w:val="20"/>
                <w:szCs w:val="20"/>
              </w:rPr>
            </w:pPr>
            <w:r>
              <w:rPr>
                <w:bCs/>
                <w:sz w:val="20"/>
                <w:szCs w:val="20"/>
              </w:rPr>
              <w:t xml:space="preserve">Подтверждение аккредитива;</w:t>
            </w:r>
            <w:r>
              <w:rPr>
                <w:bCs/>
                <w:sz w:val="20"/>
                <w:szCs w:val="20"/>
              </w:rPr>
            </w:r>
          </w:p>
          <w:p>
            <w:pPr>
              <w:pStyle w:val="754"/>
              <w:numPr>
                <w:ilvl w:val="0"/>
                <w:numId w:val="30"/>
              </w:numPr>
              <w:tabs>
                <w:tab w:val="left" w:pos="177" w:leader="none"/>
              </w:tabs>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 </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keepNext/>
              <w:rPr>
                <w:b/>
                <w:bCs/>
                <w:sz w:val="20"/>
                <w:szCs w:val="20"/>
              </w:rPr>
              <w:outlineLvl w:val="6"/>
            </w:pP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75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tabs>
                <w:tab w:val="left" w:pos="327" w:leader="none"/>
              </w:tabs>
              <w:rPr>
                <w:bCs/>
                <w:sz w:val="20"/>
                <w:szCs w:val="20"/>
              </w:rPr>
            </w:pPr>
            <w:r>
              <w:rPr>
                <w:bCs/>
                <w:sz w:val="20"/>
                <w:szCs w:val="20"/>
              </w:rPr>
              <w:t xml:space="preserve">- при предоставлении банком-эмитентом 100% денежного покрытия </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rPr>
                <w:sz w:val="20"/>
                <w:szCs w:val="20"/>
              </w:rPr>
            </w:pPr>
            <w:r>
              <w:rPr>
                <w:sz w:val="20"/>
                <w:szCs w:val="20"/>
              </w:rPr>
              <w:t xml:space="preserve">0,80% годовых от суммы, предъявленной к оплате по аккредитиву, и/или неиспользованного остатка по аккредитиву</w:t>
            </w:r>
            <w:r>
              <w:rPr>
                <w:sz w:val="20"/>
                <w:szCs w:val="20"/>
              </w:rPr>
            </w:r>
          </w:p>
          <w:p>
            <w:pPr>
              <w:pStyle w:val="754"/>
              <w:jc w:val="center"/>
              <w:rPr>
                <w:sz w:val="20"/>
                <w:szCs w:val="20"/>
              </w:rPr>
            </w:pPr>
            <w:r>
              <w:rPr>
                <w:sz w:val="20"/>
                <w:szCs w:val="20"/>
              </w:rPr>
              <w:t xml:space="preserve">мин. 5 000 руб. </w:t>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bCs/>
                <w:sz w:val="20"/>
                <w:szCs w:val="20"/>
                <w:lang w:val="en-US"/>
              </w:rPr>
            </w:pPr>
            <w:r>
              <w:rPr>
                <w:bCs/>
                <w:sz w:val="20"/>
                <w:szCs w:val="20"/>
                <w:lang w:val="en-US"/>
              </w:rPr>
            </w:r>
            <w:r>
              <w:rPr>
                <w:bCs/>
                <w:sz w:val="20"/>
                <w:szCs w:val="20"/>
                <w:lang w:val="en-U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75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tabs>
                <w:tab w:val="left" w:pos="327" w:leader="none"/>
              </w:tabs>
              <w:rPr>
                <w:bCs/>
                <w:sz w:val="20"/>
                <w:szCs w:val="20"/>
              </w:rPr>
            </w:pPr>
            <w:r>
              <w:rPr>
                <w:sz w:val="20"/>
                <w:szCs w:val="20"/>
              </w:rPr>
              <w:t xml:space="preserve">- при отсутствии 100%</w:t>
            </w:r>
            <w:r>
              <w:rPr>
                <w:bCs/>
                <w:sz w:val="20"/>
                <w:szCs w:val="20"/>
              </w:rPr>
              <w:t xml:space="preserve"> денежного покрытия </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keepNext/>
              <w:rPr>
                <w:bCs/>
                <w:sz w:val="20"/>
                <w:szCs w:val="20"/>
              </w:rPr>
              <w:outlineLvl w:val="6"/>
            </w:pPr>
            <w:r>
              <w:rPr>
                <w:bCs/>
                <w:sz w:val="20"/>
                <w:szCs w:val="20"/>
              </w:rPr>
              <w:t xml:space="preserve">По соглашению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bCs/>
                <w:sz w:val="20"/>
                <w:szCs w:val="20"/>
              </w:rPr>
              <w:t xml:space="preserve">4.3.3.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31"/>
              </w:numPr>
              <w:tabs>
                <w:tab w:val="num" w:pos="177" w:leader="none"/>
              </w:tabs>
              <w:rPr>
                <w:bCs/>
                <w:sz w:val="20"/>
                <w:szCs w:val="20"/>
              </w:rPr>
            </w:pPr>
            <w:r>
              <w:rPr>
                <w:bCs/>
                <w:sz w:val="20"/>
                <w:szCs w:val="20"/>
              </w:rPr>
              <w:t xml:space="preserve">Авизование изменений условий аккредитива, не связанных с увеличением суммы </w:t>
            </w:r>
            <w:r>
              <w:rPr>
                <w:bCs/>
                <w:sz w:val="20"/>
                <w:szCs w:val="20"/>
              </w:rPr>
            </w:r>
          </w:p>
          <w:p>
            <w:pPr>
              <w:pStyle w:val="754"/>
              <w:numPr>
                <w:ilvl w:val="0"/>
                <w:numId w:val="31"/>
              </w:numPr>
              <w:tabs>
                <w:tab w:val="num" w:pos="177" w:leader="none"/>
              </w:tabs>
              <w:rPr>
                <w:bCs/>
                <w:sz w:val="20"/>
                <w:szCs w:val="20"/>
              </w:rPr>
            </w:pPr>
            <w:r>
              <w:rPr>
                <w:bCs/>
                <w:sz w:val="20"/>
                <w:szCs w:val="20"/>
              </w:rPr>
              <w:t xml:space="preserve">Авизование запроса на аннуляцию/отзыв аккредитива</w:t>
            </w:r>
            <w:r>
              <w:rPr>
                <w:bCs/>
                <w:sz w:val="20"/>
                <w:szCs w:val="20"/>
              </w:rPr>
            </w:r>
          </w:p>
          <w:p>
            <w:pPr>
              <w:pStyle w:val="754"/>
              <w:numPr>
                <w:ilvl w:val="0"/>
                <w:numId w:val="31"/>
              </w:numPr>
              <w:tabs>
                <w:tab w:val="num" w:pos="177" w:leader="none"/>
              </w:tabs>
              <w:rPr>
                <w:bCs/>
                <w:color w:val="000000"/>
                <w:sz w:val="20"/>
                <w:szCs w:val="20"/>
              </w:rPr>
            </w:pPr>
            <w:r>
              <w:rPr>
                <w:bCs/>
                <w:color w:val="000000"/>
                <w:sz w:val="20"/>
                <w:szCs w:val="20"/>
              </w:rPr>
              <w:t xml:space="preserve">Авизование иных запросов по аккредитивам</w:t>
            </w:r>
            <w:r>
              <w:rPr>
                <w:bCs/>
                <w:color w:val="000000"/>
                <w:sz w:val="20"/>
                <w:szCs w:val="20"/>
              </w:rPr>
            </w:r>
          </w:p>
          <w:p>
            <w:pPr>
              <w:pStyle w:val="754"/>
              <w:numPr>
                <w:ilvl w:val="0"/>
                <w:numId w:val="31"/>
              </w:numPr>
              <w:tabs>
                <w:tab w:val="left" w:pos="184" w:leader="none"/>
              </w:tabs>
              <w:rPr>
                <w:bCs/>
                <w:color w:val="000000"/>
                <w:sz w:val="20"/>
                <w:szCs w:val="20"/>
              </w:rPr>
            </w:pPr>
            <w:r>
              <w:rPr>
                <w:bCs/>
                <w:color w:val="000000"/>
                <w:sz w:val="20"/>
                <w:szCs w:val="20"/>
              </w:rPr>
              <w:t xml:space="preserve">Запрос по аккредитиву по инициативе банка-контрагента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keepNext/>
              <w:rPr>
                <w:bCs/>
                <w:sz w:val="20"/>
                <w:szCs w:val="20"/>
              </w:rPr>
              <w:outlineLvl w:val="6"/>
            </w:pPr>
            <w:r>
              <w:rPr>
                <w:bCs/>
                <w:sz w:val="20"/>
                <w:szCs w:val="20"/>
              </w:rPr>
              <w:t xml:space="preserve">1 500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bCs/>
                <w:sz w:val="20"/>
                <w:szCs w:val="20"/>
              </w:rPr>
            </w:pPr>
            <w:r>
              <w:rPr>
                <w:bCs/>
                <w:sz w:val="20"/>
                <w:szCs w:val="20"/>
              </w:rPr>
            </w:r>
            <w:r>
              <w:rPr>
                <w:bCs/>
                <w:sz w:val="20"/>
                <w:szCs w:val="20"/>
              </w:rPr>
            </w:r>
          </w:p>
          <w:p>
            <w:pPr>
              <w:pStyle w:val="754"/>
              <w:jc w:val="center"/>
              <w:rPr>
                <w:bCs/>
                <w:sz w:val="20"/>
                <w:szCs w:val="20"/>
              </w:rPr>
            </w:pPr>
            <w:r>
              <w:rPr>
                <w:bCs/>
                <w:sz w:val="20"/>
                <w:szCs w:val="20"/>
              </w:rPr>
            </w:r>
            <w:r>
              <w:rPr>
                <w:bCs/>
                <w:sz w:val="20"/>
                <w:szCs w:val="20"/>
              </w:rPr>
            </w:r>
          </w:p>
          <w:p>
            <w:pPr>
              <w:pStyle w:val="754"/>
              <w:jc w:val="center"/>
              <w:rPr>
                <w:bCs/>
                <w:sz w:val="20"/>
                <w:szCs w:val="20"/>
              </w:rPr>
            </w:pPr>
            <w:r>
              <w:rPr>
                <w:bCs/>
                <w:sz w:val="20"/>
                <w:szCs w:val="20"/>
              </w:rPr>
            </w:r>
            <w:r>
              <w:rPr>
                <w:bCs/>
                <w:sz w:val="20"/>
                <w:szCs w:val="20"/>
              </w:rPr>
            </w:r>
          </w:p>
          <w:p>
            <w:pPr>
              <w:pStyle w:val="754"/>
              <w:jc w:val="center"/>
              <w:rPr>
                <w:bCs/>
                <w:sz w:val="20"/>
                <w:szCs w:val="20"/>
              </w:rPr>
            </w:pPr>
            <w:r>
              <w:rPr>
                <w:bCs/>
                <w:sz w:val="20"/>
                <w:szCs w:val="20"/>
              </w:rPr>
            </w:r>
            <w:r>
              <w:rPr>
                <w:bCs/>
                <w:sz w:val="20"/>
                <w:szCs w:val="20"/>
              </w:rPr>
            </w:r>
          </w:p>
          <w:p>
            <w:pPr>
              <w:pStyle w:val="754"/>
              <w:jc w:val="center"/>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bCs/>
                <w:sz w:val="20"/>
                <w:szCs w:val="20"/>
              </w:rPr>
              <w:t xml:space="preserve">4.3.4.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numPr>
                <w:ilvl w:val="0"/>
                <w:numId w:val="31"/>
              </w:numPr>
              <w:tabs>
                <w:tab w:val="left" w:pos="177" w:leader="none"/>
              </w:tabs>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p>
          <w:p>
            <w:pPr>
              <w:pStyle w:val="754"/>
              <w:numPr>
                <w:ilvl w:val="0"/>
                <w:numId w:val="31"/>
              </w:numPr>
              <w:tabs>
                <w:tab w:val="left" w:pos="177" w:leader="none"/>
              </w:tabs>
              <w:rPr>
                <w:bCs/>
                <w:sz w:val="20"/>
                <w:szCs w:val="20"/>
              </w:rPr>
            </w:pPr>
            <w:r>
              <w:rPr>
                <w:bCs/>
                <w:sz w:val="20"/>
                <w:szCs w:val="20"/>
              </w:rPr>
              <w:t xml:space="preserve">Запрос согласия на аннуляцию аккредитива/отзыв аккредитива</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keepNext/>
              <w:rPr>
                <w:bCs/>
                <w:sz w:val="20"/>
                <w:szCs w:val="20"/>
              </w:rPr>
              <w:outlineLvl w:val="6"/>
            </w:pPr>
            <w:r>
              <w:rPr>
                <w:bCs/>
                <w:sz w:val="20"/>
                <w:szCs w:val="20"/>
              </w:rPr>
              <w:t xml:space="preserve">1 500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4"/>
              <w:jc w:val="center"/>
              <w:rPr>
                <w:sz w:val="20"/>
                <w:szCs w:val="20"/>
              </w:rPr>
            </w:pPr>
            <w:r>
              <w:rPr>
                <w:bCs/>
                <w:sz w:val="20"/>
                <w:szCs w:val="20"/>
              </w:rPr>
              <w:t xml:space="preserve">4.3.5.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54"/>
              <w:rPr>
                <w:bCs/>
                <w:sz w:val="20"/>
                <w:szCs w:val="20"/>
              </w:rPr>
            </w:pPr>
            <w:r>
              <w:rPr>
                <w:bCs/>
                <w:sz w:val="20"/>
                <w:szCs w:val="20"/>
              </w:rPr>
              <w:t xml:space="preserve">Обработка/проверка документов </w:t>
            </w:r>
            <w:r>
              <w:rPr>
                <w:bCs/>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54"/>
              <w:jc w:val="center"/>
              <w:keepNext/>
              <w:rPr>
                <w:bCs/>
                <w:sz w:val="20"/>
                <w:szCs w:val="20"/>
              </w:rPr>
              <w:outlineLvl w:val="6"/>
            </w:pPr>
            <w:r>
              <w:rPr>
                <w:bCs/>
                <w:sz w:val="20"/>
                <w:szCs w:val="20"/>
              </w:rPr>
              <w:t xml:space="preserve">0,15% от суммы, запрошенной к оплате, </w:t>
            </w:r>
            <w:r>
              <w:rPr>
                <w:bCs/>
                <w:sz w:val="20"/>
                <w:szCs w:val="20"/>
              </w:rPr>
            </w:r>
          </w:p>
          <w:p>
            <w:pPr>
              <w:pStyle w:val="754"/>
              <w:jc w:val="center"/>
              <w:keepNext/>
              <w:rPr>
                <w:bCs/>
                <w:sz w:val="20"/>
                <w:szCs w:val="20"/>
              </w:rPr>
              <w:outlineLvl w:val="6"/>
            </w:pPr>
            <w:r>
              <w:rPr>
                <w:bCs/>
                <w:sz w:val="20"/>
                <w:szCs w:val="20"/>
              </w:rPr>
              <w:t xml:space="preserve">мин. 5 000 руб.,</w:t>
            </w:r>
            <w:r>
              <w:rPr>
                <w:bCs/>
                <w:sz w:val="20"/>
                <w:szCs w:val="20"/>
              </w:rPr>
            </w:r>
          </w:p>
          <w:p>
            <w:pPr>
              <w:pStyle w:val="754"/>
              <w:jc w:val="center"/>
              <w:keepNext/>
              <w:rPr>
                <w:bCs/>
                <w:sz w:val="20"/>
                <w:szCs w:val="20"/>
              </w:rPr>
              <w:outlineLvl w:val="6"/>
            </w:pPr>
            <w:r>
              <w:rPr>
                <w:bCs/>
                <w:sz w:val="20"/>
                <w:szCs w:val="20"/>
              </w:rPr>
              <w:t xml:space="preserve">макс. 100 000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754"/>
              <w:jc w:val="center"/>
              <w:rPr>
                <w:bCs/>
                <w:sz w:val="20"/>
                <w:szCs w:val="20"/>
              </w:rPr>
            </w:pPr>
            <w:r>
              <w:rPr>
                <w:bCs/>
                <w:sz w:val="20"/>
                <w:szCs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bCs/>
                <w:sz w:val="20"/>
                <w:szCs w:val="20"/>
              </w:rPr>
            </w:r>
          </w:p>
        </w:tc>
      </w:tr>
    </w:tbl>
    <w:p>
      <w:pPr>
        <w:pStyle w:val="754"/>
        <w:tabs>
          <w:tab w:val="left" w:pos="5940" w:leader="none"/>
        </w:tabs>
        <w:rPr>
          <w:sz w:val="20"/>
          <w:szCs w:val="20"/>
          <w:lang w:eastAsia="en-US"/>
        </w:rPr>
      </w:pPr>
      <w:r>
        <w:rPr>
          <w:sz w:val="20"/>
          <w:szCs w:val="20"/>
          <w:lang w:eastAsia="en-US"/>
        </w:rPr>
      </w:r>
      <w:r>
        <w:rPr>
          <w:sz w:val="20"/>
          <w:szCs w:val="20"/>
          <w:lang w:eastAsia="en-US"/>
        </w:rPr>
      </w:r>
    </w:p>
    <w:p>
      <w:pPr>
        <w:pStyle w:val="754"/>
        <w:tabs>
          <w:tab w:val="left" w:pos="5940" w:leader="none"/>
        </w:tabs>
        <w:rPr>
          <w:sz w:val="20"/>
          <w:szCs w:val="20"/>
          <w:lang w:eastAsia="en-US"/>
        </w:rPr>
      </w:pPr>
      <w:r>
        <w:rPr>
          <w:sz w:val="20"/>
          <w:szCs w:val="20"/>
          <w:lang w:eastAsia="en-US"/>
        </w:rPr>
      </w:r>
      <w:r>
        <w:rPr>
          <w:sz w:val="20"/>
          <w:szCs w:val="20"/>
          <w:lang w:eastAsia="en-US"/>
        </w:rPr>
      </w:r>
    </w:p>
    <w:p>
      <w:pPr>
        <w:pStyle w:val="754"/>
        <w:tabs>
          <w:tab w:val="left" w:pos="5940" w:leader="none"/>
        </w:tabs>
        <w:rPr>
          <w:sz w:val="20"/>
          <w:szCs w:val="20"/>
          <w:lang w:eastAsia="en-US"/>
        </w:rPr>
      </w:pPr>
      <w:r>
        <w:rPr>
          <w:sz w:val="20"/>
          <w:szCs w:val="20"/>
          <w:lang w:eastAsia="en-US"/>
        </w:rPr>
      </w:r>
      <w:r>
        <w:rPr>
          <w:sz w:val="20"/>
          <w:szCs w:val="20"/>
          <w:lang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394"/>
        <w:gridCol w:w="2835"/>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754"/>
              <w:jc w:val="center"/>
              <w:spacing w:before="120" w:after="120"/>
              <w:rPr>
                <w:b/>
                <w:bCs/>
              </w:rPr>
            </w:pPr>
            <w:r>
              <w:rPr>
                <w:sz w:val="20"/>
                <w:szCs w:val="20"/>
              </w:rPr>
              <w:br w:type="page" w:clear="all"/>
            </w:r>
            <w:r>
              <w:rPr>
                <w:b/>
                <w:bCs/>
              </w:rPr>
              <w:t xml:space="preserve">5. Инкассовые операции</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754"/>
              <w:ind w:right="-18"/>
              <w:jc w:val="center"/>
              <w:tabs>
                <w:tab w:val="left" w:pos="4464" w:leader="none"/>
                <w:tab w:val="left" w:pos="5760" w:leader="none"/>
              </w:tabs>
              <w:rPr>
                <w:iCs/>
                <w:sz w:val="20"/>
                <w:szCs w:val="20"/>
              </w:rPr>
            </w:pPr>
            <w:r>
              <w:rPr>
                <w:iCs/>
                <w:sz w:val="20"/>
                <w:szCs w:val="20"/>
              </w:rPr>
              <w:t xml:space="preserve">№ </w:t>
              <w:br w:type="textWrapping" w:clear="all"/>
              <w:t xml:space="preserve">п/п</w:t>
            </w:r>
            <w:r>
              <w:rPr>
                <w:iCs/>
                <w:sz w:val="20"/>
                <w:szCs w:val="20"/>
              </w:rP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pStyle w:val="754"/>
              <w:ind w:right="-18"/>
              <w:jc w:val="center"/>
              <w:keepNext/>
              <w:tabs>
                <w:tab w:val="left" w:pos="4464" w:leader="none"/>
                <w:tab w:val="left" w:pos="5760" w:leader="none"/>
              </w:tabs>
              <w:rPr>
                <w:iCs/>
                <w:sz w:val="20"/>
                <w:szCs w:val="20"/>
              </w:rPr>
              <w:outlineLvl w:val="7"/>
            </w:pPr>
            <w:r>
              <w:rPr>
                <w:iCs/>
                <w:sz w:val="20"/>
                <w:szCs w:val="20"/>
              </w:rPr>
              <w:t xml:space="preserve">Наименование услуги</w:t>
            </w:r>
            <w:r>
              <w:rPr>
                <w:i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754"/>
              <w:ind w:left="72" w:right="72"/>
              <w:jc w:val="center"/>
              <w:keepNext/>
              <w:tabs>
                <w:tab w:val="left" w:pos="4464" w:leader="none"/>
                <w:tab w:val="left" w:pos="5760" w:leader="none"/>
              </w:tabs>
              <w:rPr>
                <w:iCs/>
                <w:sz w:val="20"/>
                <w:szCs w:val="20"/>
              </w:rPr>
              <w:outlineLvl w:val="2"/>
            </w:pPr>
            <w:r>
              <w:rPr>
                <w:iCs/>
                <w:sz w:val="20"/>
                <w:szCs w:val="20"/>
              </w:rPr>
              <w:t xml:space="preserve">Тариф</w:t>
            </w:r>
            <w:r>
              <w:rPr>
                <w:i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pStyle w:val="754"/>
              <w:ind w:left="72" w:right="-18"/>
              <w:jc w:val="center"/>
              <w:tabs>
                <w:tab w:val="left" w:pos="4464" w:leader="none"/>
                <w:tab w:val="left" w:pos="5760" w:leader="none"/>
              </w:tabs>
              <w:rPr>
                <w:iCs/>
                <w:sz w:val="20"/>
                <w:szCs w:val="20"/>
              </w:rPr>
            </w:pPr>
            <w:r>
              <w:rPr>
                <w:iCs/>
                <w:sz w:val="20"/>
                <w:szCs w:val="20"/>
              </w:rPr>
              <w:t xml:space="preserve">Примечание</w:t>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54"/>
              <w:jc w:val="center"/>
              <w:spacing w:before="40" w:after="40"/>
              <w:rPr>
                <w:sz w:val="20"/>
                <w:szCs w:val="20"/>
              </w:rPr>
            </w:pPr>
            <w:r>
              <w:rPr>
                <w:b/>
                <w:bCs/>
                <w:sz w:val="20"/>
                <w:szCs w:val="20"/>
              </w:rPr>
              <w:t xml:space="preserve">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754"/>
              <w:spacing w:before="40" w:after="40"/>
              <w:rPr>
                <w:b/>
                <w:bCs/>
                <w:sz w:val="20"/>
                <w:szCs w:val="20"/>
              </w:rPr>
            </w:pPr>
            <w:r>
              <w:rPr>
                <w:b/>
                <w:bCs/>
                <w:sz w:val="20"/>
                <w:szCs w:val="20"/>
              </w:rPr>
              <w:t xml:space="preserve">Документарное инкассо</w:t>
            </w:r>
            <w:r>
              <w:rPr>
                <w:b/>
                <w:b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54"/>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754"/>
              <w:jc w:val="center"/>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54"/>
              <w:jc w:val="center"/>
              <w:spacing w:before="40" w:after="40"/>
              <w:rPr>
                <w:sz w:val="20"/>
                <w:szCs w:val="20"/>
              </w:rPr>
            </w:pPr>
            <w:r>
              <w:rPr>
                <w:sz w:val="20"/>
                <w:szCs w:val="20"/>
              </w:rPr>
              <w:t xml:space="preserve">5.1.1.</w:t>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754"/>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54"/>
              <w:jc w:val="center"/>
              <w:spacing w:before="40" w:after="40"/>
              <w:rPr>
                <w:sz w:val="20"/>
                <w:szCs w:val="20"/>
              </w:rPr>
            </w:pPr>
            <w:r>
              <w:rPr>
                <w:sz w:val="20"/>
                <w:szCs w:val="20"/>
              </w:rPr>
              <w:t xml:space="preserve">0,15% от суммы документов,</w:t>
            </w:r>
            <w:r>
              <w:rPr>
                <w:sz w:val="20"/>
                <w:szCs w:val="20"/>
              </w:rPr>
            </w:r>
          </w:p>
          <w:p>
            <w:pPr>
              <w:pStyle w:val="754"/>
              <w:jc w:val="center"/>
              <w:spacing w:before="40" w:after="40"/>
              <w:rPr>
                <w:sz w:val="20"/>
                <w:szCs w:val="20"/>
              </w:rPr>
            </w:pPr>
            <w:r>
              <w:rPr>
                <w:sz w:val="20"/>
                <w:szCs w:val="20"/>
              </w:rPr>
              <w:t xml:space="preserve">мин.3 500 руб.,</w:t>
            </w:r>
            <w:r>
              <w:rPr>
                <w:sz w:val="20"/>
                <w:szCs w:val="20"/>
              </w:rPr>
            </w:r>
          </w:p>
          <w:p>
            <w:pPr>
              <w:pStyle w:val="754"/>
              <w:jc w:val="center"/>
              <w:spacing w:before="40" w:after="40"/>
              <w:rPr>
                <w:sz w:val="20"/>
                <w:szCs w:val="20"/>
              </w:rPr>
            </w:pPr>
            <w:r>
              <w:rPr>
                <w:sz w:val="20"/>
                <w:szCs w:val="20"/>
              </w:rPr>
              <w:t xml:space="preserve">макс. </w:t>
            </w:r>
            <w:r>
              <w:rPr>
                <w:sz w:val="20"/>
                <w:szCs w:val="20"/>
                <w:lang w:val="en-US"/>
              </w:rPr>
              <w:t xml:space="preserve">35</w:t>
            </w:r>
            <w:r>
              <w:rPr>
                <w:sz w:val="20"/>
                <w:szCs w:val="20"/>
              </w:rPr>
              <w:t xml:space="preserve"> 000 руб.</w:t>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754"/>
              <w:jc w:val="center"/>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54"/>
              <w:jc w:val="center"/>
              <w:spacing w:before="40" w:after="40"/>
              <w:rPr>
                <w:sz w:val="20"/>
                <w:szCs w:val="20"/>
              </w:rPr>
            </w:pPr>
            <w:r>
              <w:rPr>
                <w:sz w:val="20"/>
                <w:szCs w:val="20"/>
              </w:rPr>
              <w:t xml:space="preserve">5.1.2.</w:t>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754"/>
              <w:spacing w:before="40" w:after="40"/>
              <w:rPr>
                <w:sz w:val="20"/>
                <w:szCs w:val="20"/>
              </w:rPr>
            </w:pPr>
            <w:r>
              <w:rPr>
                <w:sz w:val="20"/>
                <w:szCs w:val="20"/>
              </w:rPr>
              <w:t xml:space="preserve">Внесение изменений в условия инкассового поручения или его аннуляция </w:t>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54"/>
              <w:jc w:val="center"/>
              <w:spacing w:before="40" w:after="40"/>
              <w:rPr>
                <w:sz w:val="20"/>
                <w:szCs w:val="20"/>
              </w:rPr>
            </w:pPr>
            <w:r>
              <w:rPr>
                <w:sz w:val="20"/>
                <w:szCs w:val="20"/>
              </w:rPr>
              <w:t xml:space="preserve">2 500 руб.</w:t>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754"/>
              <w:jc w:val="center"/>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54"/>
              <w:jc w:val="center"/>
              <w:spacing w:before="40" w:after="40"/>
              <w:rPr>
                <w:sz w:val="20"/>
                <w:szCs w:val="20"/>
              </w:rPr>
            </w:pPr>
            <w:r>
              <w:rPr>
                <w:sz w:val="20"/>
                <w:szCs w:val="20"/>
              </w:rPr>
              <w:t xml:space="preserve">5.1.3.</w:t>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754"/>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54"/>
              <w:jc w:val="center"/>
              <w:spacing w:before="40" w:after="40"/>
              <w:rPr>
                <w:sz w:val="20"/>
                <w:szCs w:val="20"/>
              </w:rPr>
            </w:pPr>
            <w:r>
              <w:rPr>
                <w:sz w:val="20"/>
                <w:szCs w:val="20"/>
              </w:rPr>
              <w:t xml:space="preserve">0,15% от суммы,</w:t>
            </w:r>
            <w:r>
              <w:rPr>
                <w:sz w:val="20"/>
                <w:szCs w:val="20"/>
              </w:rPr>
            </w:r>
          </w:p>
          <w:p>
            <w:pPr>
              <w:pStyle w:val="754"/>
              <w:jc w:val="center"/>
              <w:spacing w:before="40" w:after="40"/>
              <w:rPr>
                <w:sz w:val="20"/>
                <w:szCs w:val="20"/>
              </w:rPr>
            </w:pPr>
            <w:r>
              <w:rPr>
                <w:sz w:val="20"/>
                <w:szCs w:val="20"/>
              </w:rPr>
              <w:t xml:space="preserve">мин.  3 500 руб.,</w:t>
            </w:r>
            <w:r>
              <w:rPr>
                <w:sz w:val="20"/>
                <w:szCs w:val="20"/>
              </w:rPr>
            </w:r>
          </w:p>
          <w:p>
            <w:pPr>
              <w:pStyle w:val="754"/>
              <w:jc w:val="center"/>
              <w:spacing w:before="40" w:after="40"/>
              <w:rPr>
                <w:sz w:val="20"/>
                <w:szCs w:val="20"/>
              </w:rPr>
            </w:pPr>
            <w:r>
              <w:rPr>
                <w:sz w:val="20"/>
                <w:szCs w:val="20"/>
              </w:rPr>
              <w:t xml:space="preserve">макс. 3</w:t>
            </w:r>
            <w:r>
              <w:rPr>
                <w:sz w:val="20"/>
                <w:szCs w:val="20"/>
                <w:lang w:val="en-US"/>
              </w:rPr>
              <w:t xml:space="preserve">5</w:t>
            </w:r>
            <w:r>
              <w:rPr>
                <w:sz w:val="20"/>
                <w:szCs w:val="20"/>
              </w:rPr>
              <w:t xml:space="preserve"> 000 руб.</w:t>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754"/>
              <w:jc w:val="center"/>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54"/>
              <w:jc w:val="center"/>
              <w:spacing w:before="40" w:after="40"/>
              <w:rPr>
                <w:sz w:val="20"/>
                <w:szCs w:val="20"/>
              </w:rPr>
            </w:pPr>
            <w:r>
              <w:rPr>
                <w:sz w:val="20"/>
                <w:szCs w:val="20"/>
              </w:rPr>
              <w:t xml:space="preserve">5.1.4.</w:t>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754"/>
              <w:spacing w:before="40" w:after="4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54"/>
              <w:jc w:val="center"/>
              <w:spacing w:before="40" w:after="40"/>
              <w:rPr>
                <w:sz w:val="20"/>
                <w:szCs w:val="20"/>
              </w:rPr>
            </w:pPr>
            <w:r>
              <w:rPr>
                <w:sz w:val="20"/>
                <w:szCs w:val="20"/>
              </w:rPr>
              <w:t xml:space="preserve">3 500 руб.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754"/>
              <w:jc w:val="center"/>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54"/>
              <w:jc w:val="center"/>
              <w:spacing w:before="40" w:after="40"/>
              <w:rPr>
                <w:sz w:val="20"/>
                <w:szCs w:val="20"/>
              </w:rPr>
            </w:pPr>
            <w:r>
              <w:rPr>
                <w:sz w:val="20"/>
                <w:szCs w:val="20"/>
              </w:rPr>
              <w:t xml:space="preserve">5.1.5.</w:t>
            </w:r>
            <w:r>
              <w:rPr>
                <w:sz w:val="20"/>
                <w:szCs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754"/>
              <w:spacing w:before="40" w:after="40"/>
              <w:rPr>
                <w:sz w:val="20"/>
                <w:szCs w:val="20"/>
              </w:rPr>
            </w:pPr>
            <w:r>
              <w:rPr>
                <w:sz w:val="20"/>
                <w:szCs w:val="20"/>
              </w:rPr>
              <w:t xml:space="preserve">Запрос по инкассо по инициативе </w:t>
            </w:r>
            <w:r>
              <w:rPr>
                <w:bCs/>
                <w:sz w:val="20"/>
                <w:szCs w:val="20"/>
              </w:rPr>
              <w:t xml:space="preserve">банка-контрагента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54"/>
              <w:jc w:val="center"/>
              <w:spacing w:before="40" w:after="40"/>
              <w:rPr>
                <w:sz w:val="20"/>
                <w:szCs w:val="20"/>
              </w:rPr>
            </w:pPr>
            <w:r>
              <w:rPr>
                <w:sz w:val="20"/>
                <w:szCs w:val="20"/>
              </w:rPr>
              <w:t xml:space="preserve">2 500 руб.</w:t>
            </w:r>
            <w:r>
              <w:rPr>
                <w:bCs/>
                <w:sz w:val="20"/>
                <w:szCs w:val="20"/>
              </w:rPr>
              <w:t xml:space="preserve">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754"/>
              <w:jc w:val="center"/>
              <w:spacing w:before="40" w:after="40"/>
              <w:rPr>
                <w:strike/>
                <w:color w:val="ffffff"/>
                <w:sz w:val="20"/>
                <w:szCs w:val="20"/>
              </w:rPr>
            </w:pPr>
            <w:r>
              <w:rPr>
                <w:strike/>
                <w:color w:val="ffffff"/>
                <w:sz w:val="20"/>
                <w:szCs w:val="20"/>
              </w:rPr>
            </w:r>
            <w:r>
              <w:rPr>
                <w:strike/>
                <w:color w:val="ffffff"/>
                <w:sz w:val="20"/>
                <w:szCs w:val="20"/>
              </w:rPr>
            </w:r>
          </w:p>
        </w:tc>
      </w:tr>
    </w:tbl>
    <w:p>
      <w:pPr>
        <w:pStyle w:val="754"/>
        <w:rPr>
          <w:sz w:val="20"/>
          <w:szCs w:val="20"/>
          <w:lang w:val="en-US"/>
        </w:rPr>
      </w:pPr>
      <w:r>
        <w:rPr>
          <w:sz w:val="20"/>
          <w:szCs w:val="20"/>
          <w:lang w:val="en-US"/>
        </w:rPr>
      </w:r>
      <w:r>
        <w:rPr>
          <w:sz w:val="20"/>
          <w:szCs w:val="20"/>
          <w:lang w:val="en-US"/>
        </w:rPr>
      </w:r>
    </w:p>
    <w:p>
      <w:pPr>
        <w:pStyle w:val="754"/>
        <w:rPr>
          <w:sz w:val="20"/>
          <w:szCs w:val="20"/>
          <w:lang w:val="en-US"/>
        </w:rPr>
      </w:pPr>
      <w:r>
        <w:rPr>
          <w:sz w:val="20"/>
          <w:szCs w:val="20"/>
          <w:lang w:val="en-US"/>
        </w:rPr>
      </w:r>
      <w:r>
        <w:rPr>
          <w:sz w:val="20"/>
          <w:szCs w:val="20"/>
          <w:lang w:val="en-US"/>
        </w:rPr>
      </w:r>
    </w:p>
    <w:p>
      <w:pPr>
        <w:pStyle w:val="754"/>
        <w:rPr>
          <w:sz w:val="20"/>
          <w:szCs w:val="20"/>
          <w:lang w:val="en-US"/>
        </w:rPr>
      </w:pPr>
      <w:r>
        <w:rPr>
          <w:sz w:val="20"/>
          <w:szCs w:val="20"/>
          <w:lang w:val="en-US"/>
        </w:rPr>
      </w:r>
      <w:r>
        <w:rPr>
          <w:sz w:val="20"/>
          <w:szCs w:val="20"/>
          <w:lang w:val="en-US"/>
        </w:rPr>
      </w:r>
    </w:p>
    <w:tbl>
      <w:tblPr>
        <w:tblW w:w="10314"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5386"/>
        <w:gridCol w:w="2127"/>
        <w:gridCol w:w="1842"/>
      </w:tblGrid>
      <w:tr>
        <w:tblPrEx/>
        <w:trPr/>
        <w:tc>
          <w:tcPr>
            <w:gridSpan w:val="4"/>
            <w:tcBorders>
              <w:top w:val="single" w:color="000000" w:sz="4" w:space="0"/>
              <w:left w:val="single" w:color="000000" w:sz="4" w:space="0"/>
              <w:bottom w:val="single" w:color="000000" w:sz="4" w:space="0"/>
              <w:right w:val="single" w:color="000000" w:sz="4" w:space="0"/>
            </w:tcBorders>
            <w:tcW w:w="10314" w:type="dxa"/>
            <w:vAlign w:val="top"/>
            <w:textDirection w:val="lrTb"/>
            <w:noWrap w:val="false"/>
          </w:tcPr>
          <w:p>
            <w:pPr>
              <w:pStyle w:val="754"/>
              <w:jc w:val="center"/>
              <w:spacing w:before="120" w:after="120"/>
              <w:rPr>
                <w:sz w:val="20"/>
                <w:szCs w:val="20"/>
              </w:rPr>
            </w:pPr>
            <w:r>
              <w:rPr>
                <w:b/>
                <w:bCs/>
              </w:rPr>
              <w:t xml:space="preserve">6. Гарантийные операции</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754"/>
              <w:ind w:right="-18"/>
              <w:jc w:val="center"/>
              <w:tabs>
                <w:tab w:val="left" w:pos="4464" w:leader="none"/>
                <w:tab w:val="left" w:pos="5760" w:leader="none"/>
              </w:tabs>
              <w:rPr>
                <w:iCs/>
                <w:sz w:val="20"/>
                <w:szCs w:val="20"/>
              </w:rPr>
            </w:pPr>
            <w:r>
              <w:rPr>
                <w:iCs/>
                <w:sz w:val="20"/>
                <w:szCs w:val="20"/>
              </w:rPr>
              <w:t xml:space="preserve">№ </w:t>
              <w:br w:type="textWrapping" w:clear="all"/>
              <w:t xml:space="preserve">п/п</w:t>
            </w:r>
            <w:r>
              <w:rPr>
                <w:i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center"/>
            <w:textDirection w:val="lrTb"/>
            <w:noWrap w:val="false"/>
          </w:tcPr>
          <w:p>
            <w:pPr>
              <w:pStyle w:val="754"/>
              <w:ind w:right="-18"/>
              <w:jc w:val="center"/>
              <w:keepNext/>
              <w:tabs>
                <w:tab w:val="left" w:pos="4464" w:leader="none"/>
                <w:tab w:val="left" w:pos="5760" w:leader="none"/>
              </w:tabs>
              <w:rPr>
                <w:iCs/>
                <w:sz w:val="20"/>
                <w:szCs w:val="20"/>
              </w:rPr>
              <w:outlineLvl w:val="7"/>
            </w:pPr>
            <w:r>
              <w:rPr>
                <w:iCs/>
                <w:sz w:val="20"/>
                <w:szCs w:val="20"/>
              </w:rPr>
              <w:t xml:space="preserve">Наименование услуги</w:t>
            </w:r>
            <w:r>
              <w:rPr>
                <w:i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754"/>
              <w:ind w:left="72" w:right="72"/>
              <w:jc w:val="center"/>
              <w:keepNext/>
              <w:tabs>
                <w:tab w:val="left" w:pos="4464" w:leader="none"/>
                <w:tab w:val="left" w:pos="5760" w:leader="none"/>
              </w:tabs>
              <w:rPr>
                <w:iCs/>
                <w:sz w:val="20"/>
                <w:szCs w:val="20"/>
              </w:rPr>
              <w:outlineLvl w:val="2"/>
            </w:pPr>
            <w:r>
              <w:rPr>
                <w:iCs/>
                <w:sz w:val="20"/>
                <w:szCs w:val="20"/>
              </w:rPr>
              <w:t xml:space="preserve">Тариф</w:t>
            </w:r>
            <w:r>
              <w:rPr>
                <w:i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754"/>
              <w:ind w:left="72" w:right="-18"/>
              <w:jc w:val="center"/>
              <w:tabs>
                <w:tab w:val="left" w:pos="4464" w:leader="none"/>
                <w:tab w:val="left" w:pos="5760" w:leader="none"/>
              </w:tabs>
              <w:rPr>
                <w:iCs/>
                <w:sz w:val="20"/>
                <w:szCs w:val="20"/>
              </w:rPr>
            </w:pPr>
            <w:r>
              <w:rPr>
                <w:iCs/>
                <w:sz w:val="20"/>
                <w:szCs w:val="20"/>
              </w:rPr>
              <w:t xml:space="preserve">Примечание</w:t>
            </w:r>
            <w:r>
              <w:rPr>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54"/>
              <w:jc w:val="center"/>
              <w:spacing w:before="40" w:after="40"/>
              <w:rPr>
                <w:sz w:val="20"/>
                <w:szCs w:val="20"/>
              </w:rPr>
            </w:pPr>
            <w:r>
              <w:rPr>
                <w:sz w:val="20"/>
                <w:szCs w:val="20"/>
              </w:rPr>
              <w:t xml:space="preserve">6.1.</w:t>
            </w:r>
            <w:r>
              <w:rPr>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54"/>
              <w:spacing w:before="40"/>
              <w:rPr>
                <w:sz w:val="20"/>
                <w:szCs w:val="20"/>
              </w:rPr>
            </w:pPr>
            <w:r>
              <w:rPr>
                <w:sz w:val="20"/>
                <w:szCs w:val="20"/>
              </w:rPr>
              <w:t xml:space="preserve">Выдача гарантии/контргарантии/открытие резервного аккредитива (увеличение суммы, пролонгация):</w:t>
            </w:r>
            <w:r>
              <w:rPr>
                <w:sz w:val="20"/>
                <w:szCs w:val="20"/>
              </w:rPr>
            </w:r>
          </w:p>
          <w:p>
            <w:pPr>
              <w:pStyle w:val="754"/>
              <w:rPr>
                <w:sz w:val="20"/>
                <w:szCs w:val="20"/>
              </w:rPr>
            </w:pPr>
            <w:r>
              <w:rPr>
                <w:sz w:val="20"/>
                <w:szCs w:val="20"/>
              </w:rPr>
              <w:t xml:space="preserve">- на условиях размещения в Банке денежного обеспечения (покрытия)</w:t>
            </w:r>
            <w:r>
              <w:rPr>
                <w:sz w:val="20"/>
                <w:szCs w:val="20"/>
              </w:rPr>
            </w:r>
          </w:p>
          <w:p>
            <w:pPr>
              <w:pStyle w:val="754"/>
              <w:spacing w:after="40"/>
              <w:rPr>
                <w:sz w:val="20"/>
                <w:szCs w:val="20"/>
              </w:rPr>
            </w:pPr>
            <w:r>
              <w:rPr>
                <w:sz w:val="20"/>
                <w:szCs w:val="20"/>
              </w:rPr>
              <w:t xml:space="preserve">- без размещения в Банке денежного обеспечения</w:t>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754"/>
              <w:jc w:val="center"/>
              <w:spacing w:before="40" w:after="40"/>
              <w:rPr>
                <w:sz w:val="20"/>
                <w:szCs w:val="20"/>
              </w:rPr>
            </w:pPr>
            <w:r>
              <w:rPr>
                <w:sz w:val="20"/>
                <w:szCs w:val="20"/>
              </w:rPr>
              <w:t xml:space="preserve">По соглашению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754"/>
              <w:ind w:right="-108"/>
              <w:spacing w:before="40" w:after="40"/>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54"/>
              <w:jc w:val="center"/>
              <w:spacing w:before="40" w:after="40"/>
              <w:rPr>
                <w:sz w:val="20"/>
                <w:szCs w:val="20"/>
              </w:rPr>
            </w:pPr>
            <w:r>
              <w:rPr>
                <w:sz w:val="20"/>
                <w:szCs w:val="20"/>
              </w:rPr>
              <w:t xml:space="preserve">6.2.</w:t>
            </w:r>
            <w:r>
              <w:rPr>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54"/>
              <w:ind w:right="72"/>
              <w:keepNext/>
              <w:spacing w:before="40" w:after="40"/>
              <w:rPr>
                <w:bCs/>
                <w:sz w:val="20"/>
                <w:szCs w:val="20"/>
              </w:rPr>
              <w:outlineLvl w:val="6"/>
            </w:pPr>
            <w:r>
              <w:rPr>
                <w:bCs/>
                <w:sz w:val="20"/>
                <w:szCs w:val="20"/>
              </w:rPr>
              <w:t xml:space="preserve">Внесение изменений в условия выданной гарантии/контргарантии/резервного аккредитива</w:t>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754"/>
              <w:jc w:val="center"/>
              <w:spacing w:before="40" w:after="40"/>
              <w:rPr>
                <w:sz w:val="20"/>
                <w:szCs w:val="20"/>
              </w:rPr>
            </w:pPr>
            <w:r>
              <w:rPr>
                <w:sz w:val="20"/>
                <w:szCs w:val="20"/>
              </w:rPr>
              <w:t xml:space="preserve">По соглашению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754"/>
              <w:spacing w:before="40" w:after="40"/>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54"/>
              <w:jc w:val="center"/>
              <w:spacing w:before="40" w:after="40"/>
              <w:rPr>
                <w:sz w:val="20"/>
                <w:szCs w:val="20"/>
              </w:rPr>
            </w:pPr>
            <w:r>
              <w:rPr>
                <w:sz w:val="20"/>
                <w:szCs w:val="20"/>
              </w:rPr>
              <w:t xml:space="preserve">6.3.</w:t>
            </w:r>
            <w:r>
              <w:rPr>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54"/>
              <w:ind w:right="72"/>
              <w:keepNext/>
              <w:spacing w:before="40" w:after="40"/>
              <w:rPr>
                <w:bCs/>
                <w:sz w:val="20"/>
                <w:szCs w:val="20"/>
              </w:rPr>
              <w:outlineLvl w:val="6"/>
            </w:pPr>
            <w:r>
              <w:rPr>
                <w:bCs/>
                <w:sz w:val="20"/>
                <w:szCs w:val="20"/>
              </w:rPr>
              <w:t xml:space="preserve">Аннуляция выданной гарантии/контргарантии/ резервного аккредитива до срока истечения действия</w:t>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754"/>
              <w:jc w:val="center"/>
              <w:spacing w:before="40" w:after="40"/>
              <w:rPr>
                <w:sz w:val="20"/>
                <w:szCs w:val="20"/>
              </w:rPr>
            </w:pPr>
            <w:r>
              <w:rPr>
                <w:sz w:val="20"/>
                <w:szCs w:val="20"/>
              </w:rPr>
              <w:t xml:space="preserve">7 500 руб.</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754"/>
              <w:spacing w:before="40" w:after="40"/>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54"/>
              <w:jc w:val="center"/>
              <w:spacing w:before="40" w:after="40"/>
              <w:rPr>
                <w:sz w:val="20"/>
                <w:szCs w:val="20"/>
              </w:rPr>
            </w:pPr>
            <w:r>
              <w:rPr>
                <w:sz w:val="20"/>
                <w:szCs w:val="20"/>
              </w:rPr>
              <w:t xml:space="preserve">6.4.</w:t>
            </w:r>
            <w:r>
              <w:rPr>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54"/>
              <w:ind w:right="72"/>
              <w:keepNext/>
              <w:spacing w:before="40" w:after="40"/>
              <w:rPr>
                <w:bCs/>
                <w:sz w:val="20"/>
                <w:szCs w:val="20"/>
              </w:rPr>
              <w:outlineLvl w:val="6"/>
            </w:pPr>
            <w:r>
              <w:rPr>
                <w:bCs/>
                <w:sz w:val="20"/>
                <w:szCs w:val="20"/>
              </w:rPr>
              <w:t xml:space="preserve">Проверка представленных требования и документов, в том числе, платеж по гарантии/контргарантии/резервному аккредитиву, выданным Банком</w:t>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754"/>
              <w:jc w:val="center"/>
              <w:spacing w:before="40" w:after="40"/>
              <w:rPr>
                <w:sz w:val="20"/>
                <w:szCs w:val="20"/>
              </w:rPr>
            </w:pPr>
            <w:r>
              <w:rPr>
                <w:sz w:val="20"/>
                <w:szCs w:val="20"/>
              </w:rPr>
              <w:t xml:space="preserve">0,1% от суммы,</w:t>
            </w:r>
            <w:r>
              <w:rPr>
                <w:sz w:val="20"/>
                <w:szCs w:val="20"/>
              </w:rPr>
            </w:r>
          </w:p>
          <w:p>
            <w:pPr>
              <w:pStyle w:val="754"/>
              <w:jc w:val="center"/>
              <w:spacing w:before="40" w:after="40"/>
              <w:rPr>
                <w:sz w:val="20"/>
                <w:szCs w:val="20"/>
              </w:rPr>
            </w:pPr>
            <w:r>
              <w:rPr>
                <w:sz w:val="20"/>
                <w:szCs w:val="20"/>
              </w:rPr>
              <w:t xml:space="preserve">мин. 10 000 руб.</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754"/>
              <w:spacing w:before="40" w:after="40"/>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54"/>
              <w:ind w:left="72" w:right="72"/>
              <w:jc w:val="center"/>
              <w:spacing w:before="40" w:after="40"/>
              <w:rPr>
                <w:bCs/>
                <w:sz w:val="20"/>
                <w:szCs w:val="20"/>
              </w:rPr>
            </w:pPr>
            <w:r>
              <w:rPr>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54"/>
              <w:ind w:right="72"/>
              <w:spacing w:before="40" w:after="40"/>
              <w:rPr>
                <w:bCs/>
                <w:sz w:val="20"/>
                <w:szCs w:val="20"/>
              </w:rPr>
            </w:pPr>
            <w:r>
              <w:rPr>
                <w:bCs/>
                <w:sz w:val="20"/>
                <w:szCs w:val="20"/>
              </w:rPr>
              <w:t xml:space="preserve">Авизование гарантии/контргарантии/резервного аккредитива без обязательств со стороны Банка</w:t>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754"/>
              <w:jc w:val="center"/>
              <w:spacing w:before="40" w:after="40"/>
              <w:rPr>
                <w:sz w:val="20"/>
                <w:szCs w:val="20"/>
              </w:rPr>
            </w:pPr>
            <w:r>
              <w:rPr>
                <w:sz w:val="20"/>
                <w:szCs w:val="20"/>
              </w:rPr>
              <w:t xml:space="preserve">20 000 руб.</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754"/>
              <w:jc w:val="center"/>
              <w:spacing w:before="40" w:after="40"/>
              <w:rPr>
                <w:sz w:val="20"/>
                <w:szCs w:val="20"/>
              </w:rPr>
            </w:pPr>
            <w:r>
              <w:rPr>
                <w:sz w:val="20"/>
                <w:szCs w:val="20"/>
              </w:rPr>
              <w:t xml:space="preserve">Комиссия включает НДС</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54"/>
              <w:ind w:left="72" w:right="72"/>
              <w:jc w:val="center"/>
              <w:spacing w:before="40" w:after="40"/>
              <w:rPr>
                <w:bCs/>
                <w:sz w:val="20"/>
                <w:szCs w:val="20"/>
              </w:rPr>
            </w:pPr>
            <w:r>
              <w:rPr>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54"/>
              <w:ind w:left="72" w:right="72"/>
              <w:spacing w:before="40" w:after="40"/>
              <w:rPr>
                <w:bCs/>
                <w:sz w:val="20"/>
                <w:szCs w:val="20"/>
              </w:rPr>
            </w:pPr>
            <w:r>
              <w:rPr>
                <w:bCs/>
                <w:sz w:val="20"/>
                <w:szCs w:val="20"/>
              </w:rPr>
              <w:t xml:space="preserve">Авизование изменения усл</w:t>
            </w:r>
            <w:r>
              <w:rPr>
                <w:bCs/>
                <w:sz w:val="20"/>
                <w:szCs w:val="20"/>
              </w:rPr>
              <w:t xml:space="preserve">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754"/>
              <w:jc w:val="center"/>
              <w:spacing w:before="40" w:after="40"/>
              <w:rPr>
                <w:sz w:val="20"/>
                <w:szCs w:val="20"/>
              </w:rPr>
            </w:pPr>
            <w:r>
              <w:rPr>
                <w:sz w:val="20"/>
                <w:szCs w:val="20"/>
              </w:rPr>
              <w:t xml:space="preserve">3 </w:t>
            </w:r>
            <w:r>
              <w:rPr>
                <w:sz w:val="20"/>
                <w:szCs w:val="20"/>
                <w:lang w:val="en-US"/>
              </w:rPr>
              <w:t xml:space="preserve">5</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754"/>
              <w:jc w:val="center"/>
              <w:spacing w:before="40" w:after="40"/>
              <w:rPr>
                <w:sz w:val="20"/>
                <w:szCs w:val="20"/>
              </w:rPr>
            </w:pPr>
            <w:r>
              <w:rPr>
                <w:sz w:val="20"/>
                <w:szCs w:val="20"/>
              </w:rPr>
              <w:t xml:space="preserve">Комиссия включает НДС</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54"/>
              <w:ind w:left="72" w:right="72"/>
              <w:jc w:val="center"/>
              <w:spacing w:before="40" w:after="40"/>
              <w:rPr>
                <w:bCs/>
                <w:sz w:val="20"/>
                <w:szCs w:val="20"/>
              </w:rPr>
            </w:pPr>
            <w:r>
              <w:rPr>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54"/>
              <w:ind w:left="72" w:right="72"/>
              <w:spacing w:before="40" w:after="40"/>
              <w:rPr>
                <w:bCs/>
                <w:sz w:val="20"/>
                <w:szCs w:val="20"/>
              </w:rPr>
            </w:pPr>
            <w:r>
              <w:rPr>
                <w:bCs/>
                <w:sz w:val="20"/>
                <w:szCs w:val="20"/>
              </w:rPr>
              <w:t xml:space="preserve">Требование платежа по гарантии, авизованной без обязательств со стороны Банка</w:t>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754"/>
              <w:jc w:val="center"/>
              <w:spacing w:before="40" w:after="40"/>
              <w:rPr>
                <w:sz w:val="20"/>
                <w:szCs w:val="20"/>
              </w:rPr>
            </w:pPr>
            <w:r>
              <w:rPr>
                <w:sz w:val="20"/>
                <w:szCs w:val="20"/>
              </w:rPr>
              <w:t xml:space="preserve">7 500 руб.</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754"/>
              <w:jc w:val="center"/>
              <w:spacing w:before="40" w:after="40"/>
              <w:rPr>
                <w:sz w:val="20"/>
                <w:szCs w:val="20"/>
              </w:rPr>
            </w:pPr>
            <w:r>
              <w:rPr>
                <w:sz w:val="20"/>
                <w:szCs w:val="20"/>
              </w:rPr>
              <w:t xml:space="preserve">Комиссия включает НДС</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54"/>
              <w:ind w:left="72" w:right="72"/>
              <w:jc w:val="center"/>
              <w:keepNext/>
              <w:spacing w:before="40" w:after="40"/>
              <w:rPr>
                <w:bCs/>
                <w:sz w:val="20"/>
                <w:szCs w:val="20"/>
              </w:rPr>
              <w:outlineLvl w:val="6"/>
            </w:pPr>
            <w:r>
              <w:rPr>
                <w:sz w:val="20"/>
                <w:szCs w:val="20"/>
              </w:rPr>
              <w:t xml:space="preserve">6.8.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54"/>
              <w:ind w:left="72" w:right="72"/>
              <w:keepNext/>
              <w:spacing w:before="40" w:after="40"/>
              <w:rPr>
                <w:bCs/>
                <w:sz w:val="20"/>
                <w:szCs w:val="20"/>
              </w:rPr>
              <w:outlineLvl w:val="6"/>
            </w:pPr>
            <w:r>
              <w:rPr>
                <w:bCs/>
                <w:sz w:val="20"/>
                <w:szCs w:val="20"/>
              </w:rPr>
              <w:t xml:space="preserve">Проверка по запросу </w:t>
            </w:r>
            <w:r>
              <w:rPr>
                <w:sz w:val="20"/>
                <w:szCs w:val="20"/>
              </w:rPr>
              <w:t xml:space="preserve">банка-контрагента</w:t>
            </w:r>
            <w:r>
              <w:rPr>
                <w:bCs/>
                <w:sz w:val="20"/>
                <w:szCs w:val="20"/>
              </w:rPr>
              <w:t xml:space="preserve"> подлинности гарантии/контргарантии/резервного аккредитива и/или правильности телексных ключей</w:t>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754"/>
              <w:jc w:val="center"/>
              <w:spacing w:before="40" w:after="40"/>
              <w:rPr>
                <w:sz w:val="20"/>
                <w:szCs w:val="20"/>
              </w:rPr>
            </w:pPr>
            <w:r>
              <w:rPr>
                <w:sz w:val="20"/>
                <w:szCs w:val="20"/>
              </w:rPr>
              <w:t xml:space="preserve">3 </w:t>
            </w:r>
            <w:r>
              <w:rPr>
                <w:sz w:val="20"/>
                <w:szCs w:val="20"/>
                <w:lang w:val="en-US"/>
              </w:rPr>
              <w:t xml:space="preserve">5</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754"/>
              <w:jc w:val="center"/>
              <w:spacing w:before="40" w:after="40"/>
              <w:rPr>
                <w:sz w:val="20"/>
                <w:szCs w:val="20"/>
              </w:rPr>
            </w:pPr>
            <w:r>
              <w:rPr>
                <w:sz w:val="20"/>
                <w:szCs w:val="20"/>
              </w:rPr>
              <w:t xml:space="preserve">Комиссия включает НДС</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54"/>
              <w:ind w:left="72" w:right="72"/>
              <w:jc w:val="center"/>
              <w:keepNext/>
              <w:spacing w:before="40" w:after="40"/>
              <w:rPr>
                <w:bCs/>
                <w:sz w:val="20"/>
                <w:szCs w:val="20"/>
              </w:rPr>
              <w:outlineLvl w:val="6"/>
            </w:pPr>
            <w:r>
              <w:rPr>
                <w:sz w:val="20"/>
                <w:szCs w:val="20"/>
              </w:rPr>
              <w:t xml:space="preserve">6.9.</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54"/>
              <w:ind w:left="72" w:right="72"/>
              <w:keepNext/>
              <w:spacing w:before="40" w:after="40"/>
              <w:rPr>
                <w:bCs/>
                <w:sz w:val="20"/>
                <w:szCs w:val="20"/>
              </w:rPr>
              <w:outlineLvl w:val="6"/>
            </w:pPr>
            <w:r>
              <w:rPr>
                <w:bCs/>
                <w:sz w:val="20"/>
                <w:szCs w:val="20"/>
              </w:rPr>
              <w:t xml:space="preserve">Отправка сообщения по гарантии/контргарантии/ резервному аккредитиву по запросу </w:t>
            </w:r>
            <w:r>
              <w:rPr>
                <w:sz w:val="20"/>
                <w:szCs w:val="20"/>
              </w:rPr>
              <w:t xml:space="preserve">банка-контрагента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754"/>
              <w:jc w:val="center"/>
              <w:spacing w:before="40" w:after="40"/>
              <w:rPr>
                <w:sz w:val="20"/>
                <w:szCs w:val="20"/>
              </w:rPr>
            </w:pPr>
            <w:r>
              <w:rPr>
                <w:sz w:val="20"/>
                <w:szCs w:val="20"/>
              </w:rPr>
              <w:t xml:space="preserve">2 500 руб. </w:t>
            </w:r>
            <w:r>
              <w:rPr>
                <w:bCs/>
                <w:sz w:val="20"/>
                <w:szCs w:val="20"/>
              </w:rPr>
              <w:t xml:space="preserve">за каждое отправленное сообщение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754"/>
              <w:jc w:val="center"/>
              <w:spacing w:before="40" w:after="40"/>
              <w:rPr>
                <w:sz w:val="20"/>
                <w:szCs w:val="20"/>
              </w:rPr>
            </w:pPr>
            <w:r>
              <w:rPr>
                <w:sz w:val="20"/>
                <w:szCs w:val="20"/>
              </w:rPr>
              <w:t xml:space="preserve">Комиссия включает НДС</w:t>
            </w:r>
            <w:r>
              <w:rPr>
                <w:sz w:val="20"/>
                <w:szCs w:val="20"/>
              </w:rPr>
            </w:r>
          </w:p>
        </w:tc>
      </w:tr>
    </w:tbl>
    <w:p>
      <w:pPr>
        <w:pStyle w:val="754"/>
        <w:rPr>
          <w:sz w:val="20"/>
          <w:szCs w:val="20"/>
        </w:rPr>
      </w:pPr>
      <w:r>
        <w:rPr>
          <w:sz w:val="20"/>
          <w:szCs w:val="20"/>
        </w:rPr>
        <w:t xml:space="preserve">Примечание к разделам 4-6 Тарифов:</w:t>
      </w:r>
      <w:r>
        <w:rPr>
          <w:sz w:val="20"/>
          <w:szCs w:val="20"/>
        </w:rPr>
      </w:r>
    </w:p>
    <w:p>
      <w:pPr>
        <w:pStyle w:val="754"/>
        <w:jc w:val="both"/>
        <w:spacing w:before="40"/>
        <w:tabs>
          <w:tab w:val="left" w:pos="-1276" w:leader="none"/>
          <w:tab w:val="left" w:pos="284" w:leader="none"/>
          <w:tab w:val="left" w:pos="1134" w:leader="none"/>
        </w:tabs>
        <w:rPr>
          <w:sz w:val="20"/>
          <w:szCs w:val="20"/>
        </w:rPr>
      </w:pPr>
      <w:r>
        <w:rPr>
          <w:sz w:val="20"/>
          <w:szCs w:val="20"/>
        </w:rP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Тарифами комиссион</w:t>
      </w:r>
      <w:r>
        <w:rPr>
          <w:sz w:val="20"/>
          <w:szCs w:val="20"/>
        </w:rPr>
        <w:t xml:space="preserve">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w:t>
      </w:r>
      <w:r>
        <w:rPr>
          <w:sz w:val="20"/>
          <w:szCs w:val="20"/>
        </w:rPr>
        <w:t xml:space="preserve"> частной практикой.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r>
        <w:rPr>
          <w:sz w:val="20"/>
          <w:szCs w:val="20"/>
        </w:rPr>
      </w:r>
    </w:p>
    <w:p>
      <w:pPr>
        <w:pStyle w:val="754"/>
        <w:jc w:val="both"/>
        <w:spacing w:before="40"/>
        <w:tabs>
          <w:tab w:val="left" w:pos="-1276" w:leader="none"/>
          <w:tab w:val="left" w:pos="284" w:leader="none"/>
          <w:tab w:val="left" w:pos="1134" w:leader="none"/>
        </w:tabs>
        <w:rPr>
          <w:sz w:val="20"/>
          <w:szCs w:val="20"/>
        </w:rPr>
      </w:pPr>
      <w:r>
        <w:rPr>
          <w:sz w:val="20"/>
          <w:szCs w:val="20"/>
        </w:rPr>
        <w:t xml:space="preserve">1. При указании в наименовании услуги двух и более операций к</w:t>
      </w:r>
      <w:r>
        <w:rPr>
          <w:bCs/>
          <w:color w:val="000000"/>
          <w:sz w:val="20"/>
          <w:szCs w:val="20"/>
        </w:rPr>
        <w:t xml:space="preserve">омиссионное вознаграждение взимается за каждую осуществленную операцию из перечисленных в соответствующем пункте Тарифа.</w:t>
      </w:r>
      <w:r>
        <w:rPr>
          <w:sz w:val="20"/>
          <w:szCs w:val="20"/>
        </w:rPr>
        <w:t xml:space="preserve"> </w:t>
      </w:r>
      <w:r>
        <w:rPr>
          <w:sz w:val="20"/>
          <w:szCs w:val="20"/>
        </w:rPr>
      </w:r>
    </w:p>
    <w:p>
      <w:pPr>
        <w:pStyle w:val="754"/>
        <w:jc w:val="both"/>
        <w:spacing w:before="40"/>
        <w:tabs>
          <w:tab w:val="left" w:pos="284" w:leader="none"/>
          <w:tab w:val="left" w:pos="1134" w:leader="none"/>
        </w:tabs>
        <w:rPr>
          <w:sz w:val="20"/>
          <w:szCs w:val="20"/>
        </w:rPr>
      </w:pPr>
      <w:r>
        <w:rPr>
          <w:sz w:val="20"/>
          <w:szCs w:val="20"/>
        </w:rPr>
        <w:t xml:space="preserve">2. По документарным</w:t>
      </w:r>
      <w:r>
        <w:rPr>
          <w:sz w:val="20"/>
          <w:szCs w:val="20"/>
        </w:rPr>
        <w:t xml:space="preserve">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r>
        <w:rPr>
          <w:sz w:val="20"/>
          <w:szCs w:val="20"/>
        </w:rPr>
      </w:r>
    </w:p>
    <w:p>
      <w:pPr>
        <w:pStyle w:val="754"/>
        <w:jc w:val="both"/>
        <w:spacing w:before="40"/>
        <w:rPr>
          <w:sz w:val="20"/>
          <w:szCs w:val="20"/>
        </w:rPr>
      </w:pPr>
      <w:r>
        <w:rPr>
          <w:sz w:val="20"/>
          <w:szCs w:val="20"/>
        </w:rPr>
        <w:t xml:space="preserve">3. Комиссионное вознаграждение Банка может быть уплачено в россий</w:t>
      </w:r>
      <w:r>
        <w:rPr>
          <w:sz w:val="20"/>
          <w:szCs w:val="20"/>
        </w:rPr>
        <w:t xml:space="preserve">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p>
    <w:p>
      <w:pPr>
        <w:pStyle w:val="754"/>
        <w:jc w:val="both"/>
        <w:spacing w:before="40"/>
        <w:rPr>
          <w:iCs/>
          <w:sz w:val="20"/>
          <w:szCs w:val="20"/>
        </w:rPr>
      </w:pPr>
      <w:r>
        <w:rPr>
          <w:iCs/>
          <w:sz w:val="20"/>
          <w:szCs w:val="20"/>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color w:val="000000"/>
          <w:sz w:val="20"/>
          <w:szCs w:val="20"/>
        </w:rPr>
        <w:t xml:space="preserve">Комиссионное вознаграждение рассчитывается от суммы, предъявленной к оплате по аккредитиву/рамбурсному обязательству.</w:t>
      </w:r>
      <w:r>
        <w:rPr>
          <w:iCs/>
          <w:sz w:val="20"/>
          <w:szCs w:val="20"/>
        </w:rPr>
      </w:r>
      <w:r>
        <w:rPr>
          <w:iCs/>
          <w:sz w:val="20"/>
          <w:szCs w:val="20"/>
        </w:rPr>
      </w:r>
    </w:p>
    <w:p>
      <w:pPr>
        <w:pStyle w:val="754"/>
        <w:jc w:val="both"/>
        <w:rPr>
          <w:color w:val="000000"/>
          <w:sz w:val="20"/>
          <w:szCs w:val="20"/>
        </w:rPr>
      </w:pPr>
      <w:r>
        <w:rPr>
          <w:iCs/>
          <w:sz w:val="20"/>
          <w:szCs w:val="20"/>
        </w:rPr>
        <w:t xml:space="preserve">Расчет комиссионного вознаграждения по пунктам 4.1.3, 4.1.9, 4.2.1 и 4.3.2 Тарифов (при наличии 100% денежного покрытия) начинается в дату </w:t>
      </w:r>
      <w:r>
        <w:rPr>
          <w:color w:val="000000"/>
          <w:sz w:val="20"/>
          <w:szCs w:val="20"/>
        </w:rPr>
        <w:t xml:space="preserve">оказания соответствующей услуги.</w:t>
      </w:r>
      <w:r>
        <w:rPr>
          <w:color w:val="000000"/>
          <w:sz w:val="20"/>
          <w:szCs w:val="20"/>
        </w:rPr>
      </w:r>
    </w:p>
    <w:p>
      <w:pPr>
        <w:pStyle w:val="754"/>
        <w:jc w:val="both"/>
        <w:rPr>
          <w:color w:val="000000"/>
          <w:sz w:val="20"/>
          <w:szCs w:val="20"/>
        </w:rPr>
      </w:pPr>
      <w:r>
        <w:rPr>
          <w:color w:val="000000"/>
          <w:sz w:val="20"/>
          <w:szCs w:val="20"/>
        </w:rPr>
        <w:t xml:space="preserve">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r>
        <w:rPr>
          <w:color w:val="000000"/>
          <w:sz w:val="20"/>
          <w:szCs w:val="20"/>
        </w:rPr>
      </w:r>
    </w:p>
    <w:p>
      <w:pPr>
        <w:pStyle w:val="754"/>
        <w:jc w:val="both"/>
        <w:tabs>
          <w:tab w:val="left" w:pos="-1276" w:leader="none"/>
          <w:tab w:val="left" w:pos="0" w:leader="none"/>
          <w:tab w:val="left" w:pos="1134" w:leader="none"/>
        </w:tabs>
        <w:rPr>
          <w:iCs/>
          <w:sz w:val="20"/>
          <w:szCs w:val="20"/>
        </w:rPr>
      </w:pPr>
      <w:r>
        <w:rPr>
          <w:color w:val="000000"/>
          <w:sz w:val="20"/>
          <w:szCs w:val="20"/>
        </w:rPr>
        <w:t xml:space="preserve">В случае закрытия неиспользованного (полностью или частично) 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w:t>
      </w:r>
      <w:r>
        <w:rPr>
          <w:color w:val="000000"/>
          <w:sz w:val="20"/>
          <w:szCs w:val="20"/>
        </w:rPr>
        <w:t xml:space="preserve">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Pr>
          <w:iCs/>
          <w:sz w:val="20"/>
          <w:szCs w:val="20"/>
        </w:rPr>
        <w:t xml:space="preserve"> </w:t>
      </w:r>
      <w:r>
        <w:rPr>
          <w:iCs/>
          <w:sz w:val="20"/>
          <w:szCs w:val="20"/>
        </w:rPr>
      </w:r>
    </w:p>
    <w:p>
      <w:pPr>
        <w:pStyle w:val="754"/>
        <w:jc w:val="both"/>
        <w:tabs>
          <w:tab w:val="left" w:pos="-1276" w:leader="none"/>
          <w:tab w:val="left" w:pos="0" w:leader="none"/>
          <w:tab w:val="left" w:pos="1134" w:leader="none"/>
        </w:tabs>
      </w:pPr>
      <w:r>
        <w:rPr>
          <w:iCs/>
          <w:sz w:val="20"/>
          <w:szCs w:val="20"/>
        </w:rPr>
        <w:t xml:space="preserve">Минимальное значение комиссионного вознаграждения применяется при каждом расчете комиссии к уплате.</w:t>
      </w:r>
      <w:r/>
    </w:p>
    <w:p>
      <w:pPr>
        <w:pStyle w:val="754"/>
        <w:jc w:val="both"/>
        <w:rPr>
          <w:color w:val="000000"/>
          <w:sz w:val="20"/>
          <w:szCs w:val="20"/>
        </w:rPr>
      </w:pPr>
      <w:r>
        <w:rPr>
          <w:color w:val="000000"/>
          <w:sz w:val="20"/>
          <w:szCs w:val="20"/>
        </w:rPr>
        <w:t xml:space="preserve">Базис расчета – фактическое количество дней в году (365/366).</w:t>
      </w:r>
      <w:r>
        <w:rPr>
          <w:color w:val="000000"/>
          <w:sz w:val="20"/>
          <w:szCs w:val="20"/>
        </w:rPr>
      </w:r>
    </w:p>
    <w:p>
      <w:pPr>
        <w:pStyle w:val="754"/>
        <w:jc w:val="both"/>
        <w:spacing w:before="40"/>
        <w:tabs>
          <w:tab w:val="left" w:pos="-1276" w:leader="none"/>
          <w:tab w:val="left" w:pos="0" w:leader="none"/>
          <w:tab w:val="left" w:pos="1134" w:leader="none"/>
        </w:tabs>
        <w:rPr>
          <w:bCs/>
          <w:iCs/>
          <w:sz w:val="20"/>
          <w:szCs w:val="20"/>
        </w:rPr>
      </w:pPr>
      <w:r>
        <w:rPr>
          <w:sz w:val="20"/>
          <w:szCs w:val="20"/>
        </w:rPr>
        <w:t xml:space="preserve">5.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p>
    <w:p>
      <w:pPr>
        <w:pStyle w:val="754"/>
        <w:jc w:val="center"/>
        <w:rPr>
          <w:sz w:val="20"/>
          <w:szCs w:val="20"/>
        </w:rPr>
      </w:pPr>
      <w:r>
        <w:rPr>
          <w:sz w:val="20"/>
          <w:szCs w:val="20"/>
        </w:rPr>
      </w:r>
      <w:r>
        <w:rPr>
          <w:sz w:val="20"/>
          <w:szCs w:val="20"/>
        </w:rPr>
      </w:r>
    </w:p>
    <w:tbl>
      <w:tblPr>
        <w:tblW w:w="5098" w:type="pct"/>
        <w:tblInd w:w="0" w:type="dxa"/>
        <w:tblLayout w:type="autofit"/>
        <w:tblCellMar>
          <w:left w:w="108" w:type="dxa"/>
          <w:top w:w="0" w:type="dxa"/>
          <w:right w:w="108" w:type="dxa"/>
          <w:bottom w:w="0" w:type="dxa"/>
        </w:tblCellMar>
        <w:tblLook w:val="04A0" w:firstRow="1" w:lastRow="0" w:firstColumn="1" w:lastColumn="0" w:noHBand="0" w:noVBand="1"/>
      </w:tblPr>
      <w:tblGrid>
        <w:gridCol w:w="835"/>
        <w:gridCol w:w="237"/>
        <w:gridCol w:w="17"/>
        <w:gridCol w:w="2791"/>
        <w:gridCol w:w="1751"/>
        <w:gridCol w:w="1817"/>
        <w:gridCol w:w="210"/>
        <w:gridCol w:w="2655"/>
      </w:tblGrid>
      <w:tr>
        <w:tblPrEx/>
        <w:trPr>
          <w:trHeight w:val="341"/>
        </w:trPr>
        <w:tc>
          <w:tcPr>
            <w:gridSpan w:val="8"/>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754"/>
              <w:jc w:val="center"/>
              <w:spacing w:after="120"/>
              <w:rPr>
                <w:b/>
                <w:bCs/>
              </w:rPr>
            </w:pPr>
            <w:r>
              <w:rPr>
                <w:b/>
                <w:bCs/>
              </w:rPr>
              <w:t xml:space="preserve">7. Операции с наличной валютой</w:t>
            </w:r>
            <w:r>
              <w:rPr>
                <w:b/>
                <w:b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rFonts w:eastAsia="Arial Unicode MS"/>
                <w:b/>
                <w:bCs/>
                <w:lang w:val="en-US"/>
              </w:rPr>
            </w:pPr>
            <w:r>
              <w:rPr>
                <w:b/>
                <w:bCs/>
                <w:sz w:val="20"/>
                <w:szCs w:val="20"/>
              </w:rPr>
              <w:t xml:space="preserve">7.1</w:t>
            </w:r>
            <w:r>
              <w:rPr>
                <w:b/>
                <w:bCs/>
                <w:sz w:val="20"/>
                <w:szCs w:val="20"/>
                <w:lang w:val="en-US"/>
              </w:rPr>
              <w:t xml:space="preserve">.</w:t>
            </w:r>
            <w:r>
              <w:rPr>
                <w:rFonts w:eastAsia="Arial Unicode MS"/>
                <w:b/>
                <w:bCs/>
                <w:lang w:val="en-US"/>
              </w:rPr>
            </w:r>
            <w:r>
              <w:rPr>
                <w:rFonts w:eastAsia="Arial Unicode MS"/>
                <w:b/>
                <w:bCs/>
                <w:lang w:val="en-US"/>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rPr>
                <w:rFonts w:eastAsia="Arial Unicode MS"/>
                <w:b/>
                <w:bCs/>
                <w:sz w:val="20"/>
                <w:szCs w:val="20"/>
              </w:rPr>
            </w:pPr>
            <w:r>
              <w:rPr>
                <w:b/>
                <w:bCs/>
                <w:sz w:val="20"/>
                <w:szCs w:val="20"/>
              </w:rPr>
              <w:t xml:space="preserve">Выдача наличной валюты Российской Федерации со счета респондента</w:t>
            </w:r>
            <w:r>
              <w:rPr>
                <w:rFonts w:eastAsia="Arial Unicode MS"/>
                <w:b/>
                <w:bCs/>
                <w:sz w:val="20"/>
                <w:szCs w:val="20"/>
              </w:rPr>
            </w:r>
            <w:r>
              <w:rPr>
                <w:rFonts w:eastAsia="Arial Unicode MS"/>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rFonts w:eastAsia="Arial Unicode MS"/>
                <w:sz w:val="20"/>
                <w:szCs w:val="20"/>
              </w:rPr>
            </w:pPr>
            <w:r>
              <w:rPr>
                <w:sz w:val="20"/>
                <w:szCs w:val="20"/>
              </w:rPr>
              <w:t xml:space="preserve">0,2%  от суммы</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rFonts w:eastAsia="Arial Unicode MS"/>
                <w:iCs/>
                <w:sz w:val="20"/>
                <w:szCs w:val="20"/>
              </w:rPr>
            </w:pPr>
            <w:r>
              <w:rPr>
                <w:iCs/>
                <w:sz w:val="20"/>
                <w:szCs w:val="20"/>
              </w:rPr>
              <w:t xml:space="preserve">Комиссия взимается в день выдачи.                                          Заказ наличной валюты Российской Федерации производится по письменной заявке за            3 банковских дня.</w:t>
            </w:r>
            <w:r>
              <w:rPr>
                <w:rFonts w:eastAsia="Arial Unicode MS"/>
                <w:iCs/>
                <w:sz w:val="20"/>
                <w:szCs w:val="20"/>
              </w:rPr>
            </w:r>
            <w:r>
              <w:rPr>
                <w:rFonts w:eastAsia="Arial Unicode MS"/>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836"/>
              <w:contextualSpacing w:val="0"/>
              <w:ind w:left="164"/>
              <w:spacing w:before="120" w:after="120" w:line="240" w:lineRule="auto"/>
              <w:tabs>
                <w:tab w:val="left" w:pos="1134" w:leader="none"/>
              </w:tabs>
              <w:rPr>
                <w:rFonts w:ascii="Times New Roman" w:hAnsi="Times New Roman" w:eastAsia="Times New Roman"/>
                <w:b/>
                <w:bCs/>
                <w:iCs/>
                <w:sz w:val="20"/>
                <w:szCs w:val="20"/>
                <w:lang w:eastAsia="ru-RU"/>
              </w:rPr>
            </w:pPr>
            <w:r>
              <w:rPr>
                <w:rFonts w:ascii="Times New Roman" w:hAnsi="Times New Roman" w:eastAsia="Times New Roman"/>
                <w:b/>
                <w:bCs/>
                <w:iCs/>
                <w:sz w:val="20"/>
                <w:szCs w:val="20"/>
                <w:lang w:eastAsia="ru-RU"/>
              </w:rPr>
              <w:t xml:space="preserve">  </w:t>
            </w:r>
            <w:r>
              <w:rPr>
                <w:rFonts w:ascii="Times New Roman" w:hAnsi="Times New Roman" w:eastAsia="Times New Roman"/>
                <w:b/>
                <w:bCs/>
                <w:iCs/>
                <w:sz w:val="20"/>
                <w:szCs w:val="20"/>
                <w:lang w:eastAsia="ru-RU"/>
              </w:rPr>
              <w:t xml:space="preserve">7.2.</w:t>
            </w:r>
            <w:r>
              <w:rPr>
                <w:rFonts w:ascii="Times New Roman" w:hAnsi="Times New Roman" w:eastAsia="Times New Roman"/>
                <w:b/>
                <w:bCs/>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836"/>
              <w:contextualSpacing w:val="0"/>
              <w:ind w:left="0"/>
              <w:jc w:val="both"/>
              <w:spacing w:before="120" w:after="120" w:line="240" w:lineRule="auto"/>
              <w:tabs>
                <w:tab w:val="left" w:pos="1134" w:leader="none"/>
              </w:tabs>
              <w:rPr>
                <w:rFonts w:ascii="Times New Roman" w:hAnsi="Times New Roman" w:eastAsia="Times New Roman"/>
                <w:b/>
                <w:bCs/>
                <w:iCs/>
                <w:sz w:val="20"/>
                <w:szCs w:val="20"/>
                <w:lang w:eastAsia="ru-RU"/>
              </w:rPr>
            </w:pPr>
            <w:r>
              <w:rPr>
                <w:rFonts w:ascii="Times New Roman" w:hAnsi="Times New Roman" w:eastAsia="Times New Roman"/>
                <w:b/>
                <w:bCs/>
                <w:iCs/>
                <w:sz w:val="20"/>
                <w:szCs w:val="20"/>
                <w:lang w:eastAsia="ru-RU"/>
              </w:rPr>
              <w:t xml:space="preserve">Прием наличной валюты Российской Федерации с зачислением на счет </w:t>
            </w:r>
            <w:r>
              <w:rPr>
                <w:rFonts w:ascii="Times New Roman" w:hAnsi="Times New Roman" w:eastAsia="Times New Roman"/>
                <w:b/>
                <w:bCs/>
                <w:iCs/>
                <w:sz w:val="20"/>
                <w:szCs w:val="20"/>
                <w:lang w:eastAsia="ru-RU"/>
              </w:rPr>
              <w:t xml:space="preserve">Р</w:t>
            </w:r>
            <w:r>
              <w:rPr>
                <w:rFonts w:ascii="Times New Roman" w:hAnsi="Times New Roman" w:eastAsia="Times New Roman"/>
                <w:b/>
                <w:bCs/>
                <w:iCs/>
                <w:sz w:val="20"/>
                <w:szCs w:val="20"/>
                <w:lang w:eastAsia="ru-RU"/>
              </w:rPr>
              <w:t xml:space="preserve">еспондента</w:t>
            </w:r>
            <w:r>
              <w:rPr>
                <w:rFonts w:ascii="Times New Roman" w:hAnsi="Times New Roman" w:eastAsia="Times New Roman"/>
                <w:b/>
                <w:bCs/>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836"/>
              <w:contextualSpacing w:val="0"/>
              <w:ind w:left="39"/>
              <w:jc w:val="center"/>
              <w:spacing w:before="120" w:after="120" w:line="240" w:lineRule="auto"/>
              <w:tabs>
                <w:tab w:val="left" w:pos="1134" w:leader="none"/>
              </w:tabs>
              <w:rPr>
                <w:rFonts w:ascii="Times New Roman" w:hAnsi="Times New Roman" w:eastAsia="Times New Roman"/>
                <w:b/>
                <w:bCs/>
                <w:iCs/>
                <w:sz w:val="20"/>
                <w:szCs w:val="20"/>
                <w:lang w:eastAsia="ru-RU"/>
              </w:rPr>
            </w:pPr>
            <w:r>
              <w:rPr>
                <w:rFonts w:ascii="Times New Roman" w:hAnsi="Times New Roman" w:eastAsia="Times New Roman"/>
                <w:bCs/>
                <w:iCs/>
                <w:sz w:val="20"/>
                <w:szCs w:val="20"/>
                <w:lang w:eastAsia="ru-RU"/>
              </w:rPr>
              <w:t xml:space="preserve">0,3%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суммы</w:t>
            </w:r>
            <w:r>
              <w:rPr>
                <w:rFonts w:ascii="Times New Roman" w:hAnsi="Times New Roman" w:eastAsia="Times New Roman"/>
                <w:b/>
                <w:bCs/>
                <w:iCs/>
                <w:sz w:val="20"/>
                <w:szCs w:val="20"/>
                <w:lang w:eastAsia="ru-RU"/>
              </w:rPr>
            </w:r>
            <w:r>
              <w:rPr>
                <w:rFonts w:ascii="Times New Roman" w:hAnsi="Times New Roman" w:eastAsia="Times New Roman"/>
                <w:b/>
                <w:bCs/>
                <w:iCs/>
                <w:sz w:val="20"/>
                <w:szCs w:val="20"/>
                <w:lang w:eastAsia="ru-RU"/>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836"/>
              <w:contextualSpacing w:val="0"/>
              <w:ind w:left="34"/>
              <w:jc w:val="both"/>
              <w:spacing w:before="120" w:after="120" w:line="240" w:lineRule="auto"/>
              <w:tabs>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Комиссия взимается в день зачисления на счет Респондента</w:t>
            </w:r>
            <w:r>
              <w:rPr>
                <w:rFonts w:ascii="Times New Roman" w:hAnsi="Times New Roman" w:eastAsia="Times New Roman"/>
                <w:bCs/>
                <w:iCs/>
                <w:sz w:val="20"/>
                <w:szCs w:val="20"/>
                <w:lang w:eastAsia="ru-RU"/>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rPr>
            </w:pPr>
            <w:r>
              <w:rPr>
                <w:b/>
                <w:bCs/>
                <w:sz w:val="20"/>
                <w:szCs w:val="20"/>
              </w:rPr>
              <w:t xml:space="preserve">7.</w:t>
            </w:r>
            <w:r>
              <w:rPr>
                <w:b/>
                <w:bCs/>
                <w:sz w:val="20"/>
                <w:szCs w:val="20"/>
                <w:lang w:val="en-US"/>
              </w:rPr>
              <w:t xml:space="preserve">3</w:t>
            </w:r>
            <w:r>
              <w:rPr>
                <w:b/>
                <w:bCs/>
                <w:sz w:val="20"/>
                <w:szCs w:val="20"/>
              </w:rPr>
              <w:t xml:space="preserve">.</w:t>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rPr>
                <w:rFonts w:eastAsia="Arial Unicode MS"/>
                <w:b/>
                <w:bCs/>
                <w:sz w:val="20"/>
                <w:szCs w:val="20"/>
              </w:rPr>
            </w:pPr>
            <w:r>
              <w:rPr>
                <w:b/>
                <w:bCs/>
                <w:sz w:val="20"/>
                <w:szCs w:val="20"/>
              </w:rPr>
              <w:t xml:space="preserve">Прием наличной валюты Российской Федерации</w:t>
            </w:r>
            <w:r>
              <w:rPr>
                <w:b/>
                <w:bCs/>
                <w:sz w:val="20"/>
                <w:szCs w:val="20"/>
              </w:rPr>
              <w:t xml:space="preserve"> </w:t>
            </w:r>
            <w:r>
              <w:rPr>
                <w:b/>
                <w:bCs/>
                <w:sz w:val="20"/>
                <w:szCs w:val="20"/>
              </w:rPr>
              <w:t xml:space="preserve">в инкассаторских сумках в послеоперационное время Банка, а также в выходные и праздничные дни, с зачислением на счета респондента до 10.00 часов утра следующего операционного дня</w:t>
            </w:r>
            <w:r>
              <w:rPr>
                <w:rFonts w:eastAsia="Arial Unicode MS"/>
                <w:b/>
                <w:bCs/>
                <w:sz w:val="20"/>
                <w:szCs w:val="20"/>
              </w:rPr>
            </w:r>
            <w:r>
              <w:rPr>
                <w:rFonts w:eastAsia="Arial Unicode MS"/>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rFonts w:eastAsia="Arial Unicode MS"/>
                <w:sz w:val="20"/>
                <w:szCs w:val="20"/>
              </w:rPr>
            </w:pPr>
            <w:r>
              <w:rPr>
                <w:sz w:val="20"/>
                <w:szCs w:val="20"/>
              </w:rPr>
              <w:t xml:space="preserve">0,2% от суммы, по курсу Банка</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t xml:space="preserve">Комиссия взимается в день зачисления на счет Респондента.</w:t>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iCs/>
                <w:sz w:val="22"/>
                <w:szCs w:val="22"/>
              </w:rPr>
            </w:pPr>
            <w:r>
              <w:rPr>
                <w:b/>
                <w:iCs/>
                <w:sz w:val="22"/>
                <w:szCs w:val="22"/>
              </w:rPr>
              <w:t xml:space="preserve">7.4.</w:t>
            </w:r>
            <w:r>
              <w:rPr>
                <w:b/>
                <w:iCs/>
                <w:sz w:val="22"/>
                <w:szCs w:val="22"/>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ind w:right="72"/>
              <w:rPr>
                <w:b/>
                <w:sz w:val="20"/>
                <w:szCs w:val="20"/>
              </w:rPr>
            </w:pPr>
            <w:r>
              <w:rPr>
                <w:b/>
                <w:bCs/>
                <w:iCs/>
                <w:sz w:val="20"/>
                <w:szCs w:val="20"/>
              </w:rPr>
              <w:t xml:space="preserve">Повторный пересчет денежной наличности в результате образовавшегося излишка или недостачи по вине респондента</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sz w:val="20"/>
                <w:szCs w:val="20"/>
              </w:rPr>
            </w:pPr>
            <w:r>
              <w:rPr>
                <w:bCs/>
                <w:sz w:val="20"/>
                <w:szCs w:val="20"/>
              </w:rPr>
              <w:t xml:space="preserve">0,05% от суммы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rPr>
            </w:pPr>
            <w:r>
              <w:rPr>
                <w:b/>
                <w:iCs/>
                <w:sz w:val="22"/>
                <w:szCs w:val="22"/>
              </w:rPr>
              <w:t xml:space="preserve">7.5.</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ind w:right="72"/>
              <w:rPr>
                <w:b/>
                <w:sz w:val="20"/>
                <w:szCs w:val="20"/>
              </w:rPr>
            </w:pPr>
            <w:r>
              <w:rPr>
                <w:b/>
                <w:sz w:val="20"/>
                <w:szCs w:val="20"/>
              </w:rPr>
              <w:t xml:space="preserve">Выдача наличной иностранной валюты</w:t>
            </w:r>
            <w:r>
              <w:rPr>
                <w:b/>
                <w:sz w:val="20"/>
                <w:szCs w:val="20"/>
              </w:rPr>
            </w:r>
          </w:p>
          <w:p>
            <w:pPr>
              <w:pStyle w:val="754"/>
              <w:ind w:right="74"/>
              <w:rPr>
                <w:b/>
                <w:iCs/>
                <w:sz w:val="20"/>
                <w:szCs w:val="20"/>
              </w:rPr>
            </w:pPr>
            <w:r>
              <w:rPr>
                <w:b/>
                <w:iCs/>
                <w:sz w:val="20"/>
                <w:szCs w:val="20"/>
              </w:rPr>
              <w:t xml:space="preserve">(за исключением монеты иностранного государства (группы иностранных государств))</w:t>
            </w:r>
            <w:r>
              <w:rPr>
                <w:b/>
                <w:iCs/>
                <w:sz w:val="20"/>
                <w:szCs w:val="20"/>
              </w:rPr>
            </w:r>
          </w:p>
          <w:p>
            <w:pPr>
              <w:pStyle w:val="754"/>
              <w:rPr>
                <w:rFonts w:eastAsia="Arial Unicode MS"/>
                <w:b/>
                <w:bCs/>
                <w:sz w:val="20"/>
                <w:szCs w:val="20"/>
              </w:rPr>
            </w:pPr>
            <w:r>
              <w:rPr>
                <w:b/>
                <w:iCs/>
                <w:sz w:val="20"/>
                <w:szCs w:val="20"/>
              </w:rPr>
              <w:t xml:space="preserve">со счета респондента, открытого в соответствующей валюте:</w:t>
            </w:r>
            <w:r>
              <w:rPr>
                <w:rFonts w:eastAsia="Arial Unicode MS"/>
                <w:b/>
                <w:bCs/>
                <w:sz w:val="20"/>
                <w:szCs w:val="20"/>
              </w:rPr>
            </w:r>
            <w:r>
              <w:rPr>
                <w:rFonts w:eastAsia="Arial Unicode MS"/>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rFonts w:eastAsia="Arial Unicode MS"/>
                <w:iCs/>
                <w:sz w:val="16"/>
                <w:szCs w:val="16"/>
              </w:rPr>
            </w:pPr>
            <w:r>
              <w:rPr>
                <w:iCs/>
                <w:sz w:val="16"/>
                <w:szCs w:val="16"/>
              </w:rPr>
              <w:t xml:space="preserve">На основании предварительно представленного респондентом Письма в соответствии со сроками, установленными в Договоре на кассовое обслуживание в наличной иностранной валюте кредитной организации - респондента</w:t>
            </w:r>
            <w:r>
              <w:rPr>
                <w:rFonts w:eastAsia="Arial Unicode MS"/>
                <w:iCs/>
                <w:sz w:val="16"/>
                <w:szCs w:val="16"/>
              </w:rPr>
            </w:r>
            <w:r>
              <w:rPr>
                <w:rFonts w:eastAsia="Arial Unicode MS"/>
                <w:iCs/>
                <w:sz w:val="16"/>
                <w:szCs w:val="16"/>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lang w:val="en-US"/>
              </w:rPr>
            </w:pPr>
            <w:r>
              <w:rPr>
                <w:iCs/>
                <w:sz w:val="22"/>
                <w:szCs w:val="22"/>
              </w:rPr>
              <w:t xml:space="preserve">7.5.1</w:t>
            </w:r>
            <w:r>
              <w:rPr>
                <w:iCs/>
                <w:sz w:val="22"/>
                <w:szCs w:val="22"/>
                <w:lang w:val="en-US"/>
              </w:rPr>
              <w:t xml:space="preserve">.</w:t>
            </w:r>
            <w:r>
              <w:rPr>
                <w:b/>
                <w:bCs/>
                <w:sz w:val="20"/>
                <w:szCs w:val="20"/>
                <w:lang w:val="en-US"/>
              </w:rPr>
            </w:r>
            <w:r>
              <w:rPr>
                <w:b/>
                <w:bCs/>
                <w:sz w:val="20"/>
                <w:szCs w:val="20"/>
                <w:lang w:val="en-US"/>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ind w:left="1"/>
              <w:rPr>
                <w:b/>
                <w:bCs/>
                <w:sz w:val="20"/>
                <w:szCs w:val="20"/>
              </w:rPr>
            </w:pPr>
            <w:r>
              <w:rPr>
                <w:iCs/>
                <w:sz w:val="20"/>
                <w:szCs w:val="20"/>
              </w:rPr>
              <w:t xml:space="preserve">доллары США, евро</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iCs/>
                <w:sz w:val="20"/>
                <w:szCs w:val="20"/>
              </w:rPr>
            </w:pPr>
            <w:r>
              <w:rPr>
                <w:iCs/>
                <w:sz w:val="20"/>
                <w:szCs w:val="20"/>
              </w:rPr>
              <w:t xml:space="preserve">0,5% от суммы</w:t>
            </w:r>
            <w:r>
              <w:rPr>
                <w:iCs/>
                <w:sz w:val="20"/>
                <w:szCs w:val="20"/>
              </w:rPr>
            </w:r>
          </w:p>
          <w:p>
            <w:pPr>
              <w:pStyle w:val="75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lang w:val="en-US"/>
              </w:rPr>
            </w:pPr>
            <w:r>
              <w:rPr>
                <w:iCs/>
                <w:sz w:val="22"/>
                <w:szCs w:val="22"/>
              </w:rPr>
              <w:t xml:space="preserve">7.5.2</w:t>
            </w:r>
            <w:r>
              <w:rPr>
                <w:iCs/>
                <w:sz w:val="22"/>
                <w:szCs w:val="22"/>
                <w:lang w:val="en-US"/>
              </w:rPr>
              <w:t xml:space="preserve">.</w:t>
            </w:r>
            <w:r>
              <w:rPr>
                <w:b/>
                <w:bCs/>
                <w:sz w:val="20"/>
                <w:szCs w:val="20"/>
                <w:lang w:val="en-US"/>
              </w:rPr>
            </w:r>
            <w:r>
              <w:rPr>
                <w:b/>
                <w:bCs/>
                <w:sz w:val="20"/>
                <w:szCs w:val="20"/>
                <w:lang w:val="en-US"/>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ind w:left="1"/>
              <w:rPr>
                <w:b/>
                <w:bCs/>
                <w:sz w:val="20"/>
                <w:szCs w:val="20"/>
              </w:rPr>
            </w:pPr>
            <w:r>
              <w:rPr>
                <w:iCs/>
                <w:sz w:val="20"/>
                <w:szCs w:val="20"/>
              </w:rPr>
              <w:t xml:space="preserve">другие виды иностранных валют</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sz w:val="20"/>
                <w:szCs w:val="20"/>
              </w:rPr>
            </w:pPr>
            <w:r>
              <w:rPr>
                <w:iCs/>
                <w:sz w:val="20"/>
                <w:szCs w:val="20"/>
              </w:rPr>
              <w:t xml:space="preserve">3,0% от суммы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iCs/>
                <w:sz w:val="22"/>
                <w:szCs w:val="22"/>
              </w:rPr>
            </w:pPr>
            <w:r>
              <w:rPr>
                <w:b/>
                <w:iCs/>
                <w:sz w:val="22"/>
                <w:szCs w:val="22"/>
              </w:rPr>
              <w:t xml:space="preserve">7.6.</w:t>
            </w:r>
            <w:r>
              <w:rPr>
                <w:b/>
                <w:iCs/>
                <w:sz w:val="22"/>
                <w:szCs w:val="22"/>
              </w:rPr>
            </w:r>
            <w:r>
              <w:rPr>
                <w:b/>
                <w:iCs/>
                <w:sz w:val="22"/>
                <w:szCs w:val="22"/>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ind w:right="74"/>
              <w:rPr>
                <w:b/>
                <w:iCs/>
                <w:sz w:val="20"/>
                <w:szCs w:val="20"/>
              </w:rPr>
            </w:pPr>
            <w:r>
              <w:rPr>
                <w:b/>
                <w:iCs/>
                <w:sz w:val="20"/>
                <w:szCs w:val="20"/>
              </w:rPr>
              <w:t xml:space="preserve">Прием наличной иностранной валюты</w:t>
            </w:r>
            <w:r>
              <w:rPr>
                <w:b/>
                <w:iCs/>
                <w:sz w:val="20"/>
                <w:szCs w:val="20"/>
              </w:rPr>
            </w:r>
          </w:p>
          <w:p>
            <w:pPr>
              <w:pStyle w:val="754"/>
              <w:ind w:right="74"/>
              <w:rPr>
                <w:b/>
                <w:iCs/>
                <w:sz w:val="20"/>
                <w:szCs w:val="20"/>
              </w:rPr>
            </w:pPr>
            <w:r>
              <w:rPr>
                <w:b/>
                <w:iCs/>
                <w:sz w:val="20"/>
                <w:szCs w:val="20"/>
              </w:rPr>
              <w:t xml:space="preserve">(за исключением монеты иностранного государства (группы иностранных государств))</w:t>
            </w:r>
            <w:r>
              <w:rPr>
                <w:b/>
                <w:iCs/>
                <w:sz w:val="20"/>
                <w:szCs w:val="20"/>
              </w:rPr>
            </w:r>
          </w:p>
          <w:p>
            <w:pPr>
              <w:pStyle w:val="754"/>
              <w:rPr>
                <w:b/>
                <w:bCs/>
                <w:sz w:val="20"/>
                <w:szCs w:val="20"/>
              </w:rPr>
            </w:pPr>
            <w:r>
              <w:rPr>
                <w:b/>
                <w:iCs/>
                <w:sz w:val="20"/>
                <w:szCs w:val="20"/>
              </w:rPr>
              <w:t xml:space="preserve">с зачислением на счет респондента, открытого в соответствующей валюте:</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lang w:val="en-US"/>
              </w:rPr>
            </w:pPr>
            <w:r>
              <w:rPr>
                <w:iCs/>
                <w:sz w:val="22"/>
                <w:szCs w:val="22"/>
              </w:rPr>
              <w:t xml:space="preserve">7.6.1</w:t>
            </w:r>
            <w:r>
              <w:rPr>
                <w:iCs/>
                <w:sz w:val="22"/>
                <w:szCs w:val="22"/>
                <w:lang w:val="en-US"/>
              </w:rPr>
              <w:t xml:space="preserve">.</w:t>
            </w:r>
            <w:r>
              <w:rPr>
                <w:b/>
                <w:bCs/>
                <w:sz w:val="20"/>
                <w:szCs w:val="20"/>
                <w:lang w:val="en-US"/>
              </w:rPr>
            </w:r>
            <w:r>
              <w:rPr>
                <w:b/>
                <w:bCs/>
                <w:sz w:val="20"/>
                <w:szCs w:val="20"/>
                <w:lang w:val="en-US"/>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rPr>
                <w:b/>
                <w:bCs/>
                <w:sz w:val="20"/>
                <w:szCs w:val="20"/>
              </w:rPr>
            </w:pPr>
            <w:r>
              <w:rPr>
                <w:iCs/>
                <w:sz w:val="20"/>
                <w:szCs w:val="20"/>
                <w:lang w:val="en-US"/>
              </w:rPr>
              <w:t xml:space="preserve">доллары США, евро</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rPr>
            </w:pP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numPr>
                <w:ilvl w:val="0"/>
                <w:numId w:val="16"/>
              </w:numPr>
              <w:ind w:left="317" w:right="74" w:hanging="284"/>
              <w:jc w:val="both"/>
              <w:rPr>
                <w:iCs/>
                <w:sz w:val="20"/>
                <w:szCs w:val="20"/>
                <w:lang w:val="en-US"/>
              </w:rPr>
            </w:pPr>
            <w:r>
              <w:rPr>
                <w:iCs/>
                <w:sz w:val="20"/>
                <w:szCs w:val="20"/>
                <w:lang w:val="en-US"/>
              </w:rPr>
              <w:t xml:space="preserve">банкноты в упаковке банка-эмитента</w:t>
            </w:r>
            <w:r>
              <w:rPr>
                <w:iCs/>
                <w:sz w:val="20"/>
                <w:szCs w:val="20"/>
                <w:lang w:val="en-US"/>
              </w:rPr>
            </w:r>
          </w:p>
          <w:p>
            <w:pPr>
              <w:pStyle w:val="754"/>
              <w:jc w:val="center"/>
              <w:rPr>
                <w:b/>
                <w:bCs/>
                <w:sz w:val="20"/>
                <w:szCs w:val="20"/>
              </w:rPr>
            </w:pP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iCs/>
                <w:sz w:val="20"/>
                <w:szCs w:val="20"/>
              </w:rPr>
            </w:pPr>
            <w:r>
              <w:rPr>
                <w:iCs/>
                <w:sz w:val="20"/>
                <w:szCs w:val="20"/>
              </w:rPr>
              <w:t xml:space="preserve">0,5% от суммы</w:t>
            </w:r>
            <w:r>
              <w:rPr>
                <w:iCs/>
                <w:sz w:val="20"/>
                <w:szCs w:val="20"/>
              </w:rPr>
            </w:r>
          </w:p>
          <w:p>
            <w:pPr>
              <w:pStyle w:val="75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rPr>
            </w:pP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numPr>
                <w:ilvl w:val="0"/>
                <w:numId w:val="16"/>
              </w:numPr>
              <w:ind w:left="317" w:right="74" w:hanging="284"/>
              <w:jc w:val="both"/>
              <w:rPr>
                <w:iCs/>
                <w:sz w:val="20"/>
                <w:szCs w:val="20"/>
                <w:lang w:val="en-US"/>
              </w:rPr>
            </w:pPr>
            <w:r>
              <w:rPr>
                <w:iCs/>
                <w:sz w:val="20"/>
                <w:szCs w:val="20"/>
                <w:lang w:val="en-US"/>
              </w:rPr>
              <w:t xml:space="preserve">банкноты,  бывшие в употреблении</w:t>
            </w:r>
            <w:r>
              <w:rPr>
                <w:iCs/>
                <w:sz w:val="20"/>
                <w:szCs w:val="20"/>
                <w:lang w:val="en-US"/>
              </w:rPr>
            </w:r>
          </w:p>
          <w:p>
            <w:pPr>
              <w:pStyle w:val="754"/>
              <w:ind w:left="317" w:right="74"/>
              <w:jc w:val="both"/>
              <w:rPr>
                <w:iCs/>
                <w:sz w:val="20"/>
                <w:szCs w:val="20"/>
                <w:lang w:val="en-US"/>
              </w:rPr>
            </w:pPr>
            <w:r>
              <w:rPr>
                <w:iCs/>
                <w:sz w:val="20"/>
                <w:szCs w:val="20"/>
                <w:lang w:val="en-US"/>
              </w:rPr>
              <w:t xml:space="preserve">(без повреждений и дефектов)  </w:t>
            </w:r>
            <w:r>
              <w:rPr>
                <w:iCs/>
                <w:sz w:val="20"/>
                <w:szCs w:val="20"/>
                <w:lang w:val="en-US"/>
              </w:rPr>
            </w:r>
          </w:p>
          <w:p>
            <w:pPr>
              <w:pStyle w:val="754"/>
              <w:jc w:val="center"/>
              <w:rPr>
                <w:b/>
                <w:bCs/>
                <w:sz w:val="20"/>
                <w:szCs w:val="20"/>
              </w:rPr>
            </w:pP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iCs/>
                <w:sz w:val="20"/>
                <w:szCs w:val="20"/>
              </w:rPr>
            </w:pPr>
            <w:r>
              <w:rPr>
                <w:iCs/>
                <w:sz w:val="20"/>
                <w:szCs w:val="20"/>
              </w:rPr>
              <w:t xml:space="preserve">1% от суммы</w:t>
            </w:r>
            <w:r>
              <w:rPr>
                <w:iCs/>
                <w:sz w:val="20"/>
                <w:szCs w:val="20"/>
              </w:rPr>
            </w:r>
          </w:p>
          <w:p>
            <w:pPr>
              <w:pStyle w:val="75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rPr>
            </w:pP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numPr>
                <w:ilvl w:val="0"/>
                <w:numId w:val="16"/>
              </w:numPr>
              <w:ind w:left="317" w:right="74" w:hanging="284"/>
              <w:jc w:val="both"/>
              <w:rPr>
                <w:b/>
                <w:bCs/>
                <w:sz w:val="20"/>
                <w:szCs w:val="20"/>
              </w:rPr>
            </w:pPr>
            <w:r>
              <w:rPr>
                <w:iCs/>
                <w:sz w:val="20"/>
                <w:szCs w:val="20"/>
                <w:lang w:val="en-US"/>
              </w:rPr>
              <w:t xml:space="preserve">банкноты поврежденные </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iCs/>
                <w:sz w:val="20"/>
                <w:szCs w:val="20"/>
              </w:rPr>
            </w:pPr>
            <w:r>
              <w:rPr>
                <w:iCs/>
                <w:sz w:val="20"/>
                <w:szCs w:val="20"/>
              </w:rPr>
              <w:t xml:space="preserve">Не подлежат приему</w:t>
            </w:r>
            <w:r>
              <w:rPr>
                <w:iCs/>
                <w:sz w:val="20"/>
                <w:szCs w:val="20"/>
              </w:rPr>
            </w:r>
          </w:p>
          <w:p>
            <w:pPr>
              <w:pStyle w:val="75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lang w:val="en-US"/>
              </w:rPr>
            </w:pPr>
            <w:r>
              <w:rPr>
                <w:iCs/>
                <w:sz w:val="22"/>
                <w:szCs w:val="22"/>
              </w:rPr>
              <w:t xml:space="preserve">7.6.2</w:t>
            </w:r>
            <w:r>
              <w:rPr>
                <w:iCs/>
                <w:sz w:val="22"/>
                <w:szCs w:val="22"/>
                <w:lang w:val="en-US"/>
              </w:rPr>
              <w:t xml:space="preserve">.</w:t>
            </w:r>
            <w:r>
              <w:rPr>
                <w:b/>
                <w:bCs/>
                <w:sz w:val="20"/>
                <w:szCs w:val="20"/>
                <w:lang w:val="en-US"/>
              </w:rPr>
            </w:r>
            <w:r>
              <w:rPr>
                <w:b/>
                <w:bCs/>
                <w:sz w:val="20"/>
                <w:szCs w:val="20"/>
                <w:lang w:val="en-US"/>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rPr>
                <w:b/>
                <w:bCs/>
                <w:sz w:val="20"/>
                <w:szCs w:val="20"/>
              </w:rPr>
            </w:pPr>
            <w:r>
              <w:rPr>
                <w:iCs/>
                <w:sz w:val="20"/>
                <w:szCs w:val="20"/>
                <w:lang w:val="en-US"/>
              </w:rPr>
              <w:t xml:space="preserve">другие виды иностранных валют</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sz w:val="20"/>
                <w:szCs w:val="20"/>
              </w:rPr>
            </w:pPr>
            <w:r>
              <w:rPr>
                <w:iCs/>
                <w:sz w:val="20"/>
                <w:szCs w:val="20"/>
              </w:rPr>
              <w:t xml:space="preserve">3,0% от суммы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r>
            <w:r>
              <w:rPr>
                <w:iCs/>
                <w:sz w:val="20"/>
                <w:szCs w:val="20"/>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rPr>
            </w:pPr>
            <w:r>
              <w:rPr>
                <w:b/>
                <w:iCs/>
                <w:sz w:val="22"/>
                <w:szCs w:val="22"/>
              </w:rPr>
              <w:t xml:space="preserve">7.7.</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rPr>
                <w:b/>
                <w:bCs/>
                <w:sz w:val="20"/>
                <w:szCs w:val="20"/>
              </w:rPr>
            </w:pPr>
            <w:r>
              <w:rPr>
                <w:b/>
                <w:iCs/>
                <w:sz w:val="20"/>
                <w:szCs w:val="20"/>
              </w:rPr>
              <w:t xml:space="preserve">Покупка/продажа Банком наличной иностранной валюты</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sz w:val="20"/>
                <w:szCs w:val="20"/>
              </w:rPr>
            </w:pPr>
            <w:r>
              <w:rPr>
                <w:iCs/>
                <w:sz w:val="20"/>
                <w:szCs w:val="20"/>
              </w:rPr>
              <w:t xml:space="preserve">Тариф на услугу определяется существенными условиями банкнотной сделки в рамках Соглашения об общих условиях проведения банкнотных сделок между АО «Россельхозбанк» и другой кредитной организацией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iCs/>
                <w:sz w:val="20"/>
                <w:szCs w:val="20"/>
              </w:rPr>
            </w:pPr>
            <w:r>
              <w:rPr>
                <w:iCs/>
                <w:sz w:val="20"/>
                <w:szCs w:val="20"/>
              </w:rPr>
              <w:t xml:space="preserve">Данная услуга оказывается при наличии заключенного Соглашения об общих условиях проведения банкнотных сделок между АО «Россельхозбанк» и другой кредитной организацией</w:t>
            </w:r>
            <w:r>
              <w:rPr>
                <w:iCs/>
                <w:sz w:val="20"/>
                <w:szCs w:val="20"/>
              </w:rPr>
            </w:r>
            <w:r>
              <w:rPr>
                <w:iCs/>
                <w:sz w:val="20"/>
                <w:szCs w:val="20"/>
              </w:rPr>
            </w:r>
          </w:p>
        </w:tc>
      </w:tr>
      <w:tr>
        <w:tblPrEx/>
        <w:trPr>
          <w:trHeight w:val="359"/>
        </w:trPr>
        <w:tc>
          <w:tcPr>
            <w:gridSpan w:val="8"/>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754"/>
              <w:jc w:val="center"/>
            </w:pPr>
            <w:r>
              <w:rPr>
                <w:b/>
                <w:bCs/>
                <w:lang w:val="en-GB"/>
              </w:rPr>
              <w:t xml:space="preserve">8. Операции с ценными бумагами </w:t>
            </w:r>
            <w:r/>
          </w:p>
        </w:tc>
      </w:tr>
      <w:tr>
        <w:tblPrEx/>
        <w:trPr/>
        <w:tc>
          <w:tcPr>
            <w:gridSpan w:val="3"/>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754"/>
              <w:jc w:val="center"/>
              <w:rPr>
                <w:b/>
                <w:bCs/>
                <w:sz w:val="20"/>
                <w:szCs w:val="20"/>
              </w:rPr>
            </w:pPr>
            <w:r>
              <w:rPr>
                <w:b/>
                <w:bCs/>
                <w:sz w:val="20"/>
                <w:szCs w:val="20"/>
              </w:rPr>
              <w:t xml:space="preserve">8.1.</w:t>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202" w:type="pct"/>
            <w:vAlign w:val="top"/>
            <w:textDirection w:val="lrTb"/>
            <w:noWrap w:val="false"/>
          </w:tcPr>
          <w:p>
            <w:pPr>
              <w:pStyle w:val="754"/>
              <w:rPr>
                <w:rFonts w:eastAsia="Arial Unicode MS"/>
                <w:b/>
                <w:bCs/>
                <w:sz w:val="20"/>
                <w:szCs w:val="20"/>
              </w:rPr>
            </w:pPr>
            <w:r>
              <w:rPr>
                <w:b/>
                <w:bCs/>
                <w:sz w:val="20"/>
                <w:szCs w:val="20"/>
              </w:rPr>
              <w:t xml:space="preserve">Оформление векселя</w:t>
            </w:r>
            <w:r>
              <w:rPr>
                <w:b/>
                <w:bCs/>
                <w:sz w:val="20"/>
                <w:szCs w:val="20"/>
              </w:rPr>
              <w:t xml:space="preserve"> </w:t>
            </w:r>
            <w:r>
              <w:rPr>
                <w:b/>
                <w:bCs/>
                <w:sz w:val="20"/>
                <w:szCs w:val="20"/>
              </w:rPr>
              <w:t xml:space="preserve">АО «Россельхозбанк» </w:t>
            </w:r>
            <w:r>
              <w:rPr>
                <w:rFonts w:eastAsia="Arial Unicode MS"/>
                <w:b/>
                <w:bCs/>
                <w:sz w:val="20"/>
                <w:szCs w:val="20"/>
              </w:rPr>
            </w:r>
            <w:r>
              <w:rPr>
                <w:rFonts w:eastAsia="Arial Unicode MS"/>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rFonts w:eastAsia="Arial Unicode MS"/>
              </w:rPr>
            </w:pPr>
            <w:r>
              <w:rPr>
                <w:sz w:val="20"/>
                <w:szCs w:val="20"/>
              </w:rPr>
              <w:t xml:space="preserve">Комиссия не взимается</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rFonts w:eastAsia="Arial Unicode MS"/>
                <w:iCs/>
              </w:rPr>
            </w:pPr>
            <w:r>
              <w:rPr>
                <w:sz w:val="20"/>
                <w:szCs w:val="20"/>
              </w:rPr>
              <w:t xml:space="preserve">Комиссия включает НДС</w:t>
            </w: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gridSpan w:val="8"/>
            <w:tcW w:w="5000" w:type="pct"/>
            <w:vAlign w:val="top"/>
            <w:textDirection w:val="lrTb"/>
            <w:noWrap w:val="false"/>
          </w:tcPr>
          <w:p>
            <w:pPr>
              <w:pStyle w:val="754"/>
              <w:jc w:val="center"/>
              <w:spacing w:before="120"/>
              <w:rPr>
                <w:b/>
                <w:bCs/>
              </w:rPr>
            </w:pPr>
            <w:r>
              <w:rPr>
                <w:b/>
                <w:bCs/>
              </w:rPr>
              <w:t xml:space="preserve">9. Депозитарные услуги</w:t>
            </w:r>
            <w:r>
              <w:rPr>
                <w:sz w:val="20"/>
                <w:szCs w:val="20"/>
                <w:vertAlign w:val="superscript"/>
              </w:rPr>
              <w:t xml:space="preserve">4</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gridSpan w:val="8"/>
            <w:tcW w:w="5000" w:type="pct"/>
            <w:vAlign w:val="top"/>
            <w:textDirection w:val="lrTb"/>
            <w:noWrap w:val="false"/>
          </w:tcPr>
          <w:p>
            <w:pPr>
              <w:pStyle w:val="754"/>
              <w:ind w:left="357"/>
              <w:jc w:val="center"/>
              <w:spacing w:before="120"/>
              <w:rPr>
                <w:b/>
                <w:bCs/>
              </w:rPr>
            </w:pPr>
            <w:r>
              <w:rPr>
                <w:b/>
                <w:bCs/>
              </w:rPr>
              <w:t xml:space="preserve">9.1. Административные операции</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trPr>
        <w:tc>
          <w:tcPr>
            <w:tcW w:w="405" w:type="pct"/>
            <w:vAlign w:val="top"/>
            <w:textDirection w:val="lrTb"/>
            <w:noWrap w:val="false"/>
          </w:tcPr>
          <w:p>
            <w:pPr>
              <w:pStyle w:val="754"/>
              <w:ind w:left="540" w:right="-18" w:hanging="540"/>
              <w:jc w:val="center"/>
              <w:spacing w:line="240" w:lineRule="atLeast"/>
              <w:tabs>
                <w:tab w:val="left" w:pos="4464" w:leader="none"/>
                <w:tab w:val="left" w:pos="5760" w:leader="none"/>
              </w:tabs>
              <w:rPr>
                <w:iCs/>
                <w:sz w:val="20"/>
                <w:szCs w:val="20"/>
              </w:rPr>
            </w:pPr>
            <w:r>
              <w:rPr>
                <w:iCs/>
                <w:sz w:val="20"/>
                <w:szCs w:val="20"/>
              </w:rPr>
              <w:t xml:space="preserve">№ п/п</w:t>
            </w:r>
            <w:r>
              <w:rPr>
                <w:iCs/>
                <w:sz w:val="20"/>
                <w:szCs w:val="20"/>
              </w:rPr>
            </w:r>
          </w:p>
          <w:p>
            <w:pPr>
              <w:pStyle w:val="754"/>
              <w:ind w:left="540" w:right="-18" w:hanging="540"/>
              <w:jc w:val="center"/>
              <w:spacing w:line="240" w:lineRule="atLeast"/>
              <w:tabs>
                <w:tab w:val="left" w:pos="4464" w:leader="none"/>
                <w:tab w:val="left" w:pos="5760" w:leader="none"/>
              </w:tabs>
              <w:rPr>
                <w:iCs/>
                <w:sz w:val="20"/>
                <w:szCs w:val="20"/>
              </w:rPr>
            </w:pPr>
            <w:r>
              <w:rPr>
                <w:iCs/>
                <w:sz w:val="20"/>
                <w:szCs w:val="20"/>
              </w:rPr>
            </w:r>
            <w:r>
              <w:rPr>
                <w:iCs/>
                <w:sz w:val="20"/>
                <w:szCs w:val="20"/>
              </w:rPr>
            </w:r>
          </w:p>
        </w:tc>
        <w:tc>
          <w:tcPr>
            <w:gridSpan w:val="4"/>
            <w:tcW w:w="2325" w:type="pct"/>
            <w:vAlign w:val="top"/>
            <w:textDirection w:val="lrTb"/>
            <w:noWrap w:val="false"/>
          </w:tcPr>
          <w:p>
            <w:pPr>
              <w:pStyle w:val="754"/>
              <w:ind w:left="540" w:right="-18" w:hanging="540"/>
              <w:jc w:val="center"/>
              <w:keepNext/>
              <w:spacing w:line="240" w:lineRule="atLeast"/>
              <w:tabs>
                <w:tab w:val="left" w:pos="4464" w:leader="none"/>
                <w:tab w:val="left" w:pos="5760" w:leader="none"/>
              </w:tabs>
              <w:rPr>
                <w:iCs/>
                <w:sz w:val="20"/>
                <w:szCs w:val="20"/>
              </w:rPr>
              <w:outlineLvl w:val="7"/>
            </w:pPr>
            <w:r>
              <w:rPr>
                <w:iCs/>
                <w:sz w:val="20"/>
                <w:szCs w:val="20"/>
              </w:rPr>
              <w:t xml:space="preserve">Наименование услуги</w:t>
            </w:r>
            <w:r>
              <w:rPr>
                <w:iCs/>
                <w:sz w:val="20"/>
                <w:szCs w:val="20"/>
              </w:rPr>
            </w:r>
          </w:p>
        </w:tc>
        <w:tc>
          <w:tcPr>
            <w:tcW w:w="881" w:type="pct"/>
            <w:vAlign w:val="top"/>
            <w:textDirection w:val="lrTb"/>
            <w:noWrap w:val="false"/>
          </w:tcPr>
          <w:p>
            <w:pPr>
              <w:pStyle w:val="754"/>
              <w:ind w:left="72" w:right="72"/>
              <w:jc w:val="center"/>
              <w:keepNext/>
              <w:spacing w:line="240" w:lineRule="atLeast"/>
              <w:tabs>
                <w:tab w:val="left" w:pos="4464" w:leader="none"/>
                <w:tab w:val="left" w:pos="5760" w:leader="none"/>
              </w:tabs>
              <w:rPr>
                <w:iCs/>
                <w:sz w:val="20"/>
                <w:szCs w:val="20"/>
              </w:rPr>
              <w:outlineLvl w:val="2"/>
            </w:pPr>
            <w:r>
              <w:rPr>
                <w:iCs/>
                <w:sz w:val="20"/>
                <w:szCs w:val="20"/>
              </w:rPr>
              <w:t xml:space="preserve">Тариф</w:t>
            </w:r>
            <w:r>
              <w:rPr>
                <w:iCs/>
                <w:sz w:val="20"/>
                <w:szCs w:val="20"/>
              </w:rPr>
            </w:r>
          </w:p>
        </w:tc>
        <w:tc>
          <w:tcPr>
            <w:gridSpan w:val="2"/>
            <w:tcW w:w="1389" w:type="pct"/>
            <w:vAlign w:val="top"/>
            <w:textDirection w:val="lrTb"/>
            <w:noWrap w:val="false"/>
          </w:tcPr>
          <w:p>
            <w:pPr>
              <w:pStyle w:val="754"/>
              <w:ind w:left="-2" w:right="-18"/>
              <w:jc w:val="center"/>
              <w:spacing w:line="240" w:lineRule="atLeast"/>
              <w:tabs>
                <w:tab w:val="left" w:pos="4464" w:leader="none"/>
                <w:tab w:val="left" w:pos="5760" w:leader="none"/>
              </w:tabs>
              <w:rPr>
                <w:iCs/>
                <w:sz w:val="20"/>
                <w:szCs w:val="20"/>
              </w:rPr>
            </w:pPr>
            <w:r>
              <w:rPr>
                <w:iCs/>
                <w:sz w:val="20"/>
                <w:szCs w:val="20"/>
              </w:rPr>
              <w:t xml:space="preserve">Примечание</w:t>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trPr>
        <w:tc>
          <w:tcPr>
            <w:tcW w:w="405" w:type="pct"/>
            <w:vAlign w:val="top"/>
            <w:textDirection w:val="lrTb"/>
            <w:noWrap w:val="false"/>
          </w:tcPr>
          <w:p>
            <w:pPr>
              <w:pStyle w:val="804"/>
              <w:jc w:val="center"/>
              <w:spacing w:before="40" w:after="40"/>
              <w:rPr>
                <w:b/>
                <w:bCs/>
                <w:color w:val="000000"/>
                <w:sz w:val="20"/>
                <w:szCs w:val="20"/>
              </w:rPr>
            </w:pPr>
            <w:r>
              <w:rPr>
                <w:b/>
                <w:bCs/>
                <w:sz w:val="20"/>
                <w:szCs w:val="20"/>
              </w:rPr>
              <w:t xml:space="preserve">9.1.1.</w:t>
            </w:r>
            <w:r>
              <w:rPr>
                <w:b/>
                <w:bCs/>
                <w:color w:val="000000"/>
                <w:sz w:val="20"/>
                <w:szCs w:val="20"/>
              </w:rPr>
            </w:r>
            <w:r>
              <w:rPr>
                <w:b/>
                <w:bCs/>
                <w:color w:val="000000"/>
                <w:sz w:val="20"/>
                <w:szCs w:val="20"/>
              </w:rPr>
            </w:r>
          </w:p>
        </w:tc>
        <w:tc>
          <w:tcPr>
            <w:gridSpan w:val="4"/>
            <w:tcW w:w="2325" w:type="pct"/>
            <w:vAlign w:val="top"/>
            <w:textDirection w:val="lrTb"/>
            <w:noWrap w:val="false"/>
          </w:tcPr>
          <w:p>
            <w:pPr>
              <w:pStyle w:val="804"/>
              <w:spacing w:before="40" w:after="40"/>
              <w:rPr>
                <w:b/>
                <w:bCs/>
                <w:color w:val="000000"/>
                <w:sz w:val="20"/>
                <w:szCs w:val="20"/>
              </w:rPr>
            </w:pPr>
            <w:r>
              <w:rPr>
                <w:b/>
                <w:bCs/>
                <w:sz w:val="20"/>
                <w:szCs w:val="20"/>
              </w:rPr>
              <w:t xml:space="preserve">Открытие счета депо</w:t>
            </w:r>
            <w:r>
              <w:rPr>
                <w:b/>
                <w:bCs/>
                <w:color w:val="000000"/>
                <w:sz w:val="20"/>
                <w:szCs w:val="20"/>
              </w:rPr>
            </w:r>
            <w:r>
              <w:rPr>
                <w:b/>
                <w:bCs/>
                <w:color w:val="000000"/>
                <w:sz w:val="20"/>
                <w:szCs w:val="20"/>
              </w:rPr>
            </w:r>
          </w:p>
        </w:tc>
        <w:tc>
          <w:tcPr>
            <w:tcW w:w="881" w:type="pct"/>
            <w:vAlign w:val="top"/>
            <w:textDirection w:val="lrTb"/>
            <w:noWrap w:val="false"/>
          </w:tcPr>
          <w:p>
            <w:pPr>
              <w:pStyle w:val="804"/>
              <w:jc w:val="center"/>
              <w:spacing w:before="40" w:after="40"/>
              <w:rPr>
                <w:rFonts w:eastAsia="Arial Unicode MS"/>
                <w:iCs/>
                <w:sz w:val="20"/>
                <w:szCs w:val="20"/>
              </w:rPr>
            </w:pPr>
            <w:r>
              <w:rPr>
                <w:rFonts w:eastAsia="Arial Unicode MS"/>
                <w:iCs/>
                <w:sz w:val="20"/>
                <w:szCs w:val="20"/>
              </w:rPr>
              <w:t xml:space="preserve">2</w:t>
            </w:r>
            <w:r>
              <w:rPr>
                <w:rFonts w:eastAsia="Arial Unicode MS"/>
                <w:iCs/>
                <w:sz w:val="20"/>
                <w:szCs w:val="20"/>
              </w:rPr>
              <w:t xml:space="preserve"> </w:t>
            </w:r>
            <w:r>
              <w:rPr>
                <w:rFonts w:eastAsia="Arial Unicode MS"/>
                <w:iCs/>
                <w:sz w:val="20"/>
                <w:szCs w:val="20"/>
              </w:rPr>
              <w:t xml:space="preserve">000 </w:t>
            </w:r>
            <w:r>
              <w:rPr>
                <w:rFonts w:eastAsia="Arial Unicode MS"/>
                <w:iCs/>
                <w:sz w:val="20"/>
                <w:szCs w:val="20"/>
              </w:rPr>
              <w:t xml:space="preserve">руб.</w:t>
            </w:r>
            <w:r>
              <w:rPr>
                <w:rFonts w:eastAsia="Arial Unicode MS"/>
                <w:iCs/>
                <w:sz w:val="20"/>
                <w:szCs w:val="20"/>
              </w:rPr>
              <w:t xml:space="preserve">,</w:t>
            </w:r>
            <w:r>
              <w:rPr>
                <w:rFonts w:eastAsia="Arial Unicode MS"/>
                <w:iCs/>
                <w:sz w:val="20"/>
                <w:szCs w:val="20"/>
              </w:rPr>
              <w:t xml:space="preserve"> </w:t>
            </w:r>
            <w:r>
              <w:rPr>
                <w:rFonts w:eastAsia="Arial Unicode MS"/>
                <w:iCs/>
                <w:sz w:val="20"/>
                <w:szCs w:val="20"/>
              </w:rPr>
            </w:r>
          </w:p>
          <w:p>
            <w:pPr>
              <w:pStyle w:val="804"/>
              <w:jc w:val="center"/>
              <w:spacing w:before="40" w:after="40"/>
              <w:rPr>
                <w:b/>
                <w:bCs/>
                <w:color w:val="000000"/>
                <w:sz w:val="20"/>
                <w:szCs w:val="20"/>
              </w:rPr>
            </w:pPr>
            <w:r>
              <w:rPr>
                <w:rFonts w:eastAsia="Arial Unicode MS"/>
                <w:iCs/>
                <w:sz w:val="20"/>
                <w:szCs w:val="20"/>
              </w:rPr>
              <w:t xml:space="preserve">100 </w:t>
            </w:r>
            <w:r>
              <w:rPr>
                <w:rFonts w:eastAsia="Arial Unicode MS"/>
                <w:iCs/>
                <w:sz w:val="20"/>
                <w:szCs w:val="20"/>
              </w:rPr>
              <w:t xml:space="preserve">руб. за каждый последующий счет</w:t>
            </w:r>
            <w:r>
              <w:rPr>
                <w:b/>
                <w:bCs/>
                <w:color w:val="000000"/>
                <w:sz w:val="20"/>
                <w:szCs w:val="20"/>
              </w:rPr>
            </w:r>
            <w:r>
              <w:rPr>
                <w:b/>
                <w:bCs/>
                <w:color w:val="000000"/>
                <w:sz w:val="20"/>
                <w:szCs w:val="20"/>
              </w:rPr>
            </w:r>
          </w:p>
        </w:tc>
        <w:tc>
          <w:tcPr>
            <w:gridSpan w:val="2"/>
            <w:tcW w:w="1389" w:type="pct"/>
            <w:vAlign w:val="top"/>
            <w:textDirection w:val="lrTb"/>
            <w:noWrap w:val="false"/>
          </w:tcPr>
          <w:p>
            <w:pPr>
              <w:pStyle w:val="804"/>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
        </w:trPr>
        <w:tc>
          <w:tcPr>
            <w:tcW w:w="405" w:type="pct"/>
            <w:vAlign w:val="top"/>
            <w:textDirection w:val="lrTb"/>
            <w:noWrap w:val="false"/>
          </w:tcPr>
          <w:p>
            <w:pPr>
              <w:pStyle w:val="754"/>
              <w:jc w:val="center"/>
              <w:spacing w:before="40" w:after="40"/>
              <w:rPr>
                <w:b/>
                <w:bCs/>
                <w:sz w:val="20"/>
                <w:szCs w:val="20"/>
              </w:rPr>
            </w:pPr>
            <w:r>
              <w:rPr>
                <w:b/>
                <w:bCs/>
                <w:sz w:val="20"/>
                <w:szCs w:val="20"/>
              </w:rPr>
              <w:t xml:space="preserve">9.1.2.</w:t>
            </w:r>
            <w:r>
              <w:rPr>
                <w:b/>
                <w:bCs/>
                <w:sz w:val="20"/>
                <w:szCs w:val="20"/>
              </w:rPr>
            </w:r>
          </w:p>
        </w:tc>
        <w:tc>
          <w:tcPr>
            <w:gridSpan w:val="4"/>
            <w:tcW w:w="2325" w:type="pct"/>
            <w:vAlign w:val="top"/>
            <w:textDirection w:val="lrTb"/>
            <w:noWrap w:val="false"/>
          </w:tcPr>
          <w:p>
            <w:pPr>
              <w:pStyle w:val="804"/>
              <w:spacing w:after="40"/>
              <w:rPr>
                <w:b/>
                <w:bCs/>
                <w:color w:val="000000"/>
                <w:sz w:val="20"/>
                <w:szCs w:val="20"/>
              </w:rPr>
            </w:pPr>
            <w:r>
              <w:rPr>
                <w:b/>
                <w:bCs/>
                <w:sz w:val="20"/>
                <w:szCs w:val="20"/>
              </w:rPr>
              <w:t xml:space="preserve">Открытие индивидуального раздела на междепозитарном счете </w:t>
              <w:br w:type="textWrapping" w:clear="all"/>
              <w:t xml:space="preserve">АО «Россельхозбанк» в НКО АО НРД и в других депозитариях по поручению клиента</w:t>
            </w:r>
            <w:r>
              <w:rPr>
                <w:b/>
                <w:bCs/>
                <w:color w:val="000000"/>
                <w:sz w:val="20"/>
                <w:szCs w:val="20"/>
              </w:rPr>
            </w:r>
            <w:r>
              <w:rPr>
                <w:b/>
                <w:bCs/>
                <w:color w:val="000000"/>
                <w:sz w:val="20"/>
                <w:szCs w:val="20"/>
              </w:rPr>
            </w:r>
          </w:p>
        </w:tc>
        <w:tc>
          <w:tcPr>
            <w:tcW w:w="881" w:type="pct"/>
            <w:vAlign w:val="top"/>
            <w:textDirection w:val="lrTb"/>
            <w:noWrap w:val="false"/>
          </w:tcPr>
          <w:p>
            <w:pPr>
              <w:pStyle w:val="804"/>
              <w:jc w:val="center"/>
              <w:spacing w:before="40" w:after="40"/>
              <w:rPr>
                <w:bCs/>
                <w:color w:val="000000"/>
                <w:sz w:val="20"/>
                <w:szCs w:val="20"/>
              </w:rPr>
            </w:pPr>
            <w:r>
              <w:rPr>
                <w:sz w:val="20"/>
                <w:szCs w:val="20"/>
              </w:rPr>
              <w:t xml:space="preserve">1</w:t>
            </w:r>
            <w:r>
              <w:rPr>
                <w:sz w:val="20"/>
                <w:szCs w:val="20"/>
                <w:lang w:val="en-US"/>
              </w:rPr>
              <w:t xml:space="preserve"> </w:t>
            </w:r>
            <w:r>
              <w:rPr>
                <w:sz w:val="20"/>
                <w:szCs w:val="20"/>
              </w:rPr>
              <w:t xml:space="preserve">00</w:t>
            </w:r>
            <w:r>
              <w:rPr>
                <w:sz w:val="20"/>
                <w:szCs w:val="20"/>
              </w:rPr>
              <w:t xml:space="preserve">0</w:t>
            </w:r>
            <w:r>
              <w:rPr>
                <w:sz w:val="20"/>
                <w:szCs w:val="20"/>
              </w:rPr>
              <w:t xml:space="preserve"> </w:t>
            </w:r>
            <w:r>
              <w:rPr>
                <w:sz w:val="20"/>
                <w:szCs w:val="20"/>
              </w:rPr>
              <w:t xml:space="preserve">руб.</w:t>
            </w:r>
            <w:r>
              <w:rPr>
                <w:sz w:val="20"/>
                <w:szCs w:val="20"/>
              </w:rPr>
              <w:t xml:space="preserve"> за каждый раздел</w:t>
            </w:r>
            <w:r>
              <w:rPr>
                <w:bCs/>
                <w:color w:val="000000"/>
                <w:sz w:val="20"/>
                <w:szCs w:val="20"/>
              </w:rPr>
            </w:r>
            <w:r>
              <w:rPr>
                <w:bCs/>
                <w:color w:val="000000"/>
                <w:sz w:val="20"/>
                <w:szCs w:val="20"/>
              </w:rPr>
            </w:r>
          </w:p>
        </w:tc>
        <w:tc>
          <w:tcPr>
            <w:gridSpan w:val="2"/>
            <w:tcW w:w="1389" w:type="pct"/>
            <w:vAlign w:val="top"/>
            <w:textDirection w:val="lrTb"/>
            <w:noWrap w:val="false"/>
          </w:tcPr>
          <w:p>
            <w:pPr>
              <w:pStyle w:val="804"/>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trPr>
        <w:tc>
          <w:tcPr>
            <w:tcW w:w="405" w:type="pct"/>
            <w:vAlign w:val="top"/>
            <w:textDirection w:val="lrTb"/>
            <w:noWrap w:val="false"/>
          </w:tcPr>
          <w:p>
            <w:pPr>
              <w:pStyle w:val="754"/>
              <w:jc w:val="center"/>
              <w:spacing w:before="40" w:after="40"/>
              <w:rPr>
                <w:b/>
                <w:bCs/>
                <w:sz w:val="20"/>
                <w:szCs w:val="20"/>
              </w:rPr>
            </w:pPr>
            <w:r>
              <w:rPr>
                <w:b/>
                <w:bCs/>
                <w:sz w:val="20"/>
                <w:szCs w:val="20"/>
              </w:rPr>
              <w:t xml:space="preserve">9.1.3.</w:t>
            </w:r>
            <w:r>
              <w:rPr>
                <w:b/>
                <w:bCs/>
                <w:sz w:val="20"/>
                <w:szCs w:val="20"/>
              </w:rPr>
            </w:r>
          </w:p>
        </w:tc>
        <w:tc>
          <w:tcPr>
            <w:gridSpan w:val="4"/>
            <w:tcW w:w="2325" w:type="pct"/>
            <w:vAlign w:val="top"/>
            <w:textDirection w:val="lrTb"/>
            <w:noWrap w:val="false"/>
          </w:tcPr>
          <w:p>
            <w:pPr>
              <w:pStyle w:val="804"/>
              <w:spacing w:after="40"/>
              <w:rPr>
                <w:b/>
                <w:bCs/>
                <w:color w:val="000000"/>
                <w:sz w:val="20"/>
                <w:szCs w:val="20"/>
              </w:rPr>
            </w:pPr>
            <w:r>
              <w:rPr>
                <w:b/>
                <w:bCs/>
                <w:sz w:val="20"/>
                <w:szCs w:val="20"/>
              </w:rPr>
              <w:t xml:space="preserve">Ведение счета депо</w:t>
            </w:r>
            <w:r>
              <w:rPr>
                <w:b/>
                <w:bCs/>
                <w:color w:val="000000"/>
                <w:sz w:val="20"/>
                <w:szCs w:val="20"/>
              </w:rPr>
            </w:r>
            <w:r>
              <w:rPr>
                <w:b/>
                <w:bCs/>
                <w:color w:val="000000"/>
                <w:sz w:val="20"/>
                <w:szCs w:val="20"/>
              </w:rPr>
            </w:r>
          </w:p>
        </w:tc>
        <w:tc>
          <w:tcPr>
            <w:tcW w:w="881" w:type="pct"/>
            <w:vAlign w:val="top"/>
            <w:textDirection w:val="lrTb"/>
            <w:noWrap w:val="false"/>
          </w:tcPr>
          <w:p>
            <w:pPr>
              <w:pStyle w:val="804"/>
              <w:jc w:val="center"/>
              <w:spacing w:before="40" w:after="40"/>
              <w:rPr>
                <w:bCs/>
                <w:color w:val="000000"/>
                <w:sz w:val="20"/>
                <w:szCs w:val="20"/>
                <w:lang w:val="en-US"/>
              </w:rPr>
            </w:pPr>
            <w:r>
              <w:rPr>
                <w:sz w:val="20"/>
                <w:szCs w:val="20"/>
              </w:rPr>
              <w:t xml:space="preserve">Комиссия не взимается</w:t>
            </w:r>
            <w:r>
              <w:rPr>
                <w:bCs/>
                <w:color w:val="000000"/>
                <w:sz w:val="20"/>
                <w:szCs w:val="20"/>
                <w:lang w:val="en-US"/>
              </w:rPr>
            </w:r>
            <w:r>
              <w:rPr>
                <w:bCs/>
                <w:color w:val="000000"/>
                <w:sz w:val="20"/>
                <w:szCs w:val="20"/>
                <w:lang w:val="en-US"/>
              </w:rPr>
            </w:r>
          </w:p>
        </w:tc>
        <w:tc>
          <w:tcPr>
            <w:gridSpan w:val="2"/>
            <w:tcW w:w="1389" w:type="pct"/>
            <w:vAlign w:val="top"/>
            <w:textDirection w:val="lrTb"/>
            <w:noWrap w:val="false"/>
          </w:tcPr>
          <w:p>
            <w:pPr>
              <w:pStyle w:val="804"/>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trPr>
        <w:tc>
          <w:tcPr>
            <w:tcW w:w="405" w:type="pct"/>
            <w:vAlign w:val="top"/>
            <w:textDirection w:val="lrTb"/>
            <w:noWrap w:val="false"/>
          </w:tcPr>
          <w:p>
            <w:pPr>
              <w:pStyle w:val="754"/>
              <w:jc w:val="center"/>
              <w:rPr>
                <w:rFonts w:eastAsia="Arial Unicode MS"/>
                <w:b/>
                <w:bCs/>
              </w:rPr>
            </w:pPr>
            <w:r>
              <w:rPr>
                <w:b/>
                <w:bCs/>
                <w:sz w:val="20"/>
                <w:szCs w:val="20"/>
              </w:rPr>
              <w:t xml:space="preserve">9.1.4.</w:t>
            </w:r>
            <w:r>
              <w:rPr>
                <w:rFonts w:eastAsia="Arial Unicode MS"/>
                <w:b/>
                <w:bCs/>
              </w:rPr>
            </w:r>
            <w:r>
              <w:rPr>
                <w:rFonts w:eastAsia="Arial Unicode MS"/>
                <w:b/>
                <w:bCs/>
              </w:rPr>
            </w:r>
          </w:p>
        </w:tc>
        <w:tc>
          <w:tcPr>
            <w:gridSpan w:val="4"/>
            <w:tcW w:w="2325" w:type="pct"/>
            <w:vAlign w:val="top"/>
            <w:textDirection w:val="lrTb"/>
            <w:noWrap w:val="false"/>
          </w:tcPr>
          <w:p>
            <w:pPr>
              <w:pStyle w:val="804"/>
              <w:spacing w:before="40" w:after="40"/>
              <w:rPr>
                <w:b/>
                <w:bCs/>
                <w:color w:val="000000"/>
                <w:sz w:val="20"/>
                <w:szCs w:val="20"/>
              </w:rPr>
            </w:pPr>
            <w:r>
              <w:rPr>
                <w:b/>
                <w:bCs/>
                <w:sz w:val="20"/>
                <w:szCs w:val="20"/>
              </w:rPr>
              <w:t xml:space="preserve">Открытие счета номинального держателя АО «Россельхозбанк» в реестре владельцев ценных бумаг</w:t>
            </w:r>
            <w:r>
              <w:rPr>
                <w:b/>
                <w:bCs/>
                <w:color w:val="000000"/>
                <w:sz w:val="20"/>
                <w:szCs w:val="20"/>
              </w:rPr>
            </w:r>
            <w:r>
              <w:rPr>
                <w:b/>
                <w:bCs/>
                <w:color w:val="000000"/>
                <w:sz w:val="20"/>
                <w:szCs w:val="20"/>
              </w:rPr>
            </w:r>
          </w:p>
        </w:tc>
        <w:tc>
          <w:tcPr>
            <w:tcW w:w="881" w:type="pct"/>
            <w:vAlign w:val="top"/>
            <w:textDirection w:val="lrTb"/>
            <w:noWrap w:val="false"/>
          </w:tcPr>
          <w:p>
            <w:pPr>
              <w:pStyle w:val="804"/>
              <w:jc w:val="center"/>
              <w:spacing w:before="40" w:after="40"/>
              <w:rPr>
                <w:bCs/>
                <w:color w:val="000000"/>
                <w:sz w:val="20"/>
                <w:szCs w:val="20"/>
                <w:lang w:val="en-US"/>
              </w:rPr>
            </w:pPr>
            <w:r>
              <w:rPr>
                <w:iCs/>
                <w:sz w:val="20"/>
                <w:szCs w:val="20"/>
              </w:rPr>
              <w:t xml:space="preserve">20</w:t>
            </w:r>
            <w:r>
              <w:rPr>
                <w:iCs/>
                <w:sz w:val="20"/>
                <w:szCs w:val="20"/>
                <w:lang w:val="en-US"/>
              </w:rPr>
              <w:t xml:space="preserve"> </w:t>
            </w:r>
            <w:r>
              <w:rPr>
                <w:iCs/>
                <w:sz w:val="20"/>
                <w:szCs w:val="20"/>
              </w:rPr>
              <w:t xml:space="preserve">000 </w:t>
            </w:r>
            <w:r>
              <w:rPr>
                <w:iCs/>
                <w:sz w:val="20"/>
                <w:szCs w:val="20"/>
              </w:rPr>
              <w:t xml:space="preserve">руб.</w:t>
            </w:r>
            <w:r>
              <w:rPr>
                <w:bCs/>
                <w:color w:val="000000"/>
                <w:sz w:val="20"/>
                <w:szCs w:val="20"/>
                <w:lang w:val="en-US"/>
              </w:rPr>
            </w:r>
            <w:r>
              <w:rPr>
                <w:bCs/>
                <w:color w:val="000000"/>
                <w:sz w:val="20"/>
                <w:szCs w:val="20"/>
                <w:lang w:val="en-US"/>
              </w:rPr>
            </w:r>
          </w:p>
        </w:tc>
        <w:tc>
          <w:tcPr>
            <w:gridSpan w:val="2"/>
            <w:tcW w:w="1389" w:type="pct"/>
            <w:vAlign w:val="top"/>
            <w:textDirection w:val="lrTb"/>
            <w:noWrap w:val="false"/>
          </w:tcPr>
          <w:p>
            <w:pPr>
              <w:pStyle w:val="754"/>
              <w:jc w:val="center"/>
              <w:rPr>
                <w:rFonts w:eastAsia="Arial Unicode MS"/>
                <w:iCs/>
              </w:rPr>
            </w:pP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trPr>
        <w:tc>
          <w:tcPr>
            <w:tcW w:w="405" w:type="pct"/>
            <w:vAlign w:val="top"/>
            <w:textDirection w:val="lrTb"/>
            <w:noWrap w:val="false"/>
          </w:tcPr>
          <w:p>
            <w:pPr>
              <w:pStyle w:val="754"/>
              <w:jc w:val="center"/>
              <w:rPr>
                <w:rFonts w:eastAsia="Arial Unicode MS"/>
                <w:b/>
                <w:bCs/>
              </w:rPr>
            </w:pPr>
            <w:r>
              <w:rPr>
                <w:b/>
                <w:bCs/>
                <w:sz w:val="20"/>
                <w:szCs w:val="20"/>
              </w:rPr>
              <w:t xml:space="preserve">9.1.</w:t>
            </w:r>
            <w:r>
              <w:rPr>
                <w:b/>
                <w:bCs/>
                <w:sz w:val="20"/>
                <w:szCs w:val="20"/>
                <w:lang w:val="en-US"/>
              </w:rPr>
              <w:t xml:space="preserve">5</w:t>
            </w:r>
            <w:r>
              <w:rPr>
                <w:b/>
                <w:bCs/>
                <w:sz w:val="20"/>
                <w:szCs w:val="20"/>
              </w:rPr>
              <w:t xml:space="preserve">.</w:t>
            </w:r>
            <w:r>
              <w:rPr>
                <w:rFonts w:eastAsia="Arial Unicode MS"/>
                <w:b/>
                <w:bCs/>
              </w:rPr>
            </w:r>
            <w:r>
              <w:rPr>
                <w:rFonts w:eastAsia="Arial Unicode MS"/>
                <w:b/>
                <w:bCs/>
              </w:rPr>
            </w:r>
          </w:p>
        </w:tc>
        <w:tc>
          <w:tcPr>
            <w:gridSpan w:val="4"/>
            <w:tcW w:w="2325" w:type="pct"/>
            <w:vAlign w:val="top"/>
            <w:textDirection w:val="lrTb"/>
            <w:noWrap w:val="false"/>
          </w:tcPr>
          <w:p>
            <w:pPr>
              <w:pStyle w:val="754"/>
              <w:rPr>
                <w:b/>
                <w:bCs/>
                <w:sz w:val="20"/>
                <w:szCs w:val="20"/>
              </w:rPr>
            </w:pPr>
            <w:r>
              <w:rPr>
                <w:b/>
                <w:bCs/>
                <w:sz w:val="20"/>
                <w:szCs w:val="20"/>
              </w:rPr>
              <w:t xml:space="preserve">Закрытие счета депо</w:t>
            </w:r>
            <w:r>
              <w:rPr>
                <w:b/>
                <w:bCs/>
                <w:sz w:val="20"/>
                <w:szCs w:val="20"/>
              </w:rPr>
            </w:r>
          </w:p>
          <w:p>
            <w:pPr>
              <w:pStyle w:val="754"/>
              <w:rPr>
                <w:rFonts w:eastAsia="Arial Unicode MS"/>
                <w:b/>
                <w:bCs/>
              </w:rPr>
            </w:pPr>
            <w:r>
              <w:rPr>
                <w:rFonts w:eastAsia="Arial Unicode MS"/>
                <w:b/>
                <w:bCs/>
              </w:rPr>
            </w:r>
            <w:r>
              <w:rPr>
                <w:rFonts w:eastAsia="Arial Unicode MS"/>
                <w:b/>
                <w:bCs/>
              </w:rPr>
            </w:r>
          </w:p>
        </w:tc>
        <w:tc>
          <w:tcPr>
            <w:tcW w:w="881" w:type="pct"/>
            <w:vAlign w:val="top"/>
            <w:textDirection w:val="lrTb"/>
            <w:noWrap w:val="false"/>
          </w:tcPr>
          <w:p>
            <w:pPr>
              <w:pStyle w:val="754"/>
              <w:jc w:val="center"/>
              <w:rPr>
                <w:rFonts w:eastAsia="Arial Unicode MS"/>
              </w:rPr>
            </w:pPr>
            <w:r>
              <w:rPr>
                <w:sz w:val="20"/>
                <w:szCs w:val="20"/>
              </w:rPr>
              <w:t xml:space="preserve">Комиссия не взимается </w:t>
            </w:r>
            <w:r>
              <w:rPr>
                <w:rFonts w:eastAsia="Arial Unicode MS"/>
              </w:rPr>
            </w:r>
            <w:r>
              <w:rPr>
                <w:rFonts w:eastAsia="Arial Unicode MS"/>
              </w:rPr>
            </w:r>
          </w:p>
        </w:tc>
        <w:tc>
          <w:tcPr>
            <w:gridSpan w:val="2"/>
            <w:tcW w:w="1389" w:type="pct"/>
            <w:vAlign w:val="top"/>
            <w:textDirection w:val="lrTb"/>
            <w:noWrap w:val="false"/>
          </w:tcPr>
          <w:p>
            <w:pPr>
              <w:pStyle w:val="754"/>
              <w:jc w:val="center"/>
              <w:rPr>
                <w:rFonts w:eastAsia="Arial Unicode MS"/>
                <w:iCs/>
              </w:rPr>
            </w:pP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8"/>
            <w:tcW w:w="5000" w:type="pct"/>
            <w:vAlign w:val="center"/>
            <w:textDirection w:val="lrTb"/>
            <w:noWrap w:val="false"/>
          </w:tcPr>
          <w:p>
            <w:pPr>
              <w:pStyle w:val="754"/>
              <w:ind w:right="-471"/>
              <w:jc w:val="center"/>
              <w:spacing w:before="120"/>
              <w:tabs>
                <w:tab w:val="left" w:pos="7920" w:leader="none"/>
              </w:tabs>
              <w:rPr>
                <w:b/>
                <w:bCs/>
              </w:rPr>
            </w:pPr>
            <w:r>
              <w:rPr>
                <w:b/>
                <w:bCs/>
              </w:rPr>
              <w:t xml:space="preserve">9.2. Хранение и учет ценных бумаг</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804"/>
              <w:jc w:val="center"/>
              <w:spacing w:before="40" w:after="40"/>
              <w:rPr>
                <w:b/>
                <w:bCs/>
                <w:color w:val="000000"/>
                <w:sz w:val="20"/>
                <w:szCs w:val="20"/>
              </w:rPr>
            </w:pPr>
            <w:r>
              <w:rPr>
                <w:b/>
                <w:bCs/>
                <w:sz w:val="20"/>
                <w:szCs w:val="20"/>
              </w:rPr>
              <w:t xml:space="preserve">9.2.1.</w:t>
            </w:r>
            <w:r>
              <w:rPr>
                <w:b/>
                <w:bCs/>
                <w:color w:val="000000"/>
                <w:sz w:val="20"/>
                <w:szCs w:val="20"/>
              </w:rPr>
            </w:r>
            <w:r>
              <w:rPr>
                <w:b/>
                <w:bCs/>
                <w:color w:val="000000"/>
                <w:sz w:val="20"/>
                <w:szCs w:val="20"/>
              </w:rPr>
            </w:r>
          </w:p>
        </w:tc>
        <w:tc>
          <w:tcPr>
            <w:gridSpan w:val="4"/>
            <w:tcW w:w="2325" w:type="pct"/>
            <w:vAlign w:val="top"/>
            <w:textDirection w:val="lrTb"/>
            <w:noWrap w:val="false"/>
          </w:tcPr>
          <w:p>
            <w:pPr>
              <w:pStyle w:val="804"/>
              <w:spacing w:before="40" w:after="40"/>
              <w:rPr>
                <w:b/>
                <w:bCs/>
                <w:color w:val="000000"/>
                <w:sz w:val="20"/>
                <w:szCs w:val="20"/>
              </w:rPr>
            </w:pPr>
            <w:r>
              <w:rPr>
                <w:b/>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tcW w:w="881" w:type="pct"/>
            <w:vAlign w:val="top"/>
            <w:textDirection w:val="lrTb"/>
            <w:noWrap w:val="false"/>
          </w:tcPr>
          <w:p>
            <w:pPr>
              <w:pStyle w:val="754"/>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p>
          <w:p>
            <w:pPr>
              <w:pStyle w:val="804"/>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0"/>
        </w:trPr>
        <w:tc>
          <w:tcPr>
            <w:tcW w:w="405" w:type="pct"/>
            <w:vAlign w:val="top"/>
            <w:textDirection w:val="lrTb"/>
            <w:noWrap w:val="false"/>
          </w:tcPr>
          <w:p>
            <w:pPr>
              <w:pStyle w:val="754"/>
              <w:jc w:val="center"/>
              <w:spacing w:before="40" w:after="40"/>
              <w:rPr>
                <w:b/>
                <w:bCs/>
                <w:sz w:val="20"/>
                <w:szCs w:val="20"/>
                <w:lang w:val="en-US"/>
              </w:rPr>
            </w:pPr>
            <w:r>
              <w:rPr>
                <w:b/>
                <w:bCs/>
                <w:sz w:val="20"/>
                <w:szCs w:val="20"/>
                <w:lang w:val="en-US"/>
              </w:rPr>
              <w:t xml:space="preserve">9</w:t>
            </w:r>
            <w:r>
              <w:rPr>
                <w:b/>
                <w:bCs/>
                <w:sz w:val="20"/>
                <w:szCs w:val="20"/>
              </w:rPr>
              <w:t xml:space="preserve">.2.2.</w:t>
            </w:r>
            <w:r>
              <w:rPr>
                <w:b/>
                <w:bCs/>
                <w:sz w:val="20"/>
                <w:szCs w:val="20"/>
                <w:lang w:val="en-US"/>
              </w:rPr>
            </w:r>
            <w:r>
              <w:rPr>
                <w:b/>
                <w:bCs/>
                <w:sz w:val="20"/>
                <w:szCs w:val="20"/>
                <w:lang w:val="en-US"/>
              </w:rPr>
            </w:r>
          </w:p>
        </w:tc>
        <w:tc>
          <w:tcPr>
            <w:gridSpan w:val="4"/>
            <w:tcW w:w="2325" w:type="pct"/>
            <w:vAlign w:val="top"/>
            <w:textDirection w:val="lrTb"/>
            <w:noWrap w:val="false"/>
          </w:tcPr>
          <w:p>
            <w:pPr>
              <w:pStyle w:val="804"/>
              <w:spacing w:after="40"/>
              <w:rPr>
                <w:b/>
                <w:bCs/>
                <w:color w:val="000000"/>
                <w:sz w:val="20"/>
                <w:szCs w:val="20"/>
              </w:rPr>
            </w:pPr>
            <w:r>
              <w:rPr>
                <w:b/>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
                <w:bCs/>
                <w:color w:val="000000"/>
                <w:sz w:val="20"/>
                <w:szCs w:val="20"/>
              </w:rPr>
            </w:r>
            <w:r>
              <w:rPr>
                <w:b/>
                <w:bCs/>
                <w:color w:val="000000"/>
                <w:sz w:val="20"/>
                <w:szCs w:val="20"/>
              </w:rPr>
            </w:r>
          </w:p>
        </w:tc>
        <w:tc>
          <w:tcPr>
            <w:tcW w:w="881" w:type="pct"/>
            <w:vAlign w:val="top"/>
            <w:textDirection w:val="lrTb"/>
            <w:noWrap w:val="false"/>
          </w:tcPr>
          <w:p>
            <w:pPr>
              <w:pStyle w:val="754"/>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p>
          <w:p>
            <w:pPr>
              <w:pStyle w:val="804"/>
              <w:jc w:val="both"/>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trPr>
        <w:tc>
          <w:tcPr>
            <w:tcW w:w="405" w:type="pct"/>
            <w:vAlign w:val="top"/>
            <w:textDirection w:val="lrTb"/>
            <w:noWrap w:val="false"/>
          </w:tcPr>
          <w:p>
            <w:pPr>
              <w:pStyle w:val="754"/>
              <w:jc w:val="center"/>
              <w:spacing w:before="40" w:after="40"/>
              <w:rPr>
                <w:b/>
                <w:bCs/>
                <w:sz w:val="20"/>
                <w:szCs w:val="20"/>
                <w:lang w:val="en-US"/>
              </w:rPr>
            </w:pPr>
            <w:r>
              <w:rPr>
                <w:b/>
                <w:bCs/>
                <w:sz w:val="20"/>
                <w:szCs w:val="20"/>
                <w:lang w:val="en-US"/>
              </w:rPr>
              <w:t xml:space="preserve">9</w:t>
            </w:r>
            <w:r>
              <w:rPr>
                <w:b/>
                <w:bCs/>
                <w:sz w:val="20"/>
                <w:szCs w:val="20"/>
              </w:rPr>
              <w:t xml:space="preserve">.2.3.</w:t>
            </w:r>
            <w:r>
              <w:rPr>
                <w:b/>
                <w:bCs/>
                <w:sz w:val="20"/>
                <w:szCs w:val="20"/>
                <w:lang w:val="en-US"/>
              </w:rPr>
            </w:r>
            <w:r>
              <w:rPr>
                <w:b/>
                <w:bCs/>
                <w:sz w:val="20"/>
                <w:szCs w:val="20"/>
                <w:lang w:val="en-US"/>
              </w:rPr>
            </w:r>
          </w:p>
        </w:tc>
        <w:tc>
          <w:tcPr>
            <w:gridSpan w:val="4"/>
            <w:tcW w:w="2325" w:type="pct"/>
            <w:vAlign w:val="top"/>
            <w:textDirection w:val="lrTb"/>
            <w:noWrap w:val="false"/>
          </w:tcPr>
          <w:p>
            <w:pPr>
              <w:pStyle w:val="804"/>
              <w:spacing w:after="40"/>
              <w:rPr>
                <w:b/>
                <w:bCs/>
                <w:color w:val="000000"/>
                <w:sz w:val="20"/>
                <w:szCs w:val="20"/>
              </w:rPr>
            </w:pPr>
            <w:r>
              <w:rPr>
                <w:b/>
                <w:bCs/>
                <w:sz w:val="20"/>
                <w:szCs w:val="20"/>
              </w:rPr>
              <w:t xml:space="preserve">Хранение неэмиссионных ценных бумаг</w:t>
            </w:r>
            <w:r>
              <w:rPr>
                <w:b/>
                <w:bCs/>
                <w:sz w:val="20"/>
                <w:szCs w:val="20"/>
                <w:lang w:val="en-US"/>
              </w:rPr>
              <w:t xml:space="preserve">:</w:t>
            </w:r>
            <w:r>
              <w:rPr>
                <w:b/>
                <w:bCs/>
                <w:color w:val="000000"/>
                <w:sz w:val="20"/>
                <w:szCs w:val="20"/>
              </w:rPr>
            </w:r>
            <w:r>
              <w:rPr>
                <w:b/>
                <w:bCs/>
                <w:color w:val="000000"/>
                <w:sz w:val="20"/>
                <w:szCs w:val="20"/>
              </w:rPr>
            </w:r>
          </w:p>
        </w:tc>
        <w:tc>
          <w:tcPr>
            <w:gridSpan w:val="3"/>
            <w:tcW w:w="2270" w:type="pct"/>
            <w:vAlign w:val="top"/>
            <w:textDirection w:val="lrTb"/>
            <w:noWrap w:val="false"/>
          </w:tcPr>
          <w:p>
            <w:pPr>
              <w:pStyle w:val="804"/>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trPr>
        <w:tc>
          <w:tcPr>
            <w:tcW w:w="405" w:type="pct"/>
            <w:vAlign w:val="top"/>
            <w:textDirection w:val="lrTb"/>
            <w:noWrap w:val="false"/>
          </w:tcPr>
          <w:p>
            <w:pPr>
              <w:pStyle w:val="754"/>
              <w:jc w:val="center"/>
              <w:spacing w:before="40" w:after="40"/>
              <w:rPr>
                <w:bCs/>
                <w:sz w:val="20"/>
                <w:szCs w:val="20"/>
                <w:lang w:val="en-US"/>
              </w:rPr>
            </w:pPr>
            <w:r>
              <w:rPr>
                <w:bCs/>
                <w:sz w:val="20"/>
                <w:szCs w:val="20"/>
                <w:lang w:val="en-US"/>
              </w:rPr>
              <w:t xml:space="preserve">9</w:t>
            </w:r>
            <w:r>
              <w:rPr>
                <w:bCs/>
                <w:sz w:val="20"/>
                <w:szCs w:val="20"/>
                <w:lang w:val="en-US"/>
              </w:rPr>
              <w:t xml:space="preserve">.2.3.1</w:t>
            </w:r>
            <w:r>
              <w:rPr>
                <w:bCs/>
                <w:sz w:val="20"/>
                <w:szCs w:val="20"/>
              </w:rPr>
              <w:t xml:space="preserve">.</w:t>
            </w:r>
            <w:r>
              <w:rPr>
                <w:bCs/>
                <w:sz w:val="20"/>
                <w:szCs w:val="20"/>
                <w:lang w:val="en-US"/>
              </w:rPr>
            </w:r>
            <w:r>
              <w:rPr>
                <w:bCs/>
                <w:sz w:val="20"/>
                <w:szCs w:val="20"/>
                <w:lang w:val="en-US"/>
              </w:rPr>
            </w:r>
          </w:p>
        </w:tc>
        <w:tc>
          <w:tcPr>
            <w:gridSpan w:val="4"/>
            <w:tcW w:w="2325" w:type="pct"/>
            <w:vAlign w:val="top"/>
            <w:textDirection w:val="lrTb"/>
            <w:noWrap w:val="false"/>
          </w:tcPr>
          <w:p>
            <w:pPr>
              <w:pStyle w:val="754"/>
              <w:spacing w:before="40" w:after="40"/>
              <w:rPr>
                <w:bCs/>
                <w:sz w:val="20"/>
                <w:szCs w:val="20"/>
              </w:rPr>
            </w:pPr>
            <w:r>
              <w:rPr>
                <w:bCs/>
                <w:sz w:val="20"/>
                <w:szCs w:val="20"/>
              </w:rPr>
              <w:t xml:space="preserve">Хранение неэмиссионных ценных бумаг имеющих номинальную стоимость</w:t>
            </w:r>
            <w:r>
              <w:rPr>
                <w:bCs/>
                <w:sz w:val="20"/>
                <w:szCs w:val="20"/>
              </w:rPr>
            </w:r>
          </w:p>
        </w:tc>
        <w:tc>
          <w:tcPr>
            <w:tcW w:w="881" w:type="pct"/>
            <w:vAlign w:val="top"/>
            <w:textDirection w:val="lrTb"/>
            <w:noWrap w:val="false"/>
          </w:tcPr>
          <w:p>
            <w:pPr>
              <w:pStyle w:val="804"/>
              <w:jc w:val="both"/>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trPr>
        <w:tc>
          <w:tcPr>
            <w:tcW w:w="405" w:type="pct"/>
            <w:vAlign w:val="top"/>
            <w:textDirection w:val="lrTb"/>
            <w:noWrap w:val="false"/>
          </w:tcPr>
          <w:p>
            <w:pPr>
              <w:pStyle w:val="754"/>
              <w:jc w:val="center"/>
              <w:spacing w:before="40" w:after="40"/>
              <w:rPr>
                <w:bCs/>
                <w:sz w:val="20"/>
                <w:szCs w:val="20"/>
              </w:rPr>
            </w:pPr>
            <w:r>
              <w:rPr>
                <w:bCs/>
                <w:sz w:val="20"/>
                <w:szCs w:val="20"/>
                <w:lang w:val="en-US"/>
              </w:rPr>
              <w:t xml:space="preserve">9</w:t>
            </w:r>
            <w:r>
              <w:rPr>
                <w:bCs/>
                <w:sz w:val="20"/>
                <w:szCs w:val="20"/>
                <w:lang w:val="en-US"/>
              </w:rPr>
              <w:t xml:space="preserve">.2.3.</w:t>
            </w:r>
            <w:r>
              <w:rPr>
                <w:bCs/>
                <w:sz w:val="20"/>
                <w:szCs w:val="20"/>
              </w:rPr>
              <w:t xml:space="preserve">2.</w:t>
            </w:r>
            <w:r>
              <w:rPr>
                <w:bCs/>
                <w:sz w:val="20"/>
                <w:szCs w:val="20"/>
              </w:rPr>
            </w:r>
          </w:p>
        </w:tc>
        <w:tc>
          <w:tcPr>
            <w:gridSpan w:val="4"/>
            <w:tcW w:w="2325" w:type="pct"/>
            <w:vAlign w:val="top"/>
            <w:textDirection w:val="lrTb"/>
            <w:noWrap w:val="false"/>
          </w:tcPr>
          <w:p>
            <w:pPr>
              <w:pStyle w:val="804"/>
              <w:spacing w:after="40"/>
              <w:rPr>
                <w:bCs/>
                <w:color w:val="000000"/>
                <w:sz w:val="20"/>
                <w:szCs w:val="20"/>
              </w:rPr>
            </w:pPr>
            <w:r>
              <w:rPr>
                <w:bCs/>
                <w:sz w:val="20"/>
                <w:szCs w:val="20"/>
              </w:rPr>
              <w:t xml:space="preserve">Хранение неэмиссионных ценных бумаг, не имеющих номинальной стоимости</w:t>
            </w:r>
            <w:r>
              <w:rPr>
                <w:bCs/>
                <w:color w:val="000000"/>
                <w:sz w:val="20"/>
                <w:szCs w:val="20"/>
              </w:rPr>
            </w:r>
            <w:r>
              <w:rPr>
                <w:bCs/>
                <w:color w:val="000000"/>
                <w:sz w:val="20"/>
                <w:szCs w:val="20"/>
              </w:rPr>
            </w:r>
          </w:p>
        </w:tc>
        <w:tc>
          <w:tcPr>
            <w:tcW w:w="881" w:type="pct"/>
            <w:vAlign w:val="top"/>
            <w:textDirection w:val="lrTb"/>
            <w:noWrap w:val="false"/>
          </w:tcPr>
          <w:p>
            <w:pPr>
              <w:pStyle w:val="804"/>
              <w:spacing w:before="40" w:after="40"/>
              <w:rPr>
                <w:bCs/>
                <w:color w:val="000000"/>
                <w:sz w:val="20"/>
                <w:szCs w:val="20"/>
              </w:rPr>
            </w:pPr>
            <w:r>
              <w:rPr>
                <w:sz w:val="20"/>
                <w:szCs w:val="20"/>
              </w:rPr>
              <w:t xml:space="preserve">1</w:t>
            </w:r>
            <w:r>
              <w:rPr>
                <w:sz w:val="20"/>
                <w:szCs w:val="20"/>
              </w:rPr>
              <w:t xml:space="preserve"> </w:t>
            </w:r>
            <w:r>
              <w:rPr>
                <w:sz w:val="20"/>
                <w:szCs w:val="20"/>
              </w:rPr>
              <w:t xml:space="preserve">000 </w:t>
            </w:r>
            <w:r>
              <w:rPr>
                <w:sz w:val="20"/>
                <w:szCs w:val="20"/>
              </w:rPr>
              <w:t xml:space="preserve">руб.</w:t>
            </w:r>
            <w:r>
              <w:rPr>
                <w:sz w:val="20"/>
                <w:szCs w:val="20"/>
              </w:rPr>
              <w:t xml:space="preserve">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405" w:type="pct"/>
            <w:vAlign w:val="top"/>
            <w:textDirection w:val="lrTb"/>
            <w:noWrap w:val="false"/>
          </w:tcPr>
          <w:p>
            <w:pPr>
              <w:pStyle w:val="754"/>
              <w:jc w:val="center"/>
              <w:spacing w:before="40" w:after="40"/>
              <w:rPr>
                <w:b/>
                <w:bCs/>
                <w:sz w:val="20"/>
                <w:szCs w:val="20"/>
              </w:rPr>
            </w:pPr>
            <w:r>
              <w:rPr>
                <w:b/>
                <w:bCs/>
                <w:sz w:val="20"/>
                <w:szCs w:val="20"/>
                <w:lang w:val="en-US"/>
              </w:rPr>
              <w:t xml:space="preserve">9</w:t>
            </w:r>
            <w:r>
              <w:rPr>
                <w:b/>
                <w:bCs/>
                <w:sz w:val="20"/>
                <w:szCs w:val="20"/>
              </w:rPr>
              <w:t xml:space="preserve">.2.</w:t>
            </w:r>
            <w:r>
              <w:rPr>
                <w:b/>
                <w:bCs/>
                <w:sz w:val="20"/>
                <w:szCs w:val="20"/>
                <w:lang w:val="en-US"/>
              </w:rPr>
              <w:t xml:space="preserve">4</w:t>
            </w:r>
            <w:r>
              <w:rPr>
                <w:b/>
                <w:bCs/>
                <w:sz w:val="20"/>
                <w:szCs w:val="20"/>
              </w:rPr>
              <w:t xml:space="preserve">.</w:t>
            </w:r>
            <w:r>
              <w:rPr>
                <w:b/>
                <w:bCs/>
                <w:sz w:val="20"/>
                <w:szCs w:val="20"/>
              </w:rPr>
            </w:r>
          </w:p>
        </w:tc>
        <w:tc>
          <w:tcPr>
            <w:gridSpan w:val="4"/>
            <w:tcW w:w="2325" w:type="pct"/>
            <w:vAlign w:val="top"/>
            <w:textDirection w:val="lrTb"/>
            <w:noWrap w:val="false"/>
          </w:tcPr>
          <w:p>
            <w:pPr>
              <w:pStyle w:val="804"/>
              <w:spacing w:after="40"/>
              <w:rPr>
                <w:b/>
                <w:bCs/>
                <w:color w:val="000000"/>
                <w:sz w:val="20"/>
                <w:szCs w:val="20"/>
              </w:rPr>
            </w:pPr>
            <w:r>
              <w:rPr>
                <w:b/>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
                <w:bCs/>
                <w:color w:val="000000"/>
                <w:sz w:val="20"/>
                <w:szCs w:val="20"/>
              </w:rPr>
            </w:r>
            <w:r>
              <w:rPr>
                <w:b/>
                <w:bCs/>
                <w:color w:val="000000"/>
                <w:sz w:val="20"/>
                <w:szCs w:val="20"/>
              </w:rPr>
            </w:r>
          </w:p>
        </w:tc>
        <w:tc>
          <w:tcPr>
            <w:tcW w:w="881" w:type="pct"/>
            <w:vAlign w:val="top"/>
            <w:textDirection w:val="lrTb"/>
            <w:noWrap w:val="false"/>
          </w:tcPr>
          <w:p>
            <w:pPr>
              <w:pStyle w:val="804"/>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jc w:val="both"/>
              <w:spacing w:before="40" w:after="40"/>
              <w:rPr>
                <w:bCs/>
                <w:color w:val="000000"/>
              </w:rPr>
            </w:pPr>
            <w:r>
              <w:rPr>
                <w:sz w:val="20"/>
                <w:szCs w:val="20"/>
              </w:rPr>
              <w:t xml:space="preserve">В месяц за инвестиционные паи каждого инвестиционного фонда </w:t>
            </w:r>
            <w:r>
              <w:rPr>
                <w:sz w:val="20"/>
                <w:szCs w:val="20"/>
              </w:rPr>
              <w:br w:type="textWrapping" w:clear="all"/>
            </w:r>
            <w:r>
              <w:rPr>
                <w:sz w:val="20"/>
                <w:szCs w:val="20"/>
              </w:rPr>
              <w:t xml:space="preserve">(вне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405" w:type="pct"/>
            <w:vAlign w:val="top"/>
            <w:textDirection w:val="lrTb"/>
            <w:noWrap w:val="false"/>
          </w:tcPr>
          <w:p>
            <w:pPr>
              <w:pStyle w:val="754"/>
              <w:jc w:val="center"/>
              <w:spacing w:before="40" w:after="40"/>
              <w:rPr>
                <w:b/>
                <w:bCs/>
                <w:sz w:val="20"/>
                <w:szCs w:val="20"/>
              </w:rPr>
            </w:pPr>
            <w:r>
              <w:rPr>
                <w:b/>
                <w:bCs/>
                <w:sz w:val="20"/>
                <w:szCs w:val="20"/>
              </w:rPr>
              <w:t xml:space="preserve">9</w:t>
            </w:r>
            <w:r>
              <w:rPr>
                <w:b/>
                <w:bCs/>
                <w:sz w:val="20"/>
                <w:szCs w:val="20"/>
              </w:rPr>
              <w:t xml:space="preserve">.2.</w:t>
            </w:r>
            <w:r>
              <w:rPr>
                <w:b/>
                <w:bCs/>
                <w:sz w:val="20"/>
                <w:szCs w:val="20"/>
              </w:rPr>
              <w:t xml:space="preserve">5</w:t>
            </w:r>
            <w:r>
              <w:rPr>
                <w:b/>
                <w:bCs/>
                <w:sz w:val="20"/>
                <w:szCs w:val="20"/>
              </w:rPr>
              <w:t xml:space="preserve">.</w:t>
            </w:r>
            <w:r>
              <w:rPr>
                <w:b/>
                <w:bCs/>
                <w:sz w:val="20"/>
                <w:szCs w:val="20"/>
              </w:rPr>
            </w:r>
          </w:p>
        </w:tc>
        <w:tc>
          <w:tcPr>
            <w:gridSpan w:val="4"/>
            <w:tcW w:w="2325" w:type="pct"/>
            <w:vAlign w:val="top"/>
            <w:textDirection w:val="lrTb"/>
            <w:noWrap w:val="false"/>
          </w:tcPr>
          <w:p>
            <w:pPr>
              <w:pStyle w:val="804"/>
              <w:spacing w:after="40"/>
              <w:rPr>
                <w:b/>
                <w:bCs/>
                <w:color w:val="000000"/>
                <w:sz w:val="20"/>
                <w:szCs w:val="20"/>
              </w:rPr>
            </w:pPr>
            <w:r>
              <w:rPr>
                <w:b/>
                <w:bCs/>
                <w:sz w:val="20"/>
                <w:szCs w:val="20"/>
              </w:rPr>
              <w:t xml:space="preserve">Депозитарный учет прав на инвестиционные паи паевых инвестиционных фондов </w:t>
            </w:r>
            <w:r>
              <w:rPr>
                <w:b/>
                <w:bCs/>
                <w:sz w:val="20"/>
                <w:szCs w:val="20"/>
              </w:rPr>
              <w:t xml:space="preserve">выпущенных на территории Российской Федерации</w:t>
            </w:r>
            <w:r>
              <w:rPr>
                <w:b/>
                <w:bCs/>
                <w:color w:val="000000"/>
                <w:sz w:val="20"/>
                <w:szCs w:val="20"/>
              </w:rPr>
            </w:r>
            <w:r>
              <w:rPr>
                <w:b/>
                <w:bCs/>
                <w:color w:val="000000"/>
                <w:sz w:val="20"/>
                <w:szCs w:val="20"/>
              </w:rPr>
            </w:r>
          </w:p>
        </w:tc>
        <w:tc>
          <w:tcPr>
            <w:tcW w:w="881" w:type="pct"/>
            <w:vAlign w:val="top"/>
            <w:textDirection w:val="lrTb"/>
            <w:noWrap w:val="false"/>
          </w:tcPr>
          <w:p>
            <w:pPr>
              <w:pStyle w:val="804"/>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jc w:val="both"/>
              <w:spacing w:before="40" w:after="40"/>
              <w:rPr>
                <w:bCs/>
                <w:color w:val="000000"/>
              </w:rPr>
            </w:pPr>
            <w:r>
              <w:rPr>
                <w:sz w:val="20"/>
                <w:szCs w:val="20"/>
              </w:rPr>
              <w:t xml:space="preserve">В месяц за инвестиционные паи  каждого инвестиционного фонда </w:t>
            </w:r>
            <w:r>
              <w:rPr>
                <w:sz w:val="20"/>
                <w:szCs w:val="20"/>
              </w:rPr>
              <w:br w:type="textWrapping" w:clear="all"/>
            </w:r>
            <w:r>
              <w:rPr>
                <w:sz w:val="20"/>
                <w:szCs w:val="20"/>
              </w:rPr>
              <w:t xml:space="preserve">(вне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405" w:type="pct"/>
            <w:vAlign w:val="top"/>
            <w:textDirection w:val="lrTb"/>
            <w:noWrap w:val="false"/>
          </w:tcPr>
          <w:p>
            <w:pPr>
              <w:pStyle w:val="754"/>
              <w:jc w:val="center"/>
              <w:spacing w:before="40" w:after="40"/>
              <w:rPr>
                <w:b/>
                <w:bCs/>
                <w:sz w:val="20"/>
                <w:szCs w:val="20"/>
              </w:rPr>
            </w:pPr>
            <w:r>
              <w:rPr>
                <w:b/>
                <w:bCs/>
                <w:sz w:val="20"/>
                <w:szCs w:val="20"/>
              </w:rPr>
              <w:t xml:space="preserve">9.2.</w:t>
            </w:r>
            <w:r>
              <w:rPr>
                <w:b/>
                <w:bCs/>
                <w:sz w:val="20"/>
                <w:szCs w:val="20"/>
                <w:lang w:val="en-US"/>
              </w:rPr>
              <w:t xml:space="preserve">6</w:t>
            </w:r>
            <w:r>
              <w:rPr>
                <w:b/>
                <w:bCs/>
                <w:sz w:val="20"/>
                <w:szCs w:val="20"/>
              </w:rPr>
              <w:t xml:space="preserve">.</w:t>
            </w:r>
            <w:r>
              <w:rPr>
                <w:b/>
                <w:bCs/>
                <w:sz w:val="20"/>
                <w:szCs w:val="20"/>
              </w:rPr>
            </w:r>
          </w:p>
        </w:tc>
        <w:tc>
          <w:tcPr>
            <w:gridSpan w:val="4"/>
            <w:tcW w:w="2325" w:type="pct"/>
            <w:vAlign w:val="top"/>
            <w:textDirection w:val="lrTb"/>
            <w:noWrap w:val="false"/>
          </w:tcPr>
          <w:p>
            <w:pPr>
              <w:pStyle w:val="804"/>
              <w:spacing w:after="40"/>
              <w:rPr>
                <w:b/>
                <w:bCs/>
                <w:color w:val="000000"/>
                <w:sz w:val="20"/>
                <w:szCs w:val="20"/>
              </w:rPr>
            </w:pPr>
            <w:r>
              <w:rPr>
                <w:b/>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
                <w:bCs/>
                <w:color w:val="000000"/>
                <w:sz w:val="20"/>
                <w:szCs w:val="20"/>
              </w:rPr>
            </w:r>
            <w:r>
              <w:rPr>
                <w:b/>
                <w:bCs/>
                <w:color w:val="000000"/>
                <w:sz w:val="20"/>
                <w:szCs w:val="20"/>
              </w:rPr>
            </w:r>
          </w:p>
        </w:tc>
        <w:tc>
          <w:tcPr>
            <w:tcW w:w="881" w:type="pct"/>
            <w:vAlign w:val="top"/>
            <w:textDirection w:val="lrTb"/>
            <w:noWrap w:val="false"/>
          </w:tcPr>
          <w:p>
            <w:pPr>
              <w:pStyle w:val="804"/>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6"/>
        </w:trPr>
        <w:tc>
          <w:tcPr>
            <w:tcW w:w="405" w:type="pct"/>
            <w:vAlign w:val="top"/>
            <w:vMerge w:val="restart"/>
            <w:textDirection w:val="lrTb"/>
            <w:noWrap w:val="false"/>
          </w:tcPr>
          <w:p>
            <w:pPr>
              <w:pStyle w:val="754"/>
              <w:jc w:val="center"/>
              <w:spacing w:before="40" w:after="40"/>
              <w:rPr>
                <w:b/>
                <w:bCs/>
                <w:sz w:val="20"/>
                <w:szCs w:val="20"/>
              </w:rPr>
            </w:pPr>
            <w:r>
              <w:rPr>
                <w:b/>
                <w:bCs/>
                <w:sz w:val="20"/>
                <w:szCs w:val="20"/>
              </w:rPr>
              <w:t xml:space="preserve">9.2.</w:t>
            </w:r>
            <w:r>
              <w:rPr>
                <w:b/>
                <w:bCs/>
                <w:sz w:val="20"/>
                <w:szCs w:val="20"/>
                <w:lang w:val="en-US"/>
              </w:rPr>
              <w:t xml:space="preserve">7</w:t>
            </w:r>
            <w:r>
              <w:rPr>
                <w:b/>
                <w:bCs/>
                <w:sz w:val="20"/>
                <w:szCs w:val="20"/>
              </w:rPr>
              <w:t xml:space="preserve">.</w:t>
            </w:r>
            <w:r>
              <w:rPr>
                <w:b/>
                <w:bCs/>
                <w:sz w:val="20"/>
                <w:szCs w:val="20"/>
              </w:rPr>
            </w:r>
          </w:p>
        </w:tc>
        <w:tc>
          <w:tcPr>
            <w:gridSpan w:val="7"/>
            <w:tcW w:w="4595" w:type="pct"/>
            <w:vAlign w:val="top"/>
            <w:textDirection w:val="lrTb"/>
            <w:noWrap w:val="false"/>
          </w:tcPr>
          <w:p>
            <w:pPr>
              <w:pStyle w:val="754"/>
              <w:jc w:val="both"/>
              <w:spacing w:before="40" w:after="40"/>
              <w:rPr>
                <w:b/>
                <w:i/>
                <w:iCs/>
                <w:sz w:val="20"/>
                <w:szCs w:val="20"/>
              </w:rPr>
            </w:pPr>
            <w:r>
              <w:rPr>
                <w:b/>
                <w:bCs/>
                <w:sz w:val="20"/>
                <w:szCs w:val="20"/>
              </w:rPr>
              <w:t xml:space="preserve">Хранение и учет на счете ДЕПО ценных бумаг Депонентов, </w:t>
            </w:r>
            <w:r>
              <w:rPr>
                <w:b/>
                <w:bCs/>
                <w:iCs/>
                <w:sz w:val="20"/>
                <w:szCs w:val="20"/>
              </w:rPr>
              <w:t xml:space="preserve">принятых </w:t>
            </w:r>
            <w:r>
              <w:rPr>
                <w:b/>
                <w:bCs/>
                <w:iCs/>
                <w:sz w:val="20"/>
                <w:szCs w:val="20"/>
              </w:rPr>
              <w:br w:type="textWrapping" w:clear="all"/>
            </w:r>
            <w:r>
              <w:rPr>
                <w:b/>
                <w:bCs/>
                <w:iCs/>
                <w:sz w:val="20"/>
                <w:szCs w:val="20"/>
              </w:rPr>
              <w:t xml:space="preserve">АО «Россельхозбанк» на брокерское обслуживание</w:t>
            </w:r>
            <w:r>
              <w:rPr>
                <w:b/>
                <w:i/>
                <w:iCs/>
                <w:sz w:val="20"/>
                <w:szCs w:val="20"/>
              </w:rPr>
            </w:r>
            <w:r>
              <w:rPr>
                <w:b/>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trPr>
        <w:tc>
          <w:tcPr>
            <w:tcW w:w="405" w:type="pct"/>
            <w:vAlign w:val="top"/>
            <w:vMerge w:val="continue"/>
            <w:textDirection w:val="lrTb"/>
            <w:noWrap w:val="false"/>
          </w:tcPr>
          <w:p>
            <w:pPr>
              <w:pStyle w:val="754"/>
              <w:jc w:val="center"/>
              <w:rPr>
                <w:b/>
                <w:bCs/>
                <w:sz w:val="20"/>
                <w:szCs w:val="20"/>
              </w:rPr>
            </w:pPr>
            <w:r>
              <w:rPr>
                <w:b/>
                <w:bCs/>
                <w:sz w:val="20"/>
                <w:szCs w:val="20"/>
              </w:rPr>
            </w:r>
            <w:r>
              <w:rPr>
                <w:b/>
                <w:bCs/>
                <w:sz w:val="20"/>
                <w:szCs w:val="20"/>
              </w:rPr>
            </w:r>
          </w:p>
        </w:tc>
        <w:tc>
          <w:tcPr>
            <w:gridSpan w:val="3"/>
            <w:tcW w:w="1476" w:type="pct"/>
            <w:vAlign w:val="top"/>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c>
          <w:tcPr>
            <w:tcW w:w="849" w:type="pct"/>
            <w:vAlign w:val="top"/>
            <w:textDirection w:val="lrTb"/>
            <w:noWrap w:val="false"/>
          </w:tcPr>
          <w:p>
            <w:pPr>
              <w:pStyle w:val="754"/>
              <w:ind w:left="-72" w:right="-101"/>
              <w:jc w:val="center"/>
              <w:rPr>
                <w:bCs/>
                <w:sz w:val="18"/>
                <w:szCs w:val="18"/>
              </w:rPr>
            </w:pPr>
            <w:r>
              <w:rPr>
                <w:color w:val="000000"/>
                <w:sz w:val="18"/>
                <w:szCs w:val="18"/>
              </w:rPr>
              <w:t xml:space="preserve">С</w:t>
            </w:r>
            <w:r>
              <w:rPr>
                <w:color w:val="000000"/>
                <w:sz w:val="18"/>
                <w:szCs w:val="18"/>
              </w:rPr>
              <w:t xml:space="preserve">редневзвешенн</w:t>
            </w:r>
            <w:r>
              <w:rPr>
                <w:color w:val="000000"/>
                <w:sz w:val="18"/>
                <w:szCs w:val="18"/>
              </w:rPr>
              <w:t xml:space="preserve">ая </w:t>
            </w:r>
            <w:r>
              <w:rPr>
                <w:color w:val="000000"/>
                <w:sz w:val="18"/>
                <w:szCs w:val="18"/>
              </w:rPr>
              <w:t xml:space="preserve">стоимост</w:t>
            </w:r>
            <w:r>
              <w:rPr>
                <w:color w:val="000000"/>
                <w:sz w:val="18"/>
                <w:szCs w:val="18"/>
              </w:rPr>
              <w:t xml:space="preserve">ь</w:t>
            </w:r>
            <w:r>
              <w:rPr>
                <w:rStyle w:val="820"/>
                <w:sz w:val="20"/>
                <w:szCs w:val="20"/>
              </w:rPr>
              <w:footnoteReference w:id="3"/>
            </w:r>
            <w:r>
              <w:rPr>
                <w:color w:val="000000"/>
                <w:sz w:val="18"/>
                <w:szCs w:val="18"/>
              </w:rPr>
              <w:t xml:space="preserve"> ценных бумаг </w:t>
            </w:r>
            <w:r>
              <w:rPr>
                <w:color w:val="000000"/>
                <w:sz w:val="18"/>
                <w:szCs w:val="18"/>
              </w:rPr>
              <w:t xml:space="preserve">(</w:t>
            </w:r>
            <w:r>
              <w:rPr>
                <w:color w:val="000000"/>
                <w:sz w:val="18"/>
                <w:szCs w:val="18"/>
              </w:rPr>
              <w:t xml:space="preserve">млрд. руб.)</w:t>
            </w:r>
            <w:r>
              <w:rPr>
                <w:bCs/>
                <w:sz w:val="18"/>
                <w:szCs w:val="18"/>
              </w:rPr>
            </w:r>
            <w:r>
              <w:rPr>
                <w:bCs/>
                <w:sz w:val="18"/>
                <w:szCs w:val="18"/>
              </w:rPr>
            </w:r>
          </w:p>
        </w:tc>
        <w:tc>
          <w:tcPr>
            <w:tcW w:w="881" w:type="pct"/>
            <w:vAlign w:val="center"/>
            <w:textDirection w:val="lrTb"/>
            <w:noWrap w:val="false"/>
          </w:tcPr>
          <w:p>
            <w:pPr>
              <w:pStyle w:val="754"/>
              <w:ind w:left="-72" w:right="-101"/>
              <w:jc w:val="center"/>
              <w:rPr>
                <w:bCs/>
                <w:sz w:val="18"/>
                <w:szCs w:val="18"/>
              </w:rPr>
            </w:pPr>
            <w:r>
              <w:rPr>
                <w:bCs/>
                <w:sz w:val="18"/>
                <w:szCs w:val="18"/>
              </w:rPr>
              <w:t xml:space="preserve">%</w:t>
            </w:r>
            <w:r>
              <w:rPr>
                <w:bCs/>
                <w:sz w:val="18"/>
                <w:szCs w:val="18"/>
              </w:rPr>
            </w:r>
          </w:p>
          <w:p>
            <w:pPr>
              <w:pStyle w:val="754"/>
              <w:ind w:left="-72" w:right="-101"/>
              <w:jc w:val="center"/>
              <w:rPr>
                <w:bCs/>
                <w:sz w:val="18"/>
                <w:szCs w:val="18"/>
              </w:rPr>
            </w:pPr>
            <w:r>
              <w:rPr>
                <w:sz w:val="20"/>
                <w:szCs w:val="20"/>
              </w:rPr>
              <w:t xml:space="preserve">годовых</w:t>
            </w:r>
            <w:r>
              <w:rPr>
                <w:bCs/>
                <w:sz w:val="18"/>
                <w:szCs w:val="18"/>
              </w:rPr>
            </w:r>
            <w:r>
              <w:rPr>
                <w:bCs/>
                <w:sz w:val="18"/>
                <w:szCs w:val="18"/>
              </w:rPr>
            </w:r>
          </w:p>
        </w:tc>
        <w:tc>
          <w:tcPr>
            <w:gridSpan w:val="2"/>
            <w:tcW w:w="1389" w:type="pct"/>
            <w:vAlign w:val="top"/>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405" w:type="pct"/>
            <w:vAlign w:val="top"/>
            <w:vMerge w:val="restart"/>
            <w:textDirection w:val="lrTb"/>
            <w:noWrap w:val="false"/>
          </w:tcPr>
          <w:p>
            <w:pPr>
              <w:pStyle w:val="754"/>
              <w:jc w:val="center"/>
              <w:spacing w:before="40" w:after="40"/>
              <w:rPr>
                <w:rFonts w:eastAsia="Arial Unicode MS"/>
                <w:bCs/>
                <w:sz w:val="20"/>
                <w:szCs w:val="20"/>
              </w:rPr>
            </w:pPr>
            <w:r>
              <w:rPr>
                <w:bCs/>
                <w:sz w:val="20"/>
                <w:szCs w:val="20"/>
              </w:rPr>
              <w:t xml:space="preserve">9</w:t>
            </w:r>
            <w:r>
              <w:rPr>
                <w:bCs/>
                <w:sz w:val="20"/>
                <w:szCs w:val="20"/>
              </w:rPr>
              <w:t xml:space="preserve">.2.</w:t>
            </w:r>
            <w:r>
              <w:rPr>
                <w:bCs/>
                <w:sz w:val="20"/>
                <w:szCs w:val="20"/>
              </w:rPr>
              <w:t xml:space="preserve">7</w:t>
            </w:r>
            <w:r>
              <w:rPr>
                <w:bCs/>
                <w:sz w:val="20"/>
                <w:szCs w:val="20"/>
              </w:rPr>
              <w:t xml:space="preserve">.1.</w:t>
            </w:r>
            <w:r>
              <w:rPr>
                <w:rFonts w:eastAsia="Arial Unicode MS"/>
                <w:bCs/>
                <w:sz w:val="20"/>
                <w:szCs w:val="20"/>
              </w:rPr>
            </w:r>
            <w:r>
              <w:rPr>
                <w:rFonts w:eastAsia="Arial Unicode MS"/>
                <w:bCs/>
                <w:sz w:val="20"/>
                <w:szCs w:val="20"/>
              </w:rPr>
            </w:r>
          </w:p>
        </w:tc>
        <w:tc>
          <w:tcPr>
            <w:gridSpan w:val="3"/>
            <w:tcW w:w="1476" w:type="pct"/>
            <w:vAlign w:val="top"/>
            <w:vMerge w:val="restart"/>
            <w:textDirection w:val="lrTb"/>
            <w:noWrap w:val="false"/>
          </w:tcPr>
          <w:p>
            <w:pPr>
              <w:pStyle w:val="754"/>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849"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p>
        </w:tc>
        <w:tc>
          <w:tcPr>
            <w:tcW w:w="881"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rPr>
              <w:t xml:space="preserve">3</w:t>
            </w:r>
            <w:r>
              <w:rPr>
                <w:bCs/>
                <w:iCs/>
                <w:sz w:val="20"/>
                <w:szCs w:val="20"/>
              </w:rPr>
              <w:t xml:space="preserve">0 </w:t>
            </w:r>
            <w:r>
              <w:rPr>
                <w:bCs/>
                <w:iCs/>
                <w:sz w:val="20"/>
                <w:szCs w:val="20"/>
              </w:rPr>
              <w:t xml:space="preserve">руб.</w:t>
            </w:r>
            <w:r>
              <w:rPr>
                <w:bCs/>
                <w:iCs/>
                <w:sz w:val="20"/>
                <w:szCs w:val="20"/>
              </w:rPr>
              <w:t xml:space="preserve"> в месяц</w:t>
            </w:r>
            <w:r>
              <w:rPr>
                <w:sz w:val="20"/>
                <w:szCs w:val="20"/>
              </w:rPr>
            </w:r>
            <w:r>
              <w:rPr>
                <w:sz w:val="20"/>
                <w:szCs w:val="20"/>
              </w:rPr>
            </w:r>
          </w:p>
        </w:tc>
        <w:tc>
          <w:tcPr>
            <w:gridSpan w:val="2"/>
            <w:tcW w:w="1389" w:type="pct"/>
            <w:vAlign w:val="top"/>
            <w:vMerge w:val="restart"/>
            <w:textDirection w:val="lrTb"/>
            <w:noWrap w:val="false"/>
          </w:tcPr>
          <w:p>
            <w:pPr>
              <w:pStyle w:val="754"/>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754"/>
              <w:ind w:left="-2" w:right="-18"/>
              <w:spacing w:before="40" w:after="40"/>
              <w:tabs>
                <w:tab w:val="left" w:pos="4464" w:leader="none"/>
                <w:tab w:val="left" w:pos="5760" w:leader="none"/>
              </w:tabs>
              <w:rPr>
                <w:sz w:val="20"/>
                <w:szCs w:val="20"/>
              </w:rPr>
            </w:pPr>
            <w:r>
              <w:rPr>
                <w:sz w:val="20"/>
                <w:szCs w:val="20"/>
              </w:rPr>
            </w:r>
            <w:r>
              <w:rPr>
                <w:sz w:val="20"/>
                <w:szCs w:val="20"/>
              </w:rPr>
            </w:r>
          </w:p>
          <w:p>
            <w:pPr>
              <w:pStyle w:val="754"/>
              <w:ind w:left="-2" w:right="-18"/>
              <w:jc w:val="both"/>
              <w:spacing w:line="240" w:lineRule="atLeast"/>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405" w:type="pct"/>
            <w:vAlign w:val="top"/>
            <w:vMerge w:val="continue"/>
            <w:textDirection w:val="lrTb"/>
            <w:noWrap w:val="false"/>
          </w:tcPr>
          <w:p>
            <w:pPr>
              <w:pStyle w:val="754"/>
              <w:jc w:val="center"/>
              <w:spacing w:before="40" w:after="40"/>
              <w:rPr>
                <w:bCs/>
                <w:sz w:val="20"/>
                <w:szCs w:val="20"/>
              </w:rPr>
            </w:pPr>
            <w:r>
              <w:rPr>
                <w:bCs/>
                <w:sz w:val="20"/>
                <w:szCs w:val="20"/>
              </w:rPr>
            </w:r>
            <w:r>
              <w:rPr>
                <w:bCs/>
                <w:sz w:val="20"/>
                <w:szCs w:val="20"/>
              </w:rPr>
            </w:r>
          </w:p>
        </w:tc>
        <w:tc>
          <w:tcPr>
            <w:gridSpan w:val="3"/>
            <w:tcW w:w="1476" w:type="pct"/>
            <w:vAlign w:val="top"/>
            <w:vMerge w:val="continue"/>
            <w:textDirection w:val="lrTb"/>
            <w:noWrap w:val="false"/>
          </w:tcPr>
          <w:p>
            <w:pPr>
              <w:pStyle w:val="754"/>
              <w:jc w:val="both"/>
              <w:spacing w:before="40" w:after="40"/>
              <w:rPr>
                <w:bCs/>
                <w:sz w:val="20"/>
                <w:szCs w:val="20"/>
              </w:rPr>
            </w:pPr>
            <w:r>
              <w:rPr>
                <w:bCs/>
                <w:sz w:val="20"/>
                <w:szCs w:val="20"/>
              </w:rPr>
            </w:r>
            <w:r>
              <w:rPr>
                <w:bCs/>
                <w:sz w:val="20"/>
                <w:szCs w:val="20"/>
              </w:rPr>
            </w:r>
          </w:p>
        </w:tc>
        <w:tc>
          <w:tcPr>
            <w:tcW w:w="849"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881"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gridSpan w:val="2"/>
            <w:tcW w:w="1389"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trPr>
        <w:tc>
          <w:tcPr>
            <w:tcW w:w="405" w:type="pct"/>
            <w:vAlign w:val="top"/>
            <w:vMerge w:val="continue"/>
            <w:textDirection w:val="lrTb"/>
            <w:noWrap w:val="false"/>
          </w:tcPr>
          <w:p>
            <w:pPr>
              <w:pStyle w:val="754"/>
              <w:jc w:val="center"/>
              <w:spacing w:before="40" w:after="40"/>
              <w:rPr>
                <w:bCs/>
                <w:sz w:val="20"/>
                <w:szCs w:val="20"/>
              </w:rPr>
            </w:pPr>
            <w:r>
              <w:rPr>
                <w:bCs/>
                <w:sz w:val="20"/>
                <w:szCs w:val="20"/>
              </w:rPr>
            </w:r>
            <w:r>
              <w:rPr>
                <w:bCs/>
                <w:sz w:val="20"/>
                <w:szCs w:val="20"/>
              </w:rPr>
            </w:r>
          </w:p>
        </w:tc>
        <w:tc>
          <w:tcPr>
            <w:gridSpan w:val="3"/>
            <w:tcW w:w="1476" w:type="pct"/>
            <w:vAlign w:val="top"/>
            <w:vMerge w:val="continue"/>
            <w:textDirection w:val="lrTb"/>
            <w:noWrap w:val="false"/>
          </w:tcPr>
          <w:p>
            <w:pPr>
              <w:pStyle w:val="754"/>
              <w:jc w:val="both"/>
              <w:spacing w:before="40" w:after="40"/>
              <w:rPr>
                <w:bCs/>
                <w:sz w:val="20"/>
                <w:szCs w:val="20"/>
              </w:rPr>
            </w:pPr>
            <w:r>
              <w:rPr>
                <w:bCs/>
                <w:sz w:val="20"/>
                <w:szCs w:val="20"/>
              </w:rPr>
            </w:r>
            <w:r>
              <w:rPr>
                <w:bCs/>
                <w:sz w:val="20"/>
                <w:szCs w:val="20"/>
              </w:rPr>
            </w:r>
          </w:p>
        </w:tc>
        <w:tc>
          <w:tcPr>
            <w:tcW w:w="849"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881"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gridSpan w:val="2"/>
            <w:tcW w:w="1389"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05" w:type="pct"/>
            <w:vAlign w:val="top"/>
            <w:vMerge w:val="continue"/>
            <w:textDirection w:val="lrTb"/>
            <w:noWrap w:val="false"/>
          </w:tcPr>
          <w:p>
            <w:pPr>
              <w:pStyle w:val="754"/>
              <w:jc w:val="center"/>
              <w:spacing w:before="40" w:after="40"/>
              <w:rPr>
                <w:bCs/>
                <w:sz w:val="20"/>
                <w:szCs w:val="20"/>
              </w:rPr>
            </w:pPr>
            <w:r>
              <w:rPr>
                <w:bCs/>
                <w:sz w:val="20"/>
                <w:szCs w:val="20"/>
              </w:rPr>
            </w:r>
            <w:r>
              <w:rPr>
                <w:bCs/>
                <w:sz w:val="20"/>
                <w:szCs w:val="20"/>
              </w:rPr>
            </w:r>
          </w:p>
        </w:tc>
        <w:tc>
          <w:tcPr>
            <w:gridSpan w:val="3"/>
            <w:tcW w:w="1476" w:type="pct"/>
            <w:vAlign w:val="top"/>
            <w:vMerge w:val="continue"/>
            <w:textDirection w:val="lrTb"/>
            <w:noWrap w:val="false"/>
          </w:tcPr>
          <w:p>
            <w:pPr>
              <w:pStyle w:val="754"/>
              <w:jc w:val="both"/>
              <w:spacing w:before="40" w:after="40"/>
              <w:rPr>
                <w:bCs/>
                <w:sz w:val="20"/>
                <w:szCs w:val="20"/>
              </w:rPr>
            </w:pPr>
            <w:r>
              <w:rPr>
                <w:bCs/>
                <w:sz w:val="20"/>
                <w:szCs w:val="20"/>
              </w:rPr>
            </w:r>
            <w:r>
              <w:rPr>
                <w:bCs/>
                <w:sz w:val="20"/>
                <w:szCs w:val="20"/>
              </w:rPr>
            </w:r>
          </w:p>
        </w:tc>
        <w:tc>
          <w:tcPr>
            <w:tcW w:w="849"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881"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gridSpan w:val="2"/>
            <w:tcW w:w="1389"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trPr>
        <w:tc>
          <w:tcPr>
            <w:tcW w:w="405" w:type="pct"/>
            <w:vAlign w:val="top"/>
            <w:vMerge w:val="continue"/>
            <w:textDirection w:val="lrTb"/>
            <w:noWrap w:val="false"/>
          </w:tcPr>
          <w:p>
            <w:pPr>
              <w:pStyle w:val="754"/>
              <w:jc w:val="center"/>
              <w:spacing w:before="40" w:after="40"/>
              <w:rPr>
                <w:bCs/>
                <w:sz w:val="20"/>
                <w:szCs w:val="20"/>
              </w:rPr>
            </w:pPr>
            <w:r>
              <w:rPr>
                <w:bCs/>
                <w:sz w:val="20"/>
                <w:szCs w:val="20"/>
              </w:rPr>
            </w:r>
            <w:r>
              <w:rPr>
                <w:bCs/>
                <w:sz w:val="20"/>
                <w:szCs w:val="20"/>
              </w:rPr>
            </w:r>
          </w:p>
        </w:tc>
        <w:tc>
          <w:tcPr>
            <w:gridSpan w:val="3"/>
            <w:tcW w:w="1476" w:type="pct"/>
            <w:vAlign w:val="top"/>
            <w:vMerge w:val="continue"/>
            <w:textDirection w:val="lrTb"/>
            <w:noWrap w:val="false"/>
          </w:tcPr>
          <w:p>
            <w:pPr>
              <w:pStyle w:val="754"/>
              <w:jc w:val="both"/>
              <w:spacing w:before="40" w:after="40"/>
              <w:rPr>
                <w:bCs/>
                <w:sz w:val="20"/>
                <w:szCs w:val="20"/>
              </w:rPr>
            </w:pPr>
            <w:r>
              <w:rPr>
                <w:bCs/>
                <w:sz w:val="20"/>
                <w:szCs w:val="20"/>
              </w:rPr>
            </w:r>
            <w:r>
              <w:rPr>
                <w:bCs/>
                <w:sz w:val="20"/>
                <w:szCs w:val="20"/>
              </w:rPr>
            </w:r>
          </w:p>
        </w:tc>
        <w:tc>
          <w:tcPr>
            <w:tcW w:w="849"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881"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gridSpan w:val="2"/>
            <w:tcW w:w="1389"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trPr>
        <w:tc>
          <w:tcPr>
            <w:tcW w:w="405" w:type="pct"/>
            <w:vAlign w:val="top"/>
            <w:vMerge w:val="continue"/>
            <w:textDirection w:val="lrTb"/>
            <w:noWrap w:val="false"/>
          </w:tcPr>
          <w:p>
            <w:pPr>
              <w:pStyle w:val="754"/>
              <w:jc w:val="center"/>
              <w:spacing w:before="40" w:after="40"/>
              <w:rPr>
                <w:bCs/>
                <w:sz w:val="20"/>
                <w:szCs w:val="20"/>
              </w:rPr>
            </w:pPr>
            <w:r>
              <w:rPr>
                <w:bCs/>
                <w:sz w:val="20"/>
                <w:szCs w:val="20"/>
              </w:rPr>
            </w:r>
            <w:r>
              <w:rPr>
                <w:bCs/>
                <w:sz w:val="20"/>
                <w:szCs w:val="20"/>
              </w:rPr>
            </w:r>
          </w:p>
        </w:tc>
        <w:tc>
          <w:tcPr>
            <w:gridSpan w:val="3"/>
            <w:tcW w:w="1476" w:type="pct"/>
            <w:vAlign w:val="top"/>
            <w:vMerge w:val="continue"/>
            <w:textDirection w:val="lrTb"/>
            <w:noWrap w:val="false"/>
          </w:tcPr>
          <w:p>
            <w:pPr>
              <w:pStyle w:val="754"/>
              <w:jc w:val="both"/>
              <w:spacing w:before="40" w:after="40"/>
              <w:rPr>
                <w:bCs/>
                <w:sz w:val="20"/>
                <w:szCs w:val="20"/>
              </w:rPr>
            </w:pPr>
            <w:r>
              <w:rPr>
                <w:bCs/>
                <w:sz w:val="20"/>
                <w:szCs w:val="20"/>
              </w:rPr>
            </w:r>
            <w:r>
              <w:rPr>
                <w:bCs/>
                <w:sz w:val="20"/>
                <w:szCs w:val="20"/>
              </w:rPr>
            </w:r>
          </w:p>
        </w:tc>
        <w:tc>
          <w:tcPr>
            <w:tcW w:w="849"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881"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gridSpan w:val="2"/>
            <w:tcW w:w="1389"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405" w:type="pct"/>
            <w:vAlign w:val="top"/>
            <w:vMerge w:val="restart"/>
            <w:textDirection w:val="lrTb"/>
            <w:noWrap w:val="false"/>
          </w:tcPr>
          <w:p>
            <w:pPr>
              <w:pStyle w:val="754"/>
              <w:jc w:val="center"/>
              <w:spacing w:before="40" w:after="40"/>
              <w:rPr>
                <w:bCs/>
                <w:sz w:val="20"/>
                <w:szCs w:val="20"/>
              </w:rPr>
            </w:pPr>
            <w:r>
              <w:rPr>
                <w:bCs/>
                <w:sz w:val="20"/>
                <w:szCs w:val="20"/>
              </w:rPr>
              <w:t xml:space="preserve">9</w:t>
            </w:r>
            <w:r>
              <w:rPr>
                <w:bCs/>
                <w:sz w:val="20"/>
                <w:szCs w:val="20"/>
              </w:rPr>
              <w:t xml:space="preserve">.2.</w:t>
            </w:r>
            <w:r>
              <w:rPr>
                <w:bCs/>
                <w:sz w:val="20"/>
                <w:szCs w:val="20"/>
                <w:lang w:val="en-US"/>
              </w:rPr>
              <w:t xml:space="preserve">7</w:t>
            </w:r>
            <w:r>
              <w:rPr>
                <w:bCs/>
                <w:sz w:val="20"/>
                <w:szCs w:val="20"/>
              </w:rPr>
              <w:t xml:space="preserve">.2.</w:t>
            </w:r>
            <w:r>
              <w:rPr>
                <w:bCs/>
                <w:sz w:val="20"/>
                <w:szCs w:val="20"/>
              </w:rPr>
            </w:r>
          </w:p>
        </w:tc>
        <w:tc>
          <w:tcPr>
            <w:gridSpan w:val="3"/>
            <w:tcW w:w="1476" w:type="pct"/>
            <w:vAlign w:val="top"/>
            <w:vMerge w:val="restart"/>
            <w:textDirection w:val="lrTb"/>
            <w:noWrap w:val="false"/>
          </w:tcPr>
          <w:p>
            <w:pPr>
              <w:pStyle w:val="754"/>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p>
        </w:tc>
        <w:tc>
          <w:tcPr>
            <w:tcW w:w="849" w:type="pct"/>
            <w:vAlign w:val="top"/>
            <w:textDirection w:val="lrTb"/>
            <w:noWrap w:val="false"/>
          </w:tcPr>
          <w:p>
            <w:pPr>
              <w:pStyle w:val="754"/>
              <w:jc w:val="center"/>
              <w:spacing w:before="40" w:after="40"/>
              <w:rPr>
                <w:sz w:val="20"/>
                <w:szCs w:val="20"/>
              </w:rPr>
            </w:pPr>
            <w:r>
              <w:rPr>
                <w:sz w:val="20"/>
                <w:szCs w:val="20"/>
              </w:rPr>
              <w:t xml:space="preserve">до 0,5</w:t>
            </w:r>
            <w:r>
              <w:rPr>
                <w:sz w:val="20"/>
                <w:szCs w:val="20"/>
              </w:rPr>
            </w:r>
          </w:p>
        </w:tc>
        <w:tc>
          <w:tcPr>
            <w:tcW w:w="881" w:type="pct"/>
            <w:vAlign w:val="top"/>
            <w:textDirection w:val="lrTb"/>
            <w:noWrap w:val="false"/>
          </w:tcPr>
          <w:p>
            <w:pPr>
              <w:pStyle w:val="754"/>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rPr>
              <w:t xml:space="preserve">3</w:t>
            </w:r>
            <w:r>
              <w:rPr>
                <w:bCs/>
                <w:iCs/>
                <w:sz w:val="20"/>
                <w:szCs w:val="20"/>
              </w:rPr>
              <w:t xml:space="preserve">0 </w:t>
            </w:r>
            <w:r>
              <w:rPr>
                <w:bCs/>
                <w:iCs/>
                <w:sz w:val="20"/>
                <w:szCs w:val="20"/>
              </w:rPr>
              <w:t xml:space="preserve">руб.</w:t>
            </w:r>
            <w:r>
              <w:rPr>
                <w:bCs/>
                <w:iCs/>
                <w:sz w:val="20"/>
                <w:szCs w:val="20"/>
              </w:rPr>
              <w:t xml:space="preserve"> в месяц</w:t>
            </w:r>
            <w:r>
              <w:rPr>
                <w:sz w:val="20"/>
                <w:szCs w:val="20"/>
              </w:rPr>
            </w:r>
            <w:r>
              <w:rPr>
                <w:sz w:val="20"/>
                <w:szCs w:val="20"/>
              </w:rPr>
            </w:r>
          </w:p>
        </w:tc>
        <w:tc>
          <w:tcPr>
            <w:gridSpan w:val="2"/>
            <w:tcW w:w="1389"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trPr>
        <w:tc>
          <w:tcPr>
            <w:tcW w:w="405" w:type="pct"/>
            <w:vAlign w:val="top"/>
            <w:vMerge w:val="continue"/>
            <w:textDirection w:val="lrTb"/>
            <w:noWrap w:val="false"/>
          </w:tcPr>
          <w:p>
            <w:pPr>
              <w:pStyle w:val="754"/>
              <w:jc w:val="center"/>
              <w:spacing w:before="40" w:after="40"/>
              <w:rPr>
                <w:b/>
                <w:bCs/>
                <w:sz w:val="20"/>
                <w:szCs w:val="20"/>
              </w:rPr>
            </w:pPr>
            <w:r>
              <w:rPr>
                <w:b/>
                <w:bCs/>
                <w:sz w:val="20"/>
                <w:szCs w:val="20"/>
              </w:rPr>
            </w:r>
            <w:r>
              <w:rPr>
                <w:b/>
                <w:bCs/>
                <w:sz w:val="20"/>
                <w:szCs w:val="20"/>
              </w:rPr>
            </w:r>
          </w:p>
        </w:tc>
        <w:tc>
          <w:tcPr>
            <w:gridSpan w:val="3"/>
            <w:tcW w:w="1476" w:type="pct"/>
            <w:vAlign w:val="top"/>
            <w:vMerge w:val="continue"/>
            <w:textDirection w:val="lrTb"/>
            <w:noWrap w:val="false"/>
          </w:tcPr>
          <w:p>
            <w:pPr>
              <w:pStyle w:val="754"/>
              <w:jc w:val="both"/>
              <w:spacing w:before="40" w:after="40"/>
              <w:rPr>
                <w:b/>
                <w:bCs/>
                <w:sz w:val="20"/>
                <w:szCs w:val="20"/>
              </w:rPr>
            </w:pPr>
            <w:r>
              <w:rPr>
                <w:b/>
                <w:bCs/>
                <w:sz w:val="20"/>
                <w:szCs w:val="20"/>
              </w:rPr>
            </w:r>
            <w:r>
              <w:rPr>
                <w:b/>
                <w:bCs/>
                <w:sz w:val="20"/>
                <w:szCs w:val="20"/>
              </w:rPr>
            </w:r>
          </w:p>
        </w:tc>
        <w:tc>
          <w:tcPr>
            <w:tcW w:w="849" w:type="pct"/>
            <w:vAlign w:val="top"/>
            <w:textDirection w:val="lrTb"/>
            <w:noWrap w:val="false"/>
          </w:tcPr>
          <w:p>
            <w:pPr>
              <w:pStyle w:val="754"/>
              <w:jc w:val="center"/>
              <w:spacing w:before="40" w:after="40"/>
              <w:rPr>
                <w:sz w:val="20"/>
                <w:szCs w:val="20"/>
              </w:rPr>
            </w:pPr>
            <w:r>
              <w:rPr>
                <w:sz w:val="20"/>
                <w:szCs w:val="20"/>
              </w:rPr>
              <w:t xml:space="preserve">от 0,5 до 1</w:t>
            </w:r>
            <w:r>
              <w:rPr>
                <w:sz w:val="20"/>
                <w:szCs w:val="20"/>
              </w:rPr>
            </w:r>
            <w:r>
              <w:rPr>
                <w:sz w:val="20"/>
                <w:szCs w:val="20"/>
              </w:rPr>
            </w:r>
          </w:p>
        </w:tc>
        <w:tc>
          <w:tcPr>
            <w:tcW w:w="881" w:type="pct"/>
            <w:vAlign w:val="top"/>
            <w:textDirection w:val="lrTb"/>
            <w:noWrap w:val="false"/>
          </w:tcPr>
          <w:p>
            <w:pPr>
              <w:pStyle w:val="754"/>
              <w:jc w:val="center"/>
              <w:rPr>
                <w:sz w:val="20"/>
                <w:szCs w:val="20"/>
              </w:rPr>
            </w:pPr>
            <w:r>
              <w:rPr>
                <w:sz w:val="20"/>
                <w:szCs w:val="20"/>
              </w:rPr>
              <w:t xml:space="preserve">0,014%</w:t>
            </w:r>
            <w:r>
              <w:rPr>
                <w:sz w:val="20"/>
                <w:szCs w:val="20"/>
              </w:rPr>
            </w:r>
            <w:r>
              <w:rPr>
                <w:sz w:val="20"/>
                <w:szCs w:val="20"/>
              </w:rPr>
            </w:r>
          </w:p>
        </w:tc>
        <w:tc>
          <w:tcPr>
            <w:gridSpan w:val="2"/>
            <w:tcW w:w="1389"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405" w:type="pct"/>
            <w:vAlign w:val="top"/>
            <w:vMerge w:val="continue"/>
            <w:textDirection w:val="lrTb"/>
            <w:noWrap w:val="false"/>
          </w:tcPr>
          <w:p>
            <w:pPr>
              <w:pStyle w:val="754"/>
              <w:jc w:val="center"/>
              <w:spacing w:before="40" w:after="40"/>
              <w:rPr>
                <w:b/>
                <w:bCs/>
                <w:sz w:val="20"/>
                <w:szCs w:val="20"/>
              </w:rPr>
            </w:pPr>
            <w:r>
              <w:rPr>
                <w:b/>
                <w:bCs/>
                <w:sz w:val="20"/>
                <w:szCs w:val="20"/>
              </w:rPr>
            </w:r>
            <w:r>
              <w:rPr>
                <w:b/>
                <w:bCs/>
                <w:sz w:val="20"/>
                <w:szCs w:val="20"/>
              </w:rPr>
            </w:r>
          </w:p>
        </w:tc>
        <w:tc>
          <w:tcPr>
            <w:gridSpan w:val="3"/>
            <w:tcW w:w="1476" w:type="pct"/>
            <w:vAlign w:val="top"/>
            <w:vMerge w:val="continue"/>
            <w:textDirection w:val="lrTb"/>
            <w:noWrap w:val="false"/>
          </w:tcPr>
          <w:p>
            <w:pPr>
              <w:pStyle w:val="754"/>
              <w:jc w:val="both"/>
              <w:spacing w:before="40" w:after="40"/>
              <w:rPr>
                <w:b/>
                <w:bCs/>
                <w:sz w:val="20"/>
                <w:szCs w:val="20"/>
              </w:rPr>
            </w:pPr>
            <w:r>
              <w:rPr>
                <w:b/>
                <w:bCs/>
                <w:sz w:val="20"/>
                <w:szCs w:val="20"/>
              </w:rPr>
            </w:r>
            <w:r>
              <w:rPr>
                <w:b/>
                <w:bCs/>
                <w:sz w:val="20"/>
                <w:szCs w:val="20"/>
              </w:rPr>
            </w:r>
          </w:p>
        </w:tc>
        <w:tc>
          <w:tcPr>
            <w:tcW w:w="849" w:type="pct"/>
            <w:vAlign w:val="top"/>
            <w:textDirection w:val="lrTb"/>
            <w:noWrap w:val="false"/>
          </w:tcPr>
          <w:p>
            <w:pPr>
              <w:pStyle w:val="754"/>
              <w:jc w:val="center"/>
              <w:spacing w:before="40" w:after="40"/>
              <w:rPr>
                <w:sz w:val="20"/>
                <w:szCs w:val="20"/>
              </w:rPr>
            </w:pPr>
            <w:r>
              <w:rPr>
                <w:sz w:val="20"/>
                <w:szCs w:val="20"/>
              </w:rPr>
              <w:t xml:space="preserve">от 1 до 5</w:t>
            </w:r>
            <w:r>
              <w:rPr>
                <w:sz w:val="20"/>
                <w:szCs w:val="20"/>
              </w:rPr>
            </w:r>
            <w:r>
              <w:rPr>
                <w:sz w:val="20"/>
                <w:szCs w:val="20"/>
              </w:rPr>
            </w:r>
          </w:p>
        </w:tc>
        <w:tc>
          <w:tcPr>
            <w:tcW w:w="881" w:type="pct"/>
            <w:vAlign w:val="top"/>
            <w:textDirection w:val="lrTb"/>
            <w:noWrap w:val="false"/>
          </w:tcPr>
          <w:p>
            <w:pPr>
              <w:pStyle w:val="754"/>
              <w:jc w:val="center"/>
              <w:rPr>
                <w:sz w:val="20"/>
                <w:szCs w:val="20"/>
              </w:rPr>
            </w:pPr>
            <w:r>
              <w:rPr>
                <w:sz w:val="20"/>
                <w:szCs w:val="20"/>
              </w:rPr>
              <w:t xml:space="preserve">0,013%</w:t>
            </w:r>
            <w:r>
              <w:rPr>
                <w:sz w:val="20"/>
                <w:szCs w:val="20"/>
              </w:rPr>
            </w:r>
            <w:r>
              <w:rPr>
                <w:sz w:val="20"/>
                <w:szCs w:val="20"/>
              </w:rPr>
            </w:r>
          </w:p>
        </w:tc>
        <w:tc>
          <w:tcPr>
            <w:gridSpan w:val="2"/>
            <w:tcW w:w="1389"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W w:w="405" w:type="pct"/>
            <w:vAlign w:val="top"/>
            <w:vMerge w:val="continue"/>
            <w:textDirection w:val="lrTb"/>
            <w:noWrap w:val="false"/>
          </w:tcPr>
          <w:p>
            <w:pPr>
              <w:pStyle w:val="754"/>
              <w:jc w:val="center"/>
              <w:spacing w:before="40" w:after="40"/>
              <w:rPr>
                <w:b/>
                <w:bCs/>
                <w:sz w:val="20"/>
                <w:szCs w:val="20"/>
              </w:rPr>
            </w:pPr>
            <w:r>
              <w:rPr>
                <w:b/>
                <w:bCs/>
                <w:sz w:val="20"/>
                <w:szCs w:val="20"/>
              </w:rPr>
            </w:r>
            <w:r>
              <w:rPr>
                <w:b/>
                <w:bCs/>
                <w:sz w:val="20"/>
                <w:szCs w:val="20"/>
              </w:rPr>
            </w:r>
          </w:p>
        </w:tc>
        <w:tc>
          <w:tcPr>
            <w:gridSpan w:val="3"/>
            <w:tcW w:w="1476" w:type="pct"/>
            <w:vAlign w:val="top"/>
            <w:vMerge w:val="continue"/>
            <w:textDirection w:val="lrTb"/>
            <w:noWrap w:val="false"/>
          </w:tcPr>
          <w:p>
            <w:pPr>
              <w:pStyle w:val="754"/>
              <w:jc w:val="both"/>
              <w:spacing w:before="40" w:after="40"/>
              <w:rPr>
                <w:b/>
                <w:bCs/>
                <w:sz w:val="20"/>
                <w:szCs w:val="20"/>
              </w:rPr>
            </w:pPr>
            <w:r>
              <w:rPr>
                <w:b/>
                <w:bCs/>
                <w:sz w:val="20"/>
                <w:szCs w:val="20"/>
              </w:rPr>
            </w:r>
            <w:r>
              <w:rPr>
                <w:b/>
                <w:bCs/>
                <w:sz w:val="20"/>
                <w:szCs w:val="20"/>
              </w:rPr>
            </w:r>
          </w:p>
        </w:tc>
        <w:tc>
          <w:tcPr>
            <w:tcW w:w="849" w:type="pct"/>
            <w:vAlign w:val="top"/>
            <w:textDirection w:val="lrTb"/>
            <w:noWrap w:val="false"/>
          </w:tcPr>
          <w:p>
            <w:pPr>
              <w:pStyle w:val="754"/>
              <w:jc w:val="center"/>
              <w:spacing w:before="40" w:after="40"/>
              <w:rPr>
                <w:sz w:val="20"/>
                <w:szCs w:val="20"/>
              </w:rPr>
            </w:pPr>
            <w:r>
              <w:rPr>
                <w:sz w:val="20"/>
                <w:szCs w:val="20"/>
              </w:rPr>
              <w:t xml:space="preserve">свыше 5</w:t>
            </w:r>
            <w:r>
              <w:rPr>
                <w:sz w:val="20"/>
                <w:szCs w:val="20"/>
              </w:rPr>
            </w:r>
            <w:r>
              <w:rPr>
                <w:sz w:val="20"/>
                <w:szCs w:val="20"/>
              </w:rPr>
            </w:r>
          </w:p>
        </w:tc>
        <w:tc>
          <w:tcPr>
            <w:tcW w:w="881" w:type="pct"/>
            <w:vAlign w:val="top"/>
            <w:textDirection w:val="lrTb"/>
            <w:noWrap w:val="false"/>
          </w:tcPr>
          <w:p>
            <w:pPr>
              <w:pStyle w:val="754"/>
              <w:jc w:val="center"/>
              <w:rPr>
                <w:sz w:val="20"/>
                <w:szCs w:val="20"/>
              </w:rPr>
            </w:pPr>
            <w:r>
              <w:rPr>
                <w:sz w:val="20"/>
                <w:szCs w:val="20"/>
              </w:rPr>
              <w:t xml:space="preserve">0,01%</w:t>
            </w:r>
            <w:r>
              <w:rPr>
                <w:sz w:val="20"/>
                <w:szCs w:val="20"/>
              </w:rPr>
            </w:r>
            <w:r>
              <w:rPr>
                <w:sz w:val="20"/>
                <w:szCs w:val="20"/>
              </w:rPr>
            </w:r>
          </w:p>
        </w:tc>
        <w:tc>
          <w:tcPr>
            <w:gridSpan w:val="2"/>
            <w:tcW w:w="1389"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405" w:type="pct"/>
            <w:vAlign w:val="top"/>
            <w:textDirection w:val="lrTb"/>
            <w:noWrap w:val="false"/>
          </w:tcPr>
          <w:p>
            <w:pPr>
              <w:pStyle w:val="754"/>
              <w:jc w:val="center"/>
              <w:spacing w:before="40" w:after="40"/>
              <w:rPr>
                <w:bCs/>
                <w:sz w:val="20"/>
                <w:szCs w:val="20"/>
                <w:lang w:val="en-US"/>
              </w:rPr>
            </w:pPr>
            <w:r>
              <w:rPr>
                <w:bCs/>
                <w:sz w:val="20"/>
                <w:szCs w:val="20"/>
              </w:rPr>
              <w:t xml:space="preserve">9</w:t>
            </w:r>
            <w:r>
              <w:rPr>
                <w:bCs/>
                <w:sz w:val="20"/>
                <w:szCs w:val="20"/>
              </w:rPr>
              <w:t xml:space="preserve">.2.</w:t>
            </w:r>
            <w:r>
              <w:rPr>
                <w:bCs/>
                <w:sz w:val="20"/>
                <w:szCs w:val="20"/>
                <w:lang w:val="en-US"/>
              </w:rPr>
              <w:t xml:space="preserve">7</w:t>
            </w:r>
            <w:r>
              <w:rPr>
                <w:bCs/>
                <w:sz w:val="20"/>
                <w:szCs w:val="20"/>
              </w:rPr>
              <w:t xml:space="preserve">.3</w:t>
            </w:r>
            <w:r>
              <w:rPr>
                <w:bCs/>
                <w:sz w:val="20"/>
                <w:szCs w:val="20"/>
                <w:lang w:val="en-US"/>
              </w:rPr>
            </w:r>
            <w:r>
              <w:rPr>
                <w:bCs/>
                <w:sz w:val="20"/>
                <w:szCs w:val="20"/>
                <w:lang w:val="en-US"/>
              </w:rPr>
            </w:r>
          </w:p>
        </w:tc>
        <w:tc>
          <w:tcPr>
            <w:gridSpan w:val="3"/>
            <w:tcW w:w="1476" w:type="pct"/>
            <w:vAlign w:val="top"/>
            <w:textDirection w:val="lrTb"/>
            <w:noWrap w:val="false"/>
          </w:tcPr>
          <w:p>
            <w:pPr>
              <w:pStyle w:val="804"/>
              <w:spacing w:after="40"/>
              <w:rPr>
                <w:b/>
                <w:bCs/>
                <w:color w:val="000000"/>
                <w:sz w:val="20"/>
                <w:szCs w:val="20"/>
              </w:rPr>
            </w:pPr>
            <w:r>
              <w:rPr>
                <w:b/>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
                <w:bCs/>
                <w:sz w:val="20"/>
                <w:szCs w:val="20"/>
              </w:rPr>
              <w:t xml:space="preserve">паев инвестиционных фондов</w:t>
            </w:r>
            <w:r>
              <w:rPr>
                <w:b/>
                <w:bCs/>
                <w:color w:val="000000"/>
                <w:sz w:val="20"/>
                <w:szCs w:val="20"/>
              </w:rPr>
            </w:r>
            <w:r>
              <w:rPr>
                <w:b/>
                <w:bCs/>
                <w:color w:val="000000"/>
                <w:sz w:val="20"/>
                <w:szCs w:val="20"/>
              </w:rPr>
            </w:r>
          </w:p>
        </w:tc>
        <w:tc>
          <w:tcPr>
            <w:gridSpan w:val="2"/>
            <w:tcW w:w="1730" w:type="pct"/>
            <w:vAlign w:val="top"/>
            <w:textDirection w:val="lrTb"/>
            <w:noWrap w:val="false"/>
          </w:tcPr>
          <w:p>
            <w:pPr>
              <w:pStyle w:val="804"/>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405" w:type="pct"/>
            <w:vAlign w:val="top"/>
            <w:textDirection w:val="lrTb"/>
            <w:noWrap w:val="false"/>
          </w:tcPr>
          <w:p>
            <w:pPr>
              <w:pStyle w:val="754"/>
              <w:jc w:val="center"/>
              <w:spacing w:before="40" w:after="40"/>
              <w:rPr>
                <w:bCs/>
                <w:sz w:val="20"/>
                <w:szCs w:val="20"/>
              </w:rPr>
            </w:pPr>
            <w:r>
              <w:rPr>
                <w:bCs/>
                <w:sz w:val="20"/>
                <w:szCs w:val="20"/>
                <w:lang w:val="en-US"/>
              </w:rPr>
              <w:t xml:space="preserve">9.2.7.4.</w:t>
            </w:r>
            <w:r>
              <w:rPr>
                <w:bCs/>
                <w:sz w:val="20"/>
                <w:szCs w:val="20"/>
              </w:rPr>
            </w:r>
            <w:r>
              <w:rPr>
                <w:bCs/>
                <w:sz w:val="20"/>
                <w:szCs w:val="20"/>
              </w:rPr>
            </w:r>
          </w:p>
        </w:tc>
        <w:tc>
          <w:tcPr>
            <w:gridSpan w:val="3"/>
            <w:tcW w:w="1476" w:type="pct"/>
            <w:vAlign w:val="top"/>
            <w:textDirection w:val="lrTb"/>
            <w:noWrap w:val="false"/>
          </w:tcPr>
          <w:p>
            <w:pPr>
              <w:pStyle w:val="804"/>
              <w:spacing w:after="40"/>
              <w:rPr>
                <w:b/>
                <w:bCs/>
                <w:color w:val="000000"/>
                <w:sz w:val="20"/>
                <w:szCs w:val="20"/>
              </w:rPr>
            </w:pPr>
            <w:r>
              <w:rPr>
                <w:b/>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
                <w:bCs/>
                <w:color w:val="000000"/>
                <w:sz w:val="20"/>
                <w:szCs w:val="20"/>
              </w:rPr>
            </w:r>
            <w:r>
              <w:rPr>
                <w:b/>
                <w:bCs/>
                <w:color w:val="000000"/>
                <w:sz w:val="20"/>
                <w:szCs w:val="20"/>
              </w:rPr>
            </w:r>
          </w:p>
        </w:tc>
        <w:tc>
          <w:tcPr>
            <w:gridSpan w:val="2"/>
            <w:tcW w:w="1730" w:type="pct"/>
            <w:vAlign w:val="top"/>
            <w:textDirection w:val="lrTb"/>
            <w:noWrap w:val="false"/>
          </w:tcPr>
          <w:p>
            <w:pPr>
              <w:pStyle w:val="804"/>
              <w:jc w:val="both"/>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jc w:val="both"/>
              <w:spacing w:before="40" w:after="40"/>
              <w:rPr>
                <w:bCs/>
                <w:color w:val="000000"/>
              </w:rPr>
            </w:pPr>
            <w:r>
              <w:rPr>
                <w:sz w:val="20"/>
                <w:szCs w:val="20"/>
              </w:rPr>
              <w:t xml:space="preserve">В месяц за инвестиционные паи каждого инвестиционного фонда </w:t>
            </w:r>
            <w:r>
              <w:rPr>
                <w:sz w:val="20"/>
                <w:szCs w:val="20"/>
              </w:rPr>
              <w:br w:type="textWrapping" w:clear="all"/>
            </w:r>
            <w:r>
              <w:rPr>
                <w:sz w:val="20"/>
                <w:szCs w:val="20"/>
              </w:rPr>
              <w:t xml:space="preserve">(вне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405" w:type="pct"/>
            <w:vAlign w:val="top"/>
            <w:textDirection w:val="lrTb"/>
            <w:noWrap w:val="false"/>
          </w:tcPr>
          <w:p>
            <w:pPr>
              <w:pStyle w:val="754"/>
              <w:jc w:val="center"/>
              <w:spacing w:before="40" w:after="40"/>
              <w:rPr>
                <w:bCs/>
                <w:sz w:val="20"/>
                <w:szCs w:val="20"/>
              </w:rPr>
            </w:pPr>
            <w:r>
              <w:rPr>
                <w:bCs/>
                <w:sz w:val="20"/>
                <w:szCs w:val="20"/>
              </w:rPr>
              <w:t xml:space="preserve">9.2.7.5.</w:t>
            </w:r>
            <w:r>
              <w:rPr>
                <w:bCs/>
                <w:sz w:val="20"/>
                <w:szCs w:val="20"/>
              </w:rPr>
            </w:r>
          </w:p>
        </w:tc>
        <w:tc>
          <w:tcPr>
            <w:gridSpan w:val="3"/>
            <w:tcW w:w="1476" w:type="pct"/>
            <w:vAlign w:val="top"/>
            <w:textDirection w:val="lrTb"/>
            <w:noWrap w:val="false"/>
          </w:tcPr>
          <w:p>
            <w:pPr>
              <w:pStyle w:val="804"/>
              <w:spacing w:after="40"/>
              <w:rPr>
                <w:b/>
                <w:bCs/>
                <w:color w:val="000000"/>
                <w:sz w:val="20"/>
                <w:szCs w:val="20"/>
              </w:rPr>
            </w:pPr>
            <w:r>
              <w:rPr>
                <w:b/>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
                <w:bCs/>
                <w:color w:val="000000"/>
                <w:sz w:val="20"/>
                <w:szCs w:val="20"/>
              </w:rPr>
            </w:r>
            <w:r>
              <w:rPr>
                <w:b/>
                <w:bCs/>
                <w:color w:val="000000"/>
                <w:sz w:val="20"/>
                <w:szCs w:val="20"/>
              </w:rPr>
            </w:r>
          </w:p>
        </w:tc>
        <w:tc>
          <w:tcPr>
            <w:gridSpan w:val="2"/>
            <w:tcW w:w="1730" w:type="pct"/>
            <w:vAlign w:val="top"/>
            <w:textDirection w:val="lrTb"/>
            <w:noWrap w:val="false"/>
          </w:tcPr>
          <w:p>
            <w:pPr>
              <w:pStyle w:val="804"/>
              <w:jc w:val="both"/>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1389" w:type="pct"/>
            <w:vAlign w:val="top"/>
            <w:textDirection w:val="lrTb"/>
            <w:noWrap w:val="false"/>
          </w:tcPr>
          <w:p>
            <w:pPr>
              <w:pStyle w:val="804"/>
              <w:jc w:val="both"/>
              <w:spacing w:before="40" w:after="40"/>
              <w:rPr>
                <w:bCs/>
                <w:color w:val="000000"/>
              </w:rPr>
            </w:pPr>
            <w:r>
              <w:rPr>
                <w:sz w:val="20"/>
                <w:szCs w:val="20"/>
              </w:rPr>
              <w:t xml:space="preserve">В месяц за инвестиционные паи</w:t>
            </w:r>
            <w:r>
              <w:rPr>
                <w:sz w:val="20"/>
                <w:szCs w:val="20"/>
              </w:rPr>
              <w:t xml:space="preserve"> каждого инвестиционного фонда </w:t>
            </w:r>
            <w:r>
              <w:rPr>
                <w:sz w:val="20"/>
                <w:szCs w:val="20"/>
              </w:rPr>
              <w:br w:type="textWrapping" w:clear="all"/>
            </w:r>
            <w:r>
              <w:rPr>
                <w:sz w:val="20"/>
                <w:szCs w:val="20"/>
              </w:rPr>
              <w:t xml:space="preserve">(вне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8"/>
            <w:tcW w:w="5000" w:type="pct"/>
            <w:vAlign w:val="center"/>
            <w:textDirection w:val="lrTb"/>
            <w:noWrap w:val="false"/>
          </w:tcPr>
          <w:p>
            <w:pPr>
              <w:pStyle w:val="754"/>
              <w:ind w:right="-471"/>
              <w:jc w:val="center"/>
              <w:spacing w:before="120"/>
              <w:tabs>
                <w:tab w:val="left" w:pos="7920" w:leader="none"/>
              </w:tabs>
              <w:rPr>
                <w:b/>
                <w:bCs/>
              </w:rPr>
            </w:pPr>
            <w:r>
              <w:rPr>
                <w:b/>
                <w:bCs/>
              </w:rPr>
              <w:t xml:space="preserve">9.3. Прием/выдача сертификатов ценных бумаг на/с хранение(я)</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rPr>
                <w:rFonts w:eastAsia="Arial Unicode MS"/>
                <w:b/>
                <w:bCs/>
                <w:sz w:val="20"/>
                <w:szCs w:val="20"/>
              </w:rPr>
            </w:pPr>
            <w:r>
              <w:rPr>
                <w:b/>
                <w:bCs/>
                <w:sz w:val="20"/>
                <w:szCs w:val="20"/>
              </w:rPr>
              <w:t xml:space="preserve">9.3.1.</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Прием сертификатов эмис</w:t>
            </w:r>
            <w:r>
              <w:rPr>
                <w:b/>
                <w:bCs/>
                <w:sz w:val="20"/>
                <w:szCs w:val="20"/>
                <w:lang w:val="en-US"/>
              </w:rPr>
              <w:t xml:space="preserve">c</w:t>
            </w:r>
            <w:r>
              <w:rPr>
                <w:b/>
                <w:bCs/>
                <w:sz w:val="20"/>
                <w:szCs w:val="20"/>
              </w:rPr>
              <w:t xml:space="preserve">ионных  ценных  бумаг</w:t>
            </w:r>
            <w:r>
              <w:rPr>
                <w:b/>
                <w:bCs/>
                <w:sz w:val="20"/>
                <w:szCs w:val="20"/>
              </w:rPr>
            </w:r>
          </w:p>
          <w:p>
            <w:pPr>
              <w:pStyle w:val="754"/>
              <w:rPr>
                <w:b/>
                <w:bCs/>
                <w:sz w:val="20"/>
                <w:szCs w:val="20"/>
              </w:rPr>
            </w:pPr>
            <w:r>
              <w:rPr>
                <w:b/>
                <w:bCs/>
                <w:sz w:val="20"/>
                <w:szCs w:val="20"/>
              </w:rPr>
            </w:r>
            <w:r>
              <w:rPr>
                <w:b/>
                <w:bCs/>
                <w:sz w:val="20"/>
                <w:szCs w:val="20"/>
              </w:rPr>
            </w:r>
          </w:p>
        </w:tc>
        <w:tc>
          <w:tcPr>
            <w:tcW w:w="881" w:type="pct"/>
            <w:vAlign w:val="top"/>
            <w:textDirection w:val="lrTb"/>
            <w:noWrap w:val="false"/>
          </w:tcPr>
          <w:p>
            <w:pPr>
              <w:pStyle w:val="754"/>
              <w:jc w:val="center"/>
              <w:rPr>
                <w:sz w:val="20"/>
                <w:szCs w:val="20"/>
              </w:rPr>
            </w:pPr>
            <w:r>
              <w:rPr>
                <w:sz w:val="20"/>
                <w:szCs w:val="20"/>
                <w:lang w:val="en-US"/>
              </w:rPr>
              <w:t xml:space="preserve">3</w:t>
            </w:r>
            <w:r>
              <w:rPr>
                <w:sz w:val="20"/>
                <w:szCs w:val="20"/>
              </w:rPr>
              <w:t xml:space="preserve">0 руб. за каждый   лист</w:t>
            </w:r>
            <w:r>
              <w:rPr>
                <w:sz w:val="20"/>
                <w:szCs w:val="20"/>
              </w:rPr>
            </w:r>
          </w:p>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c>
          <w:tcPr>
            <w:gridSpan w:val="2"/>
            <w:tcW w:w="1389" w:type="pct"/>
            <w:vAlign w:val="top"/>
            <w:textDirection w:val="lrTb"/>
            <w:noWrap w:val="false"/>
          </w:tcPr>
          <w:p>
            <w:pPr>
              <w:pStyle w:val="754"/>
              <w:ind w:left="-2" w:right="-18"/>
              <w:jc w:val="center"/>
              <w:spacing w:line="240" w:lineRule="atLeast"/>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trPr>
        <w:tc>
          <w:tcPr>
            <w:tcW w:w="405" w:type="pct"/>
            <w:vAlign w:val="top"/>
            <w:textDirection w:val="lrTb"/>
            <w:noWrap w:val="false"/>
          </w:tcPr>
          <w:p>
            <w:pPr>
              <w:pStyle w:val="754"/>
              <w:jc w:val="center"/>
              <w:rPr>
                <w:rFonts w:eastAsia="Arial Unicode MS"/>
                <w:b/>
                <w:bCs/>
                <w:sz w:val="20"/>
                <w:szCs w:val="20"/>
              </w:rPr>
            </w:pPr>
            <w:r>
              <w:rPr>
                <w:b/>
                <w:bCs/>
                <w:sz w:val="20"/>
                <w:szCs w:val="20"/>
              </w:rPr>
              <w:t xml:space="preserve">9.3.2.</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Выдача сертификатов эмиссионных ценных бумаг</w:t>
            </w:r>
            <w:r>
              <w:rPr>
                <w:b/>
                <w:bCs/>
                <w:sz w:val="20"/>
                <w:szCs w:val="20"/>
              </w:rPr>
            </w:r>
          </w:p>
          <w:p>
            <w:pPr>
              <w:pStyle w:val="754"/>
              <w:ind w:left="180"/>
              <w:tabs>
                <w:tab w:val="left" w:pos="540" w:leader="none"/>
              </w:tabs>
              <w:rPr>
                <w:b/>
                <w:bCs/>
                <w:sz w:val="20"/>
                <w:szCs w:val="20"/>
              </w:rPr>
            </w:pPr>
            <w:r>
              <w:rPr>
                <w:b/>
                <w:bCs/>
                <w:sz w:val="20"/>
                <w:szCs w:val="20"/>
              </w:rPr>
            </w:r>
            <w:r>
              <w:rPr>
                <w:b/>
                <w:bCs/>
                <w:sz w:val="20"/>
                <w:szCs w:val="20"/>
              </w:rPr>
            </w:r>
          </w:p>
        </w:tc>
        <w:tc>
          <w:tcPr>
            <w:tcW w:w="881" w:type="pct"/>
            <w:vAlign w:val="top"/>
            <w:textDirection w:val="lrTb"/>
            <w:noWrap w:val="false"/>
          </w:tcPr>
          <w:p>
            <w:pPr>
              <w:pStyle w:val="754"/>
              <w:jc w:val="center"/>
              <w:rPr>
                <w:sz w:val="20"/>
                <w:szCs w:val="20"/>
              </w:rPr>
            </w:pPr>
            <w:r>
              <w:rPr>
                <w:sz w:val="20"/>
                <w:szCs w:val="20"/>
              </w:rPr>
              <w:t xml:space="preserve">10 руб. за каждый   лист</w:t>
            </w:r>
            <w:r>
              <w:rPr>
                <w:sz w:val="20"/>
                <w:szCs w:val="20"/>
              </w:rPr>
            </w:r>
          </w:p>
          <w:p>
            <w:pPr>
              <w:pStyle w:val="754"/>
              <w:jc w:val="center"/>
              <w:rPr>
                <w:sz w:val="20"/>
                <w:szCs w:val="20"/>
              </w:rPr>
            </w:pPr>
            <w:r>
              <w:rPr>
                <w:sz w:val="20"/>
                <w:szCs w:val="20"/>
              </w:rPr>
              <w:t xml:space="preserve">Мин 300 руб.</w:t>
            </w:r>
            <w:r>
              <w:rPr>
                <w:sz w:val="20"/>
                <w:szCs w:val="20"/>
              </w:rPr>
            </w:r>
          </w:p>
        </w:tc>
        <w:tc>
          <w:tcPr>
            <w:gridSpan w:val="2"/>
            <w:tcW w:w="1389" w:type="pct"/>
            <w:vAlign w:val="top"/>
            <w:textDirection w:val="lrTb"/>
            <w:noWrap w:val="false"/>
          </w:tcPr>
          <w:p>
            <w:pPr>
              <w:pStyle w:val="754"/>
              <w:jc w:val="center"/>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05" w:type="pct"/>
            <w:vAlign w:val="top"/>
            <w:textDirection w:val="lrTb"/>
            <w:noWrap w:val="false"/>
          </w:tcPr>
          <w:p>
            <w:pPr>
              <w:pStyle w:val="754"/>
              <w:jc w:val="center"/>
              <w:rPr>
                <w:rFonts w:eastAsia="Arial Unicode MS"/>
                <w:b/>
                <w:bCs/>
                <w:sz w:val="20"/>
                <w:szCs w:val="20"/>
              </w:rPr>
            </w:pPr>
            <w:r>
              <w:rPr>
                <w:b/>
                <w:bCs/>
                <w:sz w:val="20"/>
                <w:szCs w:val="20"/>
              </w:rPr>
              <w:t xml:space="preserve">9.3.3.</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Прием неэмиссионных ценных бумаг с обязательной проверкой у эмитента</w:t>
            </w:r>
            <w:r>
              <w:rPr>
                <w:b/>
                <w:bCs/>
                <w:sz w:val="20"/>
                <w:szCs w:val="20"/>
              </w:rPr>
            </w:r>
          </w:p>
          <w:p>
            <w:pPr>
              <w:pStyle w:val="754"/>
              <w:ind w:left="108"/>
              <w:tabs>
                <w:tab w:val="left" w:pos="540" w:leader="none"/>
              </w:tabs>
              <w:rPr>
                <w:b/>
                <w:bCs/>
                <w:sz w:val="20"/>
                <w:szCs w:val="20"/>
              </w:rPr>
            </w:pPr>
            <w:r>
              <w:rPr>
                <w:b/>
                <w:bCs/>
                <w:sz w:val="20"/>
                <w:szCs w:val="20"/>
              </w:rPr>
            </w:r>
            <w:r>
              <w:rPr>
                <w:b/>
                <w:bCs/>
                <w:sz w:val="20"/>
                <w:szCs w:val="20"/>
              </w:rPr>
            </w:r>
          </w:p>
        </w:tc>
        <w:tc>
          <w:tcPr>
            <w:tcW w:w="881" w:type="pct"/>
            <w:vAlign w:val="top"/>
            <w:textDirection w:val="lrTb"/>
            <w:noWrap w:val="false"/>
          </w:tcPr>
          <w:p>
            <w:pPr>
              <w:pStyle w:val="754"/>
              <w:jc w:val="center"/>
              <w:rPr>
                <w:sz w:val="20"/>
                <w:szCs w:val="20"/>
              </w:rPr>
            </w:pPr>
            <w:r>
              <w:rPr>
                <w:sz w:val="20"/>
                <w:szCs w:val="20"/>
                <w:lang w:val="en-US"/>
              </w:rPr>
              <w:t xml:space="preserve">3</w:t>
            </w:r>
            <w:r>
              <w:rPr>
                <w:sz w:val="20"/>
                <w:szCs w:val="20"/>
              </w:rPr>
              <w:t xml:space="preserve">0 руб. за каждый   лист</w:t>
            </w:r>
            <w:r>
              <w:rPr>
                <w:sz w:val="20"/>
                <w:szCs w:val="20"/>
              </w:rPr>
            </w:r>
          </w:p>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c>
          <w:tcPr>
            <w:gridSpan w:val="2"/>
            <w:tcW w:w="1389" w:type="pct"/>
            <w:vAlign w:val="top"/>
            <w:textDirection w:val="lrTb"/>
            <w:noWrap w:val="false"/>
          </w:tcPr>
          <w:p>
            <w:pPr>
              <w:pStyle w:val="754"/>
              <w:ind w:right="-18"/>
              <w:jc w:val="center"/>
              <w:spacing w:line="240" w:lineRule="atLeast"/>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W w:w="405" w:type="pct"/>
            <w:vAlign w:val="top"/>
            <w:textDirection w:val="lrTb"/>
            <w:noWrap w:val="false"/>
          </w:tcPr>
          <w:p>
            <w:pPr>
              <w:pStyle w:val="754"/>
              <w:jc w:val="center"/>
              <w:rPr>
                <w:rFonts w:eastAsia="Arial Unicode MS"/>
                <w:b/>
                <w:bCs/>
                <w:sz w:val="20"/>
                <w:szCs w:val="20"/>
              </w:rPr>
            </w:pPr>
            <w:r>
              <w:rPr>
                <w:b/>
                <w:bCs/>
                <w:sz w:val="20"/>
                <w:szCs w:val="20"/>
              </w:rPr>
              <w:t xml:space="preserve">9.3.4.</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Выдача неэмиссионных ценных бумаг</w:t>
            </w:r>
            <w:r>
              <w:rPr>
                <w:b/>
                <w:bCs/>
                <w:sz w:val="20"/>
                <w:szCs w:val="20"/>
              </w:rPr>
            </w:r>
          </w:p>
          <w:p>
            <w:pPr>
              <w:pStyle w:val="754"/>
              <w:rPr>
                <w:b/>
                <w:bCs/>
                <w:sz w:val="20"/>
                <w:szCs w:val="20"/>
              </w:rPr>
            </w:pPr>
            <w:r>
              <w:rPr>
                <w:b/>
                <w:bCs/>
                <w:sz w:val="20"/>
                <w:szCs w:val="20"/>
              </w:rPr>
            </w:r>
            <w:r>
              <w:rPr>
                <w:b/>
                <w:bCs/>
                <w:sz w:val="20"/>
                <w:szCs w:val="20"/>
              </w:rPr>
            </w:r>
          </w:p>
        </w:tc>
        <w:tc>
          <w:tcPr>
            <w:tcW w:w="881" w:type="pct"/>
            <w:vAlign w:val="top"/>
            <w:textDirection w:val="lrTb"/>
            <w:noWrap w:val="false"/>
          </w:tcPr>
          <w:p>
            <w:pPr>
              <w:pStyle w:val="754"/>
              <w:jc w:val="center"/>
              <w:rPr>
                <w:sz w:val="20"/>
                <w:szCs w:val="20"/>
              </w:rPr>
            </w:pPr>
            <w:r>
              <w:rPr>
                <w:sz w:val="20"/>
                <w:szCs w:val="20"/>
              </w:rPr>
              <w:t xml:space="preserve">10 руб. за каждый   лист</w:t>
            </w:r>
            <w:r>
              <w:rPr>
                <w:sz w:val="20"/>
                <w:szCs w:val="20"/>
              </w:rPr>
            </w:r>
          </w:p>
          <w:p>
            <w:pPr>
              <w:pStyle w:val="754"/>
              <w:jc w:val="center"/>
              <w:rPr>
                <w:sz w:val="20"/>
                <w:szCs w:val="20"/>
              </w:rPr>
            </w:pPr>
            <w:r>
              <w:rPr>
                <w:sz w:val="20"/>
                <w:szCs w:val="20"/>
              </w:rPr>
              <w:t xml:space="preserve">Мин 300 руб.</w:t>
            </w:r>
            <w:r>
              <w:rPr>
                <w:sz w:val="20"/>
                <w:szCs w:val="20"/>
              </w:rPr>
            </w:r>
          </w:p>
        </w:tc>
        <w:tc>
          <w:tcPr>
            <w:gridSpan w:val="2"/>
            <w:tcW w:w="1389" w:type="pct"/>
            <w:vAlign w:val="top"/>
            <w:textDirection w:val="lrTb"/>
            <w:noWrap w:val="false"/>
          </w:tcPr>
          <w:p>
            <w:pPr>
              <w:pStyle w:val="754"/>
              <w:jc w:val="center"/>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8"/>
            <w:tcW w:w="5000" w:type="pct"/>
            <w:vAlign w:val="center"/>
            <w:textDirection w:val="lrTb"/>
            <w:noWrap w:val="false"/>
          </w:tcPr>
          <w:p>
            <w:pPr>
              <w:pStyle w:val="754"/>
              <w:ind w:right="-471"/>
              <w:jc w:val="center"/>
              <w:spacing w:before="120"/>
              <w:tabs>
                <w:tab w:val="left" w:pos="7920" w:leader="none"/>
              </w:tabs>
              <w:rPr>
                <w:b/>
                <w:bCs/>
              </w:rPr>
            </w:pPr>
            <w:r>
              <w:rPr>
                <w:b/>
                <w:bCs/>
              </w:rPr>
              <w:t xml:space="preserve">9.4. Переводы ценных бумаг и иностранных финансовых  инструментов по счетам депо</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rPr>
              <w:t xml:space="preserve">9.4.1.</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804"/>
              <w:spacing w:before="40" w:after="40"/>
              <w:rPr>
                <w:b/>
                <w:bCs/>
                <w:color w:val="000000"/>
                <w:sz w:val="20"/>
                <w:szCs w:val="20"/>
              </w:rPr>
            </w:pPr>
            <w:r>
              <w:rPr>
                <w:b/>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tcW w:w="881" w:type="pct"/>
            <w:vAlign w:val="top"/>
            <w:textDirection w:val="lrTb"/>
            <w:noWrap w:val="false"/>
          </w:tcPr>
          <w:p>
            <w:pPr>
              <w:pStyle w:val="804"/>
              <w:jc w:val="center"/>
              <w:spacing w:before="40" w:after="40"/>
              <w:rPr>
                <w:bCs/>
                <w:color w:val="000000"/>
                <w:sz w:val="20"/>
                <w:szCs w:val="20"/>
              </w:rPr>
            </w:pPr>
            <w:r>
              <w:rPr>
                <w:sz w:val="20"/>
                <w:szCs w:val="20"/>
              </w:rPr>
              <w:t xml:space="preserve">600 </w:t>
            </w:r>
            <w:r>
              <w:rPr>
                <w:sz w:val="20"/>
                <w:szCs w:val="20"/>
              </w:rPr>
              <w:t xml:space="preserve">руб.</w:t>
            </w:r>
            <w:r>
              <w:rPr>
                <w:bCs/>
                <w:color w:val="000000"/>
                <w:sz w:val="20"/>
                <w:szCs w:val="20"/>
              </w:rPr>
            </w:r>
            <w:r>
              <w:rPr>
                <w:bCs/>
                <w:color w:val="000000"/>
                <w:sz w:val="20"/>
                <w:szCs w:val="20"/>
              </w:rPr>
            </w:r>
          </w:p>
        </w:tc>
        <w:tc>
          <w:tcPr>
            <w:gridSpan w:val="2"/>
            <w:tcW w:w="1389" w:type="pct"/>
            <w:vAlign w:val="top"/>
            <w:textDirection w:val="lrTb"/>
            <w:noWrap w:val="false"/>
          </w:tcPr>
          <w:p>
            <w:pPr>
              <w:pStyle w:val="804"/>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b/>
                <w:bCs/>
                <w:sz w:val="20"/>
                <w:szCs w:val="20"/>
              </w:rPr>
            </w:pPr>
            <w:r>
              <w:rPr>
                <w:b/>
                <w:bCs/>
                <w:sz w:val="20"/>
                <w:szCs w:val="20"/>
              </w:rPr>
              <w:t xml:space="preserve">9.4.2.</w:t>
            </w:r>
            <w:r>
              <w:rPr>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Перевод «поставка/получение против платежа» </w:t>
            </w:r>
            <w:r>
              <w:rPr>
                <w:b/>
                <w:bCs/>
                <w:sz w:val="20"/>
                <w:szCs w:val="20"/>
              </w:rPr>
            </w:r>
          </w:p>
        </w:tc>
        <w:tc>
          <w:tcPr>
            <w:tcW w:w="881" w:type="pct"/>
            <w:vAlign w:val="top"/>
            <w:textDirection w:val="lrTb"/>
            <w:noWrap w:val="false"/>
          </w:tcPr>
          <w:p>
            <w:pPr>
              <w:pStyle w:val="804"/>
              <w:jc w:val="center"/>
              <w:spacing w:before="40" w:after="40"/>
              <w:rPr>
                <w:bCs/>
                <w:color w:val="000000"/>
                <w:sz w:val="20"/>
                <w:szCs w:val="20"/>
              </w:rPr>
            </w:pPr>
            <w:r>
              <w:rPr>
                <w:sz w:val="20"/>
                <w:szCs w:val="20"/>
              </w:rPr>
              <w:t xml:space="preserve">700 </w:t>
            </w:r>
            <w:r>
              <w:rPr>
                <w:sz w:val="20"/>
                <w:szCs w:val="20"/>
              </w:rPr>
              <w:t xml:space="preserve">руб.</w:t>
            </w:r>
            <w:r>
              <w:rPr>
                <w:bCs/>
                <w:color w:val="000000"/>
                <w:sz w:val="20"/>
                <w:szCs w:val="20"/>
              </w:rPr>
            </w:r>
            <w:r>
              <w:rPr>
                <w:bCs/>
                <w:color w:val="000000"/>
                <w:sz w:val="20"/>
                <w:szCs w:val="20"/>
              </w:rPr>
            </w:r>
          </w:p>
        </w:tc>
        <w:tc>
          <w:tcPr>
            <w:gridSpan w:val="2"/>
            <w:tcW w:w="1389" w:type="pct"/>
            <w:vAlign w:val="top"/>
            <w:textDirection w:val="lrTb"/>
            <w:noWrap w:val="false"/>
          </w:tcPr>
          <w:p>
            <w:pPr>
              <w:pStyle w:val="804"/>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tabs>
                <w:tab w:val="left" w:pos="709" w:leader="none"/>
              </w:tabs>
              <w:rPr>
                <w:b/>
                <w:sz w:val="20"/>
                <w:szCs w:val="20"/>
              </w:rPr>
            </w:pPr>
            <w:r>
              <w:rPr>
                <w:b/>
                <w:bCs/>
                <w:sz w:val="20"/>
                <w:szCs w:val="20"/>
              </w:rPr>
              <w:t xml:space="preserve">9.4.3.</w:t>
            </w:r>
            <w:r>
              <w:rPr>
                <w:b/>
                <w:sz w:val="20"/>
                <w:szCs w:val="20"/>
              </w:rPr>
            </w:r>
            <w:r>
              <w:rPr>
                <w:b/>
                <w:sz w:val="20"/>
                <w:szCs w:val="20"/>
              </w:rPr>
            </w:r>
          </w:p>
        </w:tc>
        <w:tc>
          <w:tcPr>
            <w:gridSpan w:val="4"/>
            <w:tcW w:w="2325" w:type="pct"/>
            <w:vAlign w:val="top"/>
            <w:textDirection w:val="lrTb"/>
            <w:noWrap w:val="false"/>
          </w:tcPr>
          <w:p>
            <w:pPr>
              <w:pStyle w:val="754"/>
              <w:tabs>
                <w:tab w:val="left" w:pos="709" w:leader="none"/>
              </w:tabs>
              <w:rPr>
                <w:bCs/>
                <w:sz w:val="20"/>
                <w:szCs w:val="20"/>
              </w:rPr>
            </w:pPr>
            <w:r>
              <w:rPr>
                <w:bCs/>
                <w:sz w:val="20"/>
                <w:szCs w:val="20"/>
              </w:rPr>
              <w:t xml:space="preserve">Зачисление ценных бумаг на счета АО «Россельхозбанк» в реестрах/ на междепозитарные счета </w:t>
              <w:br w:type="textWrapping" w:clear="all"/>
              <w:t xml:space="preserve">АО «Россельхозбанк» в других депозитариях</w:t>
            </w:r>
            <w:r>
              <w:rPr>
                <w:bCs/>
                <w:sz w:val="20"/>
                <w:szCs w:val="20"/>
              </w:rPr>
            </w:r>
          </w:p>
        </w:tc>
        <w:tc>
          <w:tcPr>
            <w:tcW w:w="881" w:type="pct"/>
            <w:vAlign w:val="top"/>
            <w:textDirection w:val="lrTb"/>
            <w:noWrap w:val="false"/>
          </w:tcPr>
          <w:p>
            <w:pPr>
              <w:pStyle w:val="754"/>
              <w:jc w:val="center"/>
              <w:tabs>
                <w:tab w:val="left" w:pos="709" w:leader="none"/>
              </w:tabs>
              <w:rPr>
                <w:bCs/>
                <w:sz w:val="20"/>
                <w:szCs w:val="20"/>
              </w:rPr>
            </w:pPr>
            <w:r>
              <w:rPr>
                <w:bCs/>
                <w:sz w:val="20"/>
                <w:szCs w:val="20"/>
              </w:rPr>
              <w:t xml:space="preserve">Комиссия не взимается</w:t>
            </w:r>
            <w:r>
              <w:rPr>
                <w:bCs/>
                <w:sz w:val="20"/>
                <w:szCs w:val="20"/>
              </w:rPr>
            </w:r>
            <w:r>
              <w:rPr>
                <w:bCs/>
                <w:sz w:val="20"/>
                <w:szCs w:val="20"/>
              </w:rPr>
            </w:r>
          </w:p>
        </w:tc>
        <w:tc>
          <w:tcPr>
            <w:gridSpan w:val="2"/>
            <w:tcW w:w="1389" w:type="pct"/>
            <w:vAlign w:val="top"/>
            <w:textDirection w:val="lrTb"/>
            <w:noWrap w:val="false"/>
          </w:tcPr>
          <w:p>
            <w:pPr>
              <w:pStyle w:val="754"/>
              <w:jc w:val="center"/>
              <w:tabs>
                <w:tab w:val="left" w:pos="709"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b/>
                <w:bCs/>
                <w:sz w:val="20"/>
                <w:szCs w:val="20"/>
              </w:rPr>
            </w:pPr>
            <w:r>
              <w:rPr>
                <w:b/>
                <w:bCs/>
                <w:sz w:val="20"/>
                <w:szCs w:val="20"/>
              </w:rPr>
              <w:t xml:space="preserve">9.4.4.</w:t>
            </w:r>
            <w:r>
              <w:rPr>
                <w:b/>
                <w:bCs/>
                <w:sz w:val="20"/>
                <w:szCs w:val="20"/>
              </w:rPr>
            </w:r>
          </w:p>
        </w:tc>
        <w:tc>
          <w:tcPr>
            <w:gridSpan w:val="4"/>
            <w:shd w:val="clear" w:color="auto" w:fill="ffffff"/>
            <w:tcW w:w="2325" w:type="pct"/>
            <w:vAlign w:val="top"/>
            <w:textDirection w:val="lrTb"/>
            <w:noWrap w:val="false"/>
          </w:tcPr>
          <w:p>
            <w:pPr>
              <w:pStyle w:val="804"/>
              <w:spacing w:after="40"/>
              <w:rPr>
                <w:b/>
                <w:bCs/>
                <w:sz w:val="20"/>
                <w:szCs w:val="20"/>
              </w:rPr>
            </w:pPr>
            <w:r>
              <w:rPr>
                <w:b/>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
                <w:bCs/>
                <w:sz w:val="20"/>
                <w:szCs w:val="20"/>
              </w:rPr>
            </w:r>
          </w:p>
        </w:tc>
        <w:tc>
          <w:tcPr>
            <w:tcW w:w="881" w:type="pct"/>
            <w:vAlign w:val="top"/>
            <w:textDirection w:val="lrTb"/>
            <w:noWrap w:val="false"/>
          </w:tcPr>
          <w:p>
            <w:pPr>
              <w:pStyle w:val="804"/>
              <w:jc w:val="center"/>
              <w:spacing w:before="40" w:after="40"/>
              <w:rPr>
                <w:sz w:val="20"/>
                <w:szCs w:val="20"/>
              </w:rPr>
            </w:pPr>
            <w:r>
              <w:rPr>
                <w:sz w:val="20"/>
                <w:szCs w:val="20"/>
              </w:rPr>
              <w:t xml:space="preserve">6</w:t>
            </w:r>
            <w:r>
              <w:rPr>
                <w:sz w:val="20"/>
                <w:szCs w:val="20"/>
                <w:lang w:val="en-US"/>
              </w:rPr>
              <w:t xml:space="preserve">00 </w:t>
            </w:r>
            <w:r>
              <w:rPr>
                <w:sz w:val="20"/>
                <w:szCs w:val="20"/>
                <w:lang w:val="en-US"/>
              </w:rPr>
              <w:t xml:space="preserve">руб.</w:t>
            </w:r>
            <w:r>
              <w:rPr>
                <w:sz w:val="20"/>
                <w:szCs w:val="20"/>
              </w:rPr>
            </w:r>
            <w:r>
              <w:rPr>
                <w:sz w:val="20"/>
                <w:szCs w:val="20"/>
              </w:rPr>
            </w:r>
          </w:p>
        </w:tc>
        <w:tc>
          <w:tcPr>
            <w:gridSpan w:val="2"/>
            <w:tcW w:w="1389" w:type="pct"/>
            <w:vAlign w:val="top"/>
            <w:textDirection w:val="lrTb"/>
            <w:noWrap w:val="false"/>
          </w:tcPr>
          <w:p>
            <w:pPr>
              <w:pStyle w:val="804"/>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rPr>
                <w:rFonts w:eastAsia="Arial Unicode MS"/>
                <w:b/>
                <w:bCs/>
                <w:sz w:val="20"/>
                <w:szCs w:val="20"/>
              </w:rPr>
            </w:pPr>
            <w:r>
              <w:rPr>
                <w:b/>
                <w:bCs/>
                <w:sz w:val="20"/>
                <w:szCs w:val="20"/>
              </w:rPr>
              <w:t xml:space="preserve">9.4.5.</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Перевод ценных бумаг по р</w:t>
            </w:r>
            <w:r>
              <w:rPr>
                <w:b/>
                <w:bCs/>
                <w:sz w:val="20"/>
                <w:szCs w:val="20"/>
              </w:rPr>
              <w:t xml:space="preserve">азделам счета депо (по счетам  </w:t>
            </w:r>
            <w:r>
              <w:rPr>
                <w:b/>
                <w:bCs/>
                <w:sz w:val="20"/>
                <w:szCs w:val="20"/>
              </w:rPr>
              <w:t xml:space="preserve">АО «Россельхозбанк», открытым в других депозитариях)</w:t>
            </w:r>
            <w:r>
              <w:rPr>
                <w:b/>
                <w:bCs/>
                <w:sz w:val="20"/>
                <w:szCs w:val="20"/>
              </w:rPr>
            </w:r>
          </w:p>
          <w:p>
            <w:pPr>
              <w:pStyle w:val="754"/>
              <w:rPr>
                <w:b/>
                <w:bCs/>
                <w:sz w:val="20"/>
                <w:szCs w:val="20"/>
              </w:rPr>
            </w:pPr>
            <w:r>
              <w:rPr>
                <w:b/>
                <w:bCs/>
                <w:sz w:val="20"/>
                <w:szCs w:val="20"/>
              </w:rPr>
            </w:r>
            <w:r>
              <w:rPr>
                <w:b/>
                <w:bCs/>
                <w:sz w:val="20"/>
                <w:szCs w:val="20"/>
              </w:rPr>
            </w:r>
          </w:p>
        </w:tc>
        <w:tc>
          <w:tcPr>
            <w:tcW w:w="881" w:type="pct"/>
            <w:vAlign w:val="top"/>
            <w:textDirection w:val="lrTb"/>
            <w:noWrap w:val="false"/>
          </w:tcPr>
          <w:p>
            <w:pPr>
              <w:pStyle w:val="754"/>
              <w:jc w:val="center"/>
              <w:rPr>
                <w:sz w:val="20"/>
                <w:szCs w:val="20"/>
              </w:rPr>
            </w:pPr>
            <w:r>
              <w:rPr>
                <w:sz w:val="20"/>
                <w:szCs w:val="20"/>
              </w:rPr>
              <w:t xml:space="preserve">100 руб.</w:t>
            </w:r>
            <w:r>
              <w:rPr>
                <w:sz w:val="20"/>
                <w:szCs w:val="20"/>
              </w:rPr>
            </w:r>
          </w:p>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rPr>
                <w:rFonts w:eastAsia="Arial Unicode MS"/>
                <w:b/>
                <w:bCs/>
                <w:sz w:val="20"/>
                <w:szCs w:val="20"/>
              </w:rPr>
            </w:pPr>
            <w:r>
              <w:rPr>
                <w:b/>
                <w:bCs/>
                <w:sz w:val="20"/>
                <w:szCs w:val="20"/>
              </w:rPr>
              <w:t xml:space="preserve">9.4.6.</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Переводы ценных бумаг по операциям купли-продажи ценных бумаг, совершенным через </w:t>
            </w:r>
            <w:r>
              <w:rPr>
                <w:b/>
                <w:bCs/>
                <w:sz w:val="20"/>
                <w:szCs w:val="20"/>
              </w:rPr>
              <w:t xml:space="preserve">брокера  </w:t>
            </w:r>
            <w:r>
              <w:rPr>
                <w:b/>
                <w:bCs/>
                <w:sz w:val="20"/>
                <w:szCs w:val="20"/>
              </w:rPr>
              <w:t xml:space="preserve">АО «Россельхозбанк»</w:t>
            </w:r>
            <w:r>
              <w:rPr>
                <w:b/>
                <w:bCs/>
                <w:sz w:val="20"/>
                <w:szCs w:val="20"/>
              </w:rPr>
            </w:r>
          </w:p>
          <w:p>
            <w:pPr>
              <w:pStyle w:val="754"/>
              <w:rPr>
                <w:b/>
                <w:bCs/>
                <w:sz w:val="20"/>
                <w:szCs w:val="20"/>
              </w:rPr>
            </w:pPr>
            <w:r>
              <w:rPr>
                <w:b/>
                <w:bCs/>
                <w:sz w:val="20"/>
                <w:szCs w:val="20"/>
              </w:rPr>
            </w:r>
            <w:r>
              <w:rPr>
                <w:b/>
                <w:bCs/>
                <w:sz w:val="20"/>
                <w:szCs w:val="20"/>
              </w:rPr>
            </w:r>
          </w:p>
        </w:tc>
        <w:tc>
          <w:tcPr>
            <w:tcW w:w="881" w:type="pct"/>
            <w:vAlign w:val="top"/>
            <w:textDirection w:val="lrTb"/>
            <w:noWrap w:val="false"/>
          </w:tcPr>
          <w:p>
            <w:pPr>
              <w:pStyle w:val="754"/>
              <w:jc w:val="center"/>
              <w:rPr>
                <w:rFonts w:eastAsia="Arial Unicode MS"/>
              </w:rPr>
            </w:pPr>
            <w:r>
              <w:rPr>
                <w:sz w:val="20"/>
                <w:szCs w:val="20"/>
              </w:rPr>
              <w:t xml:space="preserve">Комиссия не взимается</w:t>
            </w:r>
            <w:r>
              <w:rPr>
                <w:rFonts w:eastAsia="Arial Unicode MS"/>
              </w:rPr>
            </w:r>
            <w:r>
              <w:rPr>
                <w:rFonts w:eastAsia="Arial Unicode MS"/>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rPr>
                <w:rFonts w:eastAsia="Arial Unicode MS"/>
                <w:b/>
                <w:bCs/>
                <w:sz w:val="20"/>
                <w:szCs w:val="20"/>
              </w:rPr>
            </w:pPr>
            <w:r>
              <w:rPr>
                <w:b/>
                <w:bCs/>
                <w:sz w:val="20"/>
                <w:szCs w:val="20"/>
              </w:rPr>
              <w:t xml:space="preserve">9.4.7.</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Изменение места хранения ценных бумаг</w:t>
            </w:r>
            <w:r>
              <w:rPr>
                <w:b/>
                <w:bCs/>
                <w:sz w:val="20"/>
                <w:szCs w:val="20"/>
              </w:rPr>
            </w:r>
          </w:p>
          <w:p>
            <w:pPr>
              <w:pStyle w:val="754"/>
              <w:rPr>
                <w:b/>
                <w:bCs/>
                <w:sz w:val="20"/>
                <w:szCs w:val="20"/>
              </w:rPr>
            </w:pPr>
            <w:r>
              <w:rPr>
                <w:b/>
                <w:bCs/>
                <w:sz w:val="20"/>
                <w:szCs w:val="20"/>
              </w:rPr>
            </w:r>
            <w:r>
              <w:rPr>
                <w:b/>
                <w:bCs/>
                <w:sz w:val="20"/>
                <w:szCs w:val="20"/>
              </w:rPr>
            </w:r>
          </w:p>
        </w:tc>
        <w:tc>
          <w:tcPr>
            <w:tcW w:w="881" w:type="pct"/>
            <w:vAlign w:val="top"/>
            <w:textDirection w:val="lrTb"/>
            <w:noWrap w:val="false"/>
          </w:tcPr>
          <w:p>
            <w:pPr>
              <w:pStyle w:val="754"/>
              <w:jc w:val="center"/>
              <w:rPr>
                <w:sz w:val="20"/>
                <w:szCs w:val="20"/>
              </w:rPr>
            </w:pPr>
            <w:r>
              <w:rPr>
                <w:sz w:val="20"/>
                <w:szCs w:val="20"/>
              </w:rPr>
              <w:t xml:space="preserve">300 руб.</w:t>
            </w:r>
            <w:r>
              <w:rPr>
                <w:sz w:val="20"/>
                <w:szCs w:val="20"/>
              </w:rPr>
            </w:r>
          </w:p>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rPr>
                <w:rFonts w:eastAsia="Arial Unicode MS"/>
                <w:b/>
                <w:bCs/>
                <w:sz w:val="20"/>
                <w:szCs w:val="20"/>
              </w:rPr>
            </w:pPr>
            <w:r>
              <w:rPr>
                <w:b/>
                <w:bCs/>
                <w:sz w:val="20"/>
                <w:szCs w:val="20"/>
              </w:rPr>
              <w:t xml:space="preserve">9.4.8.</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
                <w:bCs/>
                <w:sz w:val="20"/>
                <w:szCs w:val="20"/>
              </w:rPr>
            </w:r>
          </w:p>
        </w:tc>
        <w:tc>
          <w:tcPr>
            <w:tcW w:w="881" w:type="pct"/>
            <w:vAlign w:val="top"/>
            <w:textDirection w:val="lrTb"/>
            <w:noWrap w:val="false"/>
          </w:tcPr>
          <w:p>
            <w:pPr>
              <w:pStyle w:val="754"/>
              <w:jc w:val="center"/>
              <w:rPr>
                <w:sz w:val="20"/>
                <w:szCs w:val="20"/>
              </w:rPr>
            </w:pPr>
            <w:r>
              <w:rPr>
                <w:sz w:val="20"/>
                <w:szCs w:val="20"/>
              </w:rPr>
              <w:t xml:space="preserve">0,1% от суммы сделки </w:t>
            </w:r>
            <w:r>
              <w:rPr>
                <w:sz w:val="20"/>
                <w:szCs w:val="20"/>
              </w:rPr>
            </w:r>
          </w:p>
          <w:p>
            <w:pPr>
              <w:pStyle w:val="754"/>
              <w:ind w:left="-2" w:right="-18"/>
              <w:jc w:val="center"/>
              <w:spacing w:line="240" w:lineRule="atLeast"/>
              <w:tabs>
                <w:tab w:val="left" w:pos="4464" w:leader="none"/>
                <w:tab w:val="left" w:pos="5760" w:leader="none"/>
              </w:tabs>
              <w:rPr>
                <w:sz w:val="20"/>
                <w:szCs w:val="20"/>
              </w:rPr>
            </w:pPr>
            <w:r>
              <w:rPr>
                <w:sz w:val="20"/>
                <w:szCs w:val="20"/>
              </w:rPr>
              <w:t xml:space="preserve">Макс 5000руб.</w:t>
            </w:r>
            <w:r>
              <w:rPr>
                <w:sz w:val="20"/>
                <w:szCs w:val="20"/>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8"/>
            <w:tcW w:w="5000" w:type="pct"/>
            <w:vAlign w:val="center"/>
            <w:textDirection w:val="lrTb"/>
            <w:noWrap w:val="false"/>
          </w:tcPr>
          <w:p>
            <w:pPr>
              <w:pStyle w:val="754"/>
              <w:ind w:right="-471"/>
              <w:jc w:val="center"/>
              <w:spacing w:before="120"/>
              <w:tabs>
                <w:tab w:val="left" w:pos="7920" w:leader="none"/>
              </w:tabs>
              <w:rPr>
                <w:b/>
                <w:bCs/>
              </w:rPr>
            </w:pPr>
            <w:r>
              <w:rPr>
                <w:b/>
                <w:bCs/>
              </w:rPr>
              <w:t xml:space="preserve">9.5. Операции по блокировке</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vMerge w:val="restart"/>
            <w:textDirection w:val="lrTb"/>
            <w:noWrap w:val="false"/>
          </w:tcPr>
          <w:p>
            <w:pPr>
              <w:pStyle w:val="754"/>
              <w:jc w:val="center"/>
              <w:spacing w:before="40" w:after="40"/>
              <w:rPr>
                <w:rFonts w:eastAsia="Arial Unicode MS"/>
                <w:b/>
                <w:bCs/>
                <w:sz w:val="20"/>
                <w:szCs w:val="20"/>
              </w:rPr>
            </w:pPr>
            <w:r>
              <w:rPr>
                <w:b/>
                <w:bCs/>
                <w:sz w:val="20"/>
                <w:szCs w:val="20"/>
              </w:rPr>
              <w:t xml:space="preserve">«</w:t>
            </w:r>
            <w:r>
              <w:rPr>
                <w:b/>
                <w:bCs/>
                <w:sz w:val="20"/>
                <w:szCs w:val="20"/>
                <w:lang w:val="en-US"/>
              </w:rPr>
              <w:t xml:space="preserve">9</w:t>
            </w:r>
            <w:r>
              <w:rPr>
                <w:b/>
                <w:bCs/>
                <w:sz w:val="20"/>
                <w:szCs w:val="20"/>
              </w:rPr>
              <w:t xml:space="preserve">.5.1.</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tabs>
                <w:tab w:val="left" w:pos="290" w:leader="none"/>
              </w:tabs>
              <w:rPr>
                <w:b/>
                <w:bCs/>
                <w:sz w:val="20"/>
                <w:szCs w:val="20"/>
              </w:rPr>
            </w:pPr>
            <w:r>
              <w:rPr>
                <w:b/>
                <w:bCs/>
                <w:sz w:val="20"/>
                <w:szCs w:val="20"/>
              </w:rPr>
              <w:t xml:space="preserve">-</w:t>
              <w:tab/>
              <w:t xml:space="preserve">блокирование, разблокирование ценных бумаг на счете депо по поручению клиента</w:t>
            </w:r>
            <w:r>
              <w:rPr>
                <w:b/>
                <w:bCs/>
                <w:sz w:val="20"/>
                <w:szCs w:val="20"/>
              </w:rPr>
            </w:r>
          </w:p>
        </w:tc>
        <w:tc>
          <w:tcPr>
            <w:tcBorders>
              <w:top w:val="none" w:color="000000" w:sz="4" w:space="0"/>
            </w:tcBorders>
            <w:tcW w:w="881" w:type="pct"/>
            <w:vAlign w:val="top"/>
            <w:vMerge w:val="restart"/>
            <w:textDirection w:val="lrTb"/>
            <w:noWrap w:val="false"/>
          </w:tcPr>
          <w:p>
            <w:pPr>
              <w:pStyle w:val="754"/>
              <w:jc w:val="center"/>
              <w:rPr>
                <w:sz w:val="20"/>
                <w:szCs w:val="20"/>
              </w:rPr>
            </w:pPr>
            <w:r>
              <w:rPr>
                <w:sz w:val="20"/>
                <w:szCs w:val="20"/>
              </w:rPr>
              <w:t xml:space="preserve">.</w:t>
            </w:r>
            <w:r>
              <w:rPr>
                <w:sz w:val="20"/>
                <w:szCs w:val="20"/>
              </w:rPr>
            </w:r>
          </w:p>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p>
            <w:pPr>
              <w:pStyle w:val="754"/>
              <w:jc w:val="center"/>
              <w:rPr>
                <w:sz w:val="20"/>
                <w:szCs w:val="20"/>
              </w:rPr>
            </w:pPr>
            <w:r>
              <w:rPr>
                <w:sz w:val="20"/>
                <w:szCs w:val="20"/>
              </w:rPr>
            </w:r>
            <w:r>
              <w:rPr>
                <w:sz w:val="20"/>
                <w:szCs w:val="20"/>
              </w:rPr>
            </w:r>
          </w:p>
          <w:p>
            <w:pPr>
              <w:pStyle w:val="754"/>
              <w:jc w:val="center"/>
              <w:rPr>
                <w:sz w:val="20"/>
                <w:szCs w:val="20"/>
              </w:rPr>
            </w:pPr>
            <w:r>
              <w:rPr>
                <w:sz w:val="20"/>
                <w:szCs w:val="20"/>
              </w:rPr>
            </w:r>
            <w:r>
              <w:rPr>
                <w:sz w:val="20"/>
                <w:szCs w:val="20"/>
              </w:rPr>
            </w:r>
          </w:p>
          <w:p>
            <w:pPr>
              <w:pStyle w:val="754"/>
              <w:jc w:val="center"/>
              <w:rPr>
                <w:sz w:val="20"/>
                <w:szCs w:val="20"/>
              </w:rPr>
            </w:pPr>
            <w:r>
              <w:rPr>
                <w:sz w:val="20"/>
                <w:szCs w:val="20"/>
              </w:rPr>
            </w:r>
            <w:r>
              <w:rPr>
                <w:sz w:val="20"/>
                <w:szCs w:val="20"/>
              </w:rPr>
            </w:r>
          </w:p>
          <w:p>
            <w:pPr>
              <w:pStyle w:val="754"/>
              <w:jc w:val="center"/>
              <w:rPr>
                <w:sz w:val="20"/>
                <w:szCs w:val="20"/>
              </w:rPr>
            </w:pPr>
            <w:r>
              <w:rPr>
                <w:sz w:val="20"/>
                <w:szCs w:val="20"/>
                <w:lang w:val="en-US"/>
              </w:rPr>
              <w:t xml:space="preserve">3</w:t>
            </w:r>
            <w:r>
              <w:rPr>
                <w:sz w:val="20"/>
                <w:szCs w:val="20"/>
              </w:rPr>
              <w:t xml:space="preserve">000 руб.</w:t>
            </w:r>
            <w:r>
              <w:rPr>
                <w:sz w:val="20"/>
                <w:szCs w:val="20"/>
              </w:rPr>
            </w:r>
          </w:p>
          <w:p>
            <w:pPr>
              <w:pStyle w:val="754"/>
              <w:jc w:val="center"/>
              <w:rPr>
                <w:sz w:val="20"/>
                <w:szCs w:val="20"/>
              </w:rPr>
            </w:pPr>
            <w:r>
              <w:rPr>
                <w:sz w:val="20"/>
                <w:szCs w:val="20"/>
              </w:rPr>
            </w:r>
            <w:r>
              <w:rPr>
                <w:sz w:val="20"/>
                <w:szCs w:val="20"/>
              </w:rPr>
            </w:r>
          </w:p>
          <w:p>
            <w:pPr>
              <w:pStyle w:val="754"/>
              <w:jc w:val="center"/>
              <w:rPr>
                <w:sz w:val="20"/>
                <w:szCs w:val="20"/>
              </w:rPr>
            </w:pPr>
            <w:r>
              <w:rPr>
                <w:sz w:val="20"/>
                <w:szCs w:val="20"/>
              </w:rPr>
            </w:r>
            <w:r>
              <w:rPr>
                <w:sz w:val="20"/>
                <w:szCs w:val="20"/>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vMerge w:val="continue"/>
            <w:textDirection w:val="lrTb"/>
            <w:noWrap w:val="false"/>
          </w:tcPr>
          <w:p>
            <w:pPr>
              <w:pStyle w:val="754"/>
              <w:jc w:val="center"/>
              <w:rPr>
                <w:rFonts w:eastAsia="Arial Unicode MS"/>
                <w:b/>
                <w:bCs/>
                <w:sz w:val="20"/>
                <w:szCs w:val="20"/>
              </w:rPr>
            </w:pP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
                <w:bCs/>
                <w:sz w:val="20"/>
                <w:szCs w:val="20"/>
              </w:rPr>
            </w:r>
            <w:r>
              <w:rPr>
                <w:b/>
                <w:bCs/>
                <w:sz w:val="20"/>
                <w:szCs w:val="20"/>
              </w:rPr>
            </w:r>
          </w:p>
        </w:tc>
        <w:tc>
          <w:tcPr>
            <w:tcW w:w="881"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vMerge w:val="continue"/>
            <w:textDirection w:val="lrTb"/>
            <w:noWrap w:val="false"/>
          </w:tcPr>
          <w:p>
            <w:pPr>
              <w:pStyle w:val="754"/>
              <w:jc w:val="center"/>
              <w:rPr>
                <w:rFonts w:eastAsia="Arial Unicode MS"/>
                <w:b/>
                <w:bCs/>
                <w:sz w:val="20"/>
                <w:szCs w:val="20"/>
              </w:rPr>
            </w:pP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
                <w:bCs/>
                <w:sz w:val="20"/>
                <w:szCs w:val="20"/>
              </w:rPr>
            </w:r>
            <w:r>
              <w:rPr>
                <w:b/>
                <w:bCs/>
                <w:sz w:val="20"/>
                <w:szCs w:val="20"/>
              </w:rPr>
            </w:r>
          </w:p>
        </w:tc>
        <w:tc>
          <w:tcPr>
            <w:tcW w:w="881" w:type="pct"/>
            <w:vAlign w:val="top"/>
            <w:vMerge w:val="continue"/>
            <w:textDirection w:val="lrTb"/>
            <w:noWrap w:val="false"/>
          </w:tcPr>
          <w:p>
            <w:pPr>
              <w:pStyle w:val="754"/>
              <w:ind w:left="-2" w:right="-18"/>
              <w:jc w:val="center"/>
              <w:spacing w:line="240" w:lineRule="atLeast"/>
              <w:tabs>
                <w:tab w:val="left" w:pos="4464" w:leader="none"/>
                <w:tab w:val="left" w:pos="5760" w:leader="none"/>
              </w:tabs>
              <w:rPr>
                <w:sz w:val="20"/>
                <w:szCs w:val="20"/>
              </w:rPr>
            </w:pPr>
            <w:r>
              <w:rPr>
                <w:sz w:val="20"/>
                <w:szCs w:val="20"/>
              </w:rPr>
            </w:r>
            <w:r>
              <w:rPr>
                <w:sz w:val="20"/>
                <w:szCs w:val="20"/>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vMerge w:val="continue"/>
            <w:textDirection w:val="lrTb"/>
            <w:noWrap w:val="false"/>
          </w:tcPr>
          <w:p>
            <w:pPr>
              <w:pStyle w:val="754"/>
              <w:jc w:val="center"/>
              <w:rPr>
                <w:rFonts w:eastAsia="Arial Unicode MS"/>
                <w:b/>
                <w:bCs/>
                <w:sz w:val="20"/>
                <w:szCs w:val="20"/>
              </w:rPr>
            </w:pP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b/>
                <w:bCs/>
                <w:sz w:val="20"/>
                <w:szCs w:val="20"/>
              </w:rPr>
            </w:pPr>
            <w:r>
              <w:rPr>
                <w:b/>
                <w:bCs/>
                <w:sz w:val="20"/>
                <w:szCs w:val="20"/>
              </w:rPr>
              <w:t xml:space="preserve">-</w:t>
              <w:tab/>
              <w:t xml:space="preserve">регистрация уступки прав по договору залога ценных бумаг</w:t>
            </w:r>
            <w:r>
              <w:rPr>
                <w:b/>
                <w:bCs/>
                <w:sz w:val="20"/>
                <w:szCs w:val="20"/>
              </w:rPr>
            </w:r>
            <w:r>
              <w:rPr>
                <w:b/>
                <w:bCs/>
                <w:sz w:val="20"/>
                <w:szCs w:val="20"/>
              </w:rPr>
            </w:r>
          </w:p>
        </w:tc>
        <w:tc>
          <w:tcPr>
            <w:tcW w:w="881" w:type="pct"/>
            <w:vAlign w:val="top"/>
            <w:vMerge w:val="continue"/>
            <w:textDirection w:val="lrTb"/>
            <w:noWrap w:val="false"/>
          </w:tcPr>
          <w:p>
            <w:pPr>
              <w:pStyle w:val="754"/>
              <w:jc w:val="center"/>
              <w:rPr>
                <w:sz w:val="20"/>
                <w:szCs w:val="20"/>
              </w:rPr>
            </w:pPr>
            <w:r>
              <w:rPr>
                <w:sz w:val="20"/>
                <w:szCs w:val="20"/>
              </w:rPr>
            </w:r>
            <w:r>
              <w:rPr>
                <w:sz w:val="20"/>
                <w:szCs w:val="20"/>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vMerge w:val="continue"/>
            <w:textDirection w:val="lrTb"/>
            <w:noWrap w:val="false"/>
          </w:tcPr>
          <w:p>
            <w:pPr>
              <w:pStyle w:val="754"/>
              <w:jc w:val="center"/>
              <w:rPr>
                <w:rFonts w:eastAsia="Arial Unicode MS"/>
                <w:b/>
                <w:bCs/>
                <w:sz w:val="20"/>
                <w:szCs w:val="20"/>
              </w:rPr>
            </w:pP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sz w:val="20"/>
                <w:szCs w:val="20"/>
              </w:rPr>
            </w:pPr>
            <w:r>
              <w:rPr>
                <w:b/>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tcW w:w="881" w:type="pct"/>
            <w:vAlign w:val="top"/>
            <w:vMerge w:val="continue"/>
            <w:textDirection w:val="lrTb"/>
            <w:noWrap w:val="false"/>
          </w:tcPr>
          <w:p>
            <w:pPr>
              <w:pStyle w:val="754"/>
              <w:jc w:val="center"/>
              <w:rPr>
                <w:sz w:val="20"/>
                <w:szCs w:val="20"/>
              </w:rPr>
            </w:pPr>
            <w:r>
              <w:rPr>
                <w:sz w:val="20"/>
                <w:szCs w:val="20"/>
              </w:rPr>
            </w:r>
            <w:r>
              <w:rPr>
                <w:sz w:val="20"/>
                <w:szCs w:val="20"/>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vMerge w:val="continue"/>
            <w:textDirection w:val="lrTb"/>
            <w:noWrap w:val="false"/>
          </w:tcPr>
          <w:p>
            <w:pPr>
              <w:pStyle w:val="754"/>
              <w:jc w:val="center"/>
              <w:rPr>
                <w:rFonts w:eastAsia="Arial Unicode MS"/>
                <w:b/>
                <w:bCs/>
                <w:sz w:val="20"/>
                <w:szCs w:val="20"/>
              </w:rPr>
            </w:pP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rPr>
                <w:sz w:val="20"/>
                <w:szCs w:val="20"/>
              </w:rPr>
            </w:pPr>
            <w:r>
              <w:rPr>
                <w:b/>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tcW w:w="881" w:type="pct"/>
            <w:vAlign w:val="top"/>
            <w:textDirection w:val="lrTb"/>
            <w:noWrap w:val="false"/>
          </w:tcPr>
          <w:p>
            <w:pPr>
              <w:pStyle w:val="754"/>
              <w:jc w:val="center"/>
              <w:rPr>
                <w:rFonts w:eastAsia="Arial Unicode MS"/>
              </w:rPr>
            </w:pPr>
            <w:r>
              <w:rPr>
                <w:sz w:val="20"/>
                <w:szCs w:val="20"/>
              </w:rPr>
              <w:t xml:space="preserve">Комиссия не взимается</w:t>
            </w:r>
            <w:r>
              <w:rPr>
                <w:rFonts w:eastAsia="Arial Unicode MS"/>
              </w:rPr>
            </w:r>
            <w:r>
              <w:rPr>
                <w:rFonts w:eastAsia="Arial Unicode MS"/>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8"/>
            <w:tcW w:w="5000" w:type="pct"/>
            <w:vAlign w:val="center"/>
            <w:textDirection w:val="lrTb"/>
            <w:noWrap w:val="false"/>
          </w:tcPr>
          <w:p>
            <w:pPr>
              <w:pStyle w:val="754"/>
              <w:ind w:right="-471"/>
              <w:jc w:val="center"/>
              <w:spacing w:before="120"/>
              <w:tabs>
                <w:tab w:val="left" w:pos="7920" w:leader="none"/>
              </w:tabs>
              <w:rPr>
                <w:b/>
                <w:bCs/>
              </w:rPr>
            </w:pPr>
            <w:r>
              <w:rPr>
                <w:b/>
                <w:bCs/>
              </w:rPr>
              <w:t xml:space="preserve">9.6. Корпоративные действия</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rPr>
                <w:rFonts w:eastAsia="Arial Unicode MS"/>
                <w:b/>
                <w:bCs/>
                <w:sz w:val="20"/>
                <w:szCs w:val="20"/>
              </w:rPr>
            </w:pPr>
            <w:r>
              <w:rPr>
                <w:b/>
                <w:bCs/>
                <w:sz w:val="20"/>
                <w:szCs w:val="20"/>
              </w:rPr>
              <w:t xml:space="preserve">9.6.1.</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rPr>
                <w:b/>
                <w:bCs/>
                <w:sz w:val="20"/>
                <w:szCs w:val="20"/>
              </w:rPr>
            </w:pPr>
            <w:r>
              <w:rPr>
                <w:b/>
                <w:bCs/>
                <w:sz w:val="20"/>
                <w:szCs w:val="20"/>
              </w:rPr>
              <w:t xml:space="preserve">Извещение о корпоративных действиях эмитентов</w:t>
            </w:r>
            <w:r>
              <w:rPr>
                <w:b/>
                <w:bCs/>
                <w:sz w:val="20"/>
                <w:szCs w:val="20"/>
              </w:rPr>
            </w:r>
          </w:p>
        </w:tc>
        <w:tc>
          <w:tcPr>
            <w:tcW w:w="881" w:type="pct"/>
            <w:vAlign w:val="top"/>
            <w:textDirection w:val="lrTb"/>
            <w:noWrap w:val="false"/>
          </w:tcPr>
          <w:p>
            <w:pPr>
              <w:pStyle w:val="754"/>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rPr>
                <w:rFonts w:eastAsia="Arial Unicode MS"/>
                <w:b/>
                <w:bCs/>
                <w:sz w:val="20"/>
                <w:szCs w:val="20"/>
              </w:rPr>
            </w:pPr>
            <w:r>
              <w:rPr>
                <w:b/>
                <w:bCs/>
                <w:sz w:val="20"/>
                <w:szCs w:val="20"/>
              </w:rPr>
              <w:t xml:space="preserve">9.6.2.</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rPr>
                <w:b/>
                <w:bCs/>
                <w:sz w:val="20"/>
                <w:szCs w:val="20"/>
              </w:rPr>
            </w:pPr>
            <w:r>
              <w:rPr>
                <w:b/>
                <w:bCs/>
                <w:sz w:val="20"/>
                <w:szCs w:val="20"/>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w:t>
            </w:r>
            <w:r>
              <w:rPr>
                <w:b/>
                <w:bCs/>
                <w:sz w:val="20"/>
                <w:szCs w:val="20"/>
              </w:rPr>
              <w:t xml:space="preserve">частие в общих собраниях акционеров по поручению клиента и голосование по доверенности</w:t>
            </w:r>
            <w:r>
              <w:rPr>
                <w:b/>
                <w:bCs/>
                <w:sz w:val="20"/>
                <w:szCs w:val="20"/>
              </w:rPr>
              <w:t xml:space="preserve"> </w:t>
            </w:r>
            <w:r>
              <w:rPr>
                <w:b/>
                <w:bCs/>
                <w:sz w:val="20"/>
                <w:szCs w:val="20"/>
              </w:rPr>
              <w:t xml:space="preserve"> (в том числе иностранных эмитентов ценных бумаг)</w:t>
            </w:r>
            <w:r>
              <w:rPr>
                <w:b/>
                <w:bCs/>
                <w:sz w:val="20"/>
                <w:szCs w:val="20"/>
              </w:rPr>
              <w:t xml:space="preserve">:</w:t>
            </w:r>
            <w:r>
              <w:rPr>
                <w:b/>
                <w:bCs/>
                <w:sz w:val="20"/>
                <w:szCs w:val="20"/>
              </w:rPr>
            </w:r>
          </w:p>
        </w:tc>
        <w:tc>
          <w:tcPr>
            <w:tcW w:w="881" w:type="pct"/>
            <w:vAlign w:val="top"/>
            <w:textDirection w:val="lrTb"/>
            <w:noWrap w:val="false"/>
          </w:tcPr>
          <w:p>
            <w:pPr>
              <w:pStyle w:val="754"/>
              <w:jc w:val="center"/>
              <w:spacing w:before="40"/>
              <w:rPr>
                <w:sz w:val="20"/>
                <w:szCs w:val="20"/>
              </w:rPr>
            </w:pPr>
            <w:r>
              <w:rPr>
                <w:sz w:val="20"/>
                <w:szCs w:val="20"/>
              </w:rPr>
            </w:r>
            <w:r>
              <w:rPr>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sz w:val="20"/>
                <w:szCs w:val="20"/>
              </w:rPr>
            </w:pPr>
            <w:r>
              <w:rPr>
                <w:b/>
                <w:sz w:val="20"/>
                <w:szCs w:val="20"/>
              </w:rPr>
              <w:t xml:space="preserve">- посредством электронного голосования (дистанционное участие)</w:t>
            </w:r>
            <w:r>
              <w:rPr>
                <w:b/>
                <w:sz w:val="20"/>
                <w:szCs w:val="20"/>
              </w:rPr>
            </w:r>
          </w:p>
        </w:tc>
        <w:tc>
          <w:tcPr>
            <w:tcW w:w="881" w:type="pct"/>
            <w:vAlign w:val="top"/>
            <w:textDirection w:val="lrTb"/>
            <w:noWrap w:val="false"/>
          </w:tcPr>
          <w:p>
            <w:pPr>
              <w:pStyle w:val="754"/>
              <w:jc w:val="center"/>
              <w:spacing w:before="40" w:after="40"/>
              <w:rPr>
                <w:sz w:val="20"/>
                <w:szCs w:val="20"/>
              </w:rPr>
            </w:pPr>
            <w:r>
              <w:rPr>
                <w:sz w:val="20"/>
                <w:szCs w:val="20"/>
              </w:rPr>
              <w:t xml:space="preserve">1500 </w:t>
            </w:r>
            <w:r>
              <w:rPr>
                <w:sz w:val="20"/>
                <w:szCs w:val="20"/>
              </w:rPr>
              <w:t xml:space="preserve">руб.</w:t>
            </w:r>
            <w:r>
              <w:rPr>
                <w:sz w:val="20"/>
                <w:szCs w:val="20"/>
              </w:rPr>
            </w:r>
            <w:r>
              <w:rPr>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sz w:val="20"/>
                <w:szCs w:val="20"/>
              </w:rPr>
            </w:pPr>
            <w:r>
              <w:rPr>
                <w:b/>
                <w:sz w:val="20"/>
                <w:szCs w:val="20"/>
              </w:rPr>
              <w:t xml:space="preserve">- личное участие в собрании</w:t>
            </w:r>
            <w:r>
              <w:rPr>
                <w:b/>
                <w:sz w:val="20"/>
                <w:szCs w:val="20"/>
              </w:rPr>
              <w:t xml:space="preserve"> </w:t>
            </w:r>
            <w:r>
              <w:rPr>
                <w:b/>
                <w:sz w:val="20"/>
                <w:szCs w:val="20"/>
              </w:rPr>
              <w:t xml:space="preserve">(личная передача документов или информации о волеизъявлении Депонента)</w:t>
            </w:r>
            <w:r>
              <w:rPr>
                <w:b/>
                <w:sz w:val="20"/>
                <w:szCs w:val="20"/>
              </w:rPr>
            </w:r>
            <w:r>
              <w:rPr>
                <w:b/>
                <w:sz w:val="20"/>
                <w:szCs w:val="20"/>
              </w:rPr>
            </w:r>
          </w:p>
        </w:tc>
        <w:tc>
          <w:tcPr>
            <w:tcW w:w="881" w:type="pct"/>
            <w:vAlign w:val="top"/>
            <w:textDirection w:val="lrTb"/>
            <w:noWrap w:val="false"/>
          </w:tcPr>
          <w:p>
            <w:pPr>
              <w:pStyle w:val="754"/>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w:t>
            </w:r>
            <w:r>
              <w:rPr>
                <w:sz w:val="20"/>
                <w:szCs w:val="20"/>
              </w:rPr>
              <w:t xml:space="preserve">руб.</w:t>
            </w:r>
            <w:r>
              <w:rPr>
                <w:sz w:val="20"/>
                <w:szCs w:val="20"/>
              </w:rPr>
            </w:r>
            <w:r>
              <w:rPr>
                <w:sz w:val="20"/>
                <w:szCs w:val="20"/>
              </w:rPr>
            </w:r>
          </w:p>
        </w:tc>
        <w:tc>
          <w:tcPr>
            <w:gridSpan w:val="2"/>
            <w:tcW w:w="1389" w:type="pct"/>
            <w:vAlign w:val="top"/>
            <w:textDirection w:val="lrTb"/>
            <w:noWrap w:val="false"/>
          </w:tcPr>
          <w:p>
            <w:pPr>
              <w:pStyle w:val="754"/>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lang w:val="en-US"/>
              </w:rPr>
              <w:t xml:space="preserve">9</w:t>
            </w:r>
            <w:r>
              <w:rPr>
                <w:b/>
                <w:bCs/>
                <w:sz w:val="20"/>
                <w:szCs w:val="20"/>
              </w:rPr>
              <w:t xml:space="preserve">.6.3.</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
                <w:bCs/>
                <w:sz w:val="20"/>
                <w:szCs w:val="20"/>
              </w:rPr>
            </w:r>
          </w:p>
        </w:tc>
        <w:tc>
          <w:tcPr>
            <w:tcW w:w="881" w:type="pct"/>
            <w:vAlign w:val="top"/>
            <w:textDirection w:val="lrTb"/>
            <w:noWrap w:val="false"/>
          </w:tcPr>
          <w:p>
            <w:pPr>
              <w:pStyle w:val="754"/>
              <w:jc w:val="center"/>
              <w:spacing w:before="40" w:after="40"/>
              <w:rPr>
                <w:sz w:val="20"/>
                <w:szCs w:val="20"/>
              </w:rPr>
            </w:pPr>
            <w:r>
              <w:rPr>
                <w:sz w:val="20"/>
                <w:szCs w:val="20"/>
              </w:rPr>
              <w:t xml:space="preserve">500 </w:t>
            </w:r>
            <w:r>
              <w:rPr>
                <w:sz w:val="20"/>
                <w:szCs w:val="20"/>
              </w:rPr>
              <w:t xml:space="preserve">руб.</w:t>
            </w:r>
            <w:r>
              <w:rPr>
                <w:sz w:val="20"/>
                <w:szCs w:val="20"/>
              </w:rPr>
            </w:r>
            <w:r>
              <w:rPr>
                <w:sz w:val="20"/>
                <w:szCs w:val="20"/>
              </w:rPr>
            </w:r>
          </w:p>
          <w:p>
            <w:pPr>
              <w:pStyle w:val="754"/>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lang w:val="en-US"/>
              </w:rPr>
              <w:t xml:space="preserve">9</w:t>
            </w:r>
            <w:r>
              <w:rPr>
                <w:b/>
                <w:bCs/>
                <w:sz w:val="20"/>
                <w:szCs w:val="20"/>
              </w:rPr>
              <w:t xml:space="preserve">.6.4.</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Конвертация акций в депозитарные расписки (конвертация акций из депозитарных расписок)</w:t>
            </w:r>
            <w:r>
              <w:rPr>
                <w:b/>
                <w:bCs/>
                <w:sz w:val="20"/>
                <w:szCs w:val="20"/>
              </w:rPr>
            </w:r>
          </w:p>
        </w:tc>
        <w:tc>
          <w:tcPr>
            <w:tcW w:w="881" w:type="pct"/>
            <w:vAlign w:val="top"/>
            <w:textDirection w:val="lrTb"/>
            <w:noWrap w:val="false"/>
          </w:tcPr>
          <w:p>
            <w:pPr>
              <w:pStyle w:val="754"/>
              <w:jc w:val="center"/>
              <w:spacing w:before="40" w:after="40"/>
              <w:rPr>
                <w:sz w:val="20"/>
                <w:szCs w:val="20"/>
              </w:rPr>
            </w:pPr>
            <w:r>
              <w:rPr>
                <w:sz w:val="20"/>
                <w:szCs w:val="20"/>
              </w:rPr>
              <w:t xml:space="preserve">1</w:t>
            </w:r>
            <w:r>
              <w:rPr>
                <w:sz w:val="20"/>
                <w:szCs w:val="20"/>
              </w:rPr>
              <w:t xml:space="preserve"> </w:t>
            </w:r>
            <w:r>
              <w:rPr>
                <w:sz w:val="20"/>
                <w:szCs w:val="20"/>
              </w:rPr>
              <w:t xml:space="preserve">000 </w:t>
            </w:r>
            <w:r>
              <w:rPr>
                <w:sz w:val="20"/>
                <w:szCs w:val="20"/>
              </w:rPr>
              <w:t xml:space="preserve">руб.</w:t>
            </w:r>
            <w:r>
              <w:rPr>
                <w:sz w:val="20"/>
                <w:szCs w:val="20"/>
              </w:rPr>
            </w:r>
            <w:r>
              <w:rPr>
                <w:sz w:val="20"/>
                <w:szCs w:val="20"/>
              </w:rPr>
            </w:r>
          </w:p>
          <w:p>
            <w:pPr>
              <w:pStyle w:val="754"/>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lang w:val="en-US"/>
              </w:rPr>
              <w:t xml:space="preserve">9</w:t>
            </w:r>
            <w:r>
              <w:rPr>
                <w:b/>
                <w:bCs/>
                <w:sz w:val="20"/>
                <w:szCs w:val="20"/>
              </w:rPr>
              <w:t xml:space="preserve">.6.5.</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Зачисление сумм доходов на денежные счета, открытые в АО «Россельхозбанк»</w:t>
            </w:r>
            <w:r>
              <w:rPr>
                <w:b/>
                <w:bCs/>
                <w:sz w:val="20"/>
                <w:szCs w:val="20"/>
              </w:rPr>
            </w:r>
          </w:p>
        </w:tc>
        <w:tc>
          <w:tcPr>
            <w:tcW w:w="881" w:type="pct"/>
            <w:vAlign w:val="top"/>
            <w:textDirection w:val="lrTb"/>
            <w:noWrap w:val="false"/>
          </w:tcPr>
          <w:p>
            <w:pPr>
              <w:pStyle w:val="75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lang w:val="en-US"/>
              </w:rPr>
              <w:t xml:space="preserve">9</w:t>
            </w:r>
            <w:r>
              <w:rPr>
                <w:b/>
                <w:bCs/>
                <w:sz w:val="20"/>
                <w:szCs w:val="20"/>
              </w:rPr>
              <w:t xml:space="preserve">.6.6.</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Перевод сумм доходов на счета, открытые в других банках</w:t>
            </w:r>
            <w:r>
              <w:rPr>
                <w:b/>
                <w:bCs/>
                <w:sz w:val="20"/>
                <w:szCs w:val="20"/>
              </w:rPr>
            </w:r>
          </w:p>
        </w:tc>
        <w:tc>
          <w:tcPr>
            <w:tcW w:w="881" w:type="pct"/>
            <w:vAlign w:val="top"/>
            <w:textDirection w:val="lrTb"/>
            <w:noWrap w:val="false"/>
          </w:tcPr>
          <w:p>
            <w:pPr>
              <w:pStyle w:val="754"/>
              <w:jc w:val="center"/>
              <w:spacing w:before="40" w:after="40"/>
              <w:rPr>
                <w:sz w:val="20"/>
                <w:szCs w:val="20"/>
              </w:rPr>
            </w:pPr>
            <w:r>
              <w:rPr>
                <w:sz w:val="20"/>
                <w:szCs w:val="20"/>
              </w:rPr>
            </w:r>
            <w:r>
              <w:rPr>
                <w:sz w:val="20"/>
                <w:szCs w:val="20"/>
              </w:rPr>
            </w:r>
          </w:p>
        </w:tc>
        <w:tc>
          <w:tcPr>
            <w:gridSpan w:val="2"/>
            <w:tcW w:w="1389" w:type="pct"/>
            <w:vAlign w:val="top"/>
            <w:textDirection w:val="lrTb"/>
            <w:noWrap w:val="false"/>
          </w:tcPr>
          <w:p>
            <w:pPr>
              <w:pStyle w:val="754"/>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rPr>
            </w:pPr>
            <w:r>
              <w:rPr>
                <w:rFonts w:eastAsia="Arial Unicode MS"/>
                <w:b/>
                <w:bCs/>
              </w:rPr>
            </w:r>
            <w:r>
              <w:rPr>
                <w:rFonts w:eastAsia="Arial Unicode MS"/>
                <w:b/>
                <w:bCs/>
              </w:rPr>
            </w:r>
          </w:p>
        </w:tc>
        <w:tc>
          <w:tcPr>
            <w:gridSpan w:val="4"/>
            <w:tcW w:w="2325" w:type="pct"/>
            <w:vAlign w:val="top"/>
            <w:textDirection w:val="lrTb"/>
            <w:noWrap w:val="false"/>
          </w:tcPr>
          <w:p>
            <w:pPr>
              <w:pStyle w:val="754"/>
              <w:jc w:val="both"/>
              <w:spacing w:before="40" w:after="40"/>
              <w:rPr>
                <w:b/>
                <w:sz w:val="20"/>
                <w:szCs w:val="20"/>
              </w:rPr>
            </w:pPr>
            <w:r>
              <w:rPr>
                <w:b/>
                <w:sz w:val="20"/>
                <w:szCs w:val="20"/>
              </w:rPr>
              <w:t xml:space="preserve">- в рублях</w:t>
            </w:r>
            <w:r>
              <w:rPr>
                <w:b/>
                <w:sz w:val="20"/>
                <w:szCs w:val="20"/>
              </w:rPr>
            </w:r>
          </w:p>
        </w:tc>
        <w:tc>
          <w:tcPr>
            <w:tcW w:w="881" w:type="pct"/>
            <w:vAlign w:val="top"/>
            <w:textDirection w:val="lrTb"/>
            <w:noWrap w:val="false"/>
          </w:tcPr>
          <w:p>
            <w:pPr>
              <w:pStyle w:val="754"/>
              <w:jc w:val="center"/>
              <w:spacing w:before="40" w:after="40"/>
              <w:rPr>
                <w:sz w:val="20"/>
                <w:szCs w:val="20"/>
              </w:rPr>
            </w:pPr>
            <w:r>
              <w:rPr>
                <w:sz w:val="20"/>
                <w:szCs w:val="20"/>
              </w:rPr>
              <w:t xml:space="preserve">350</w:t>
            </w:r>
            <w:r>
              <w:rPr>
                <w:sz w:val="20"/>
                <w:szCs w:val="20"/>
              </w:rPr>
              <w:t xml:space="preserve">руб.</w:t>
            </w:r>
            <w:r>
              <w:rPr>
                <w:sz w:val="20"/>
                <w:szCs w:val="20"/>
              </w:rPr>
            </w:r>
            <w:r>
              <w:rPr>
                <w:sz w:val="20"/>
                <w:szCs w:val="20"/>
              </w:rPr>
            </w:r>
          </w:p>
        </w:tc>
        <w:tc>
          <w:tcPr>
            <w:gridSpan w:val="2"/>
            <w:tcW w:w="1389" w:type="pct"/>
            <w:vAlign w:val="top"/>
            <w:textDirection w:val="lrTb"/>
            <w:noWrap w:val="false"/>
          </w:tcPr>
          <w:p>
            <w:pPr>
              <w:pStyle w:val="754"/>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rPr>
            </w:pPr>
            <w:r>
              <w:rPr>
                <w:rFonts w:eastAsia="Arial Unicode MS"/>
                <w:b/>
                <w:bCs/>
              </w:rPr>
            </w:r>
            <w:r>
              <w:rPr>
                <w:rFonts w:eastAsia="Arial Unicode MS"/>
                <w:b/>
                <w:bCs/>
              </w:rPr>
            </w:r>
          </w:p>
        </w:tc>
        <w:tc>
          <w:tcPr>
            <w:gridSpan w:val="4"/>
            <w:tcW w:w="2325" w:type="pct"/>
            <w:vAlign w:val="top"/>
            <w:textDirection w:val="lrTb"/>
            <w:noWrap w:val="false"/>
          </w:tcPr>
          <w:p>
            <w:pPr>
              <w:pStyle w:val="754"/>
              <w:jc w:val="both"/>
              <w:spacing w:before="40" w:after="40"/>
              <w:rPr>
                <w:b/>
                <w:sz w:val="20"/>
                <w:szCs w:val="20"/>
              </w:rPr>
            </w:pPr>
            <w:r>
              <w:rPr>
                <w:b/>
                <w:sz w:val="20"/>
                <w:szCs w:val="20"/>
              </w:rPr>
              <w:t xml:space="preserve">- в иностранной валюте</w:t>
            </w:r>
            <w:r>
              <w:rPr>
                <w:b/>
                <w:sz w:val="20"/>
                <w:szCs w:val="20"/>
              </w:rPr>
            </w:r>
          </w:p>
        </w:tc>
        <w:tc>
          <w:tcPr>
            <w:tcW w:w="881" w:type="pct"/>
            <w:vAlign w:val="top"/>
            <w:textDirection w:val="lrTb"/>
            <w:noWrap w:val="false"/>
          </w:tcPr>
          <w:p>
            <w:pPr>
              <w:pStyle w:val="804"/>
              <w:jc w:val="center"/>
              <w:rPr>
                <w:color w:val="000000"/>
                <w:sz w:val="20"/>
                <w:szCs w:val="20"/>
              </w:rPr>
            </w:pPr>
            <w:r>
              <w:rPr>
                <w:color w:val="000000"/>
                <w:sz w:val="20"/>
                <w:szCs w:val="20"/>
              </w:rPr>
              <w:t xml:space="preserve">2</w:t>
            </w:r>
            <w:r>
              <w:rPr>
                <w:color w:val="000000"/>
                <w:sz w:val="20"/>
                <w:szCs w:val="20"/>
              </w:rPr>
              <w:t xml:space="preserve"> </w:t>
            </w:r>
            <w:r>
              <w:rPr>
                <w:color w:val="000000"/>
                <w:sz w:val="20"/>
                <w:szCs w:val="20"/>
              </w:rPr>
              <w:t xml:space="preserve">000 </w:t>
            </w:r>
            <w:r>
              <w:rPr>
                <w:color w:val="000000"/>
                <w:sz w:val="20"/>
                <w:szCs w:val="20"/>
              </w:rPr>
              <w:t xml:space="preserve">руб.</w:t>
            </w:r>
            <w:r>
              <w:rPr>
                <w:color w:val="000000"/>
                <w:sz w:val="20"/>
                <w:szCs w:val="20"/>
              </w:rPr>
            </w:r>
          </w:p>
          <w:p>
            <w:pPr>
              <w:pStyle w:val="804"/>
              <w:jc w:val="center"/>
              <w:rPr>
                <w:sz w:val="20"/>
                <w:szCs w:val="20"/>
              </w:rPr>
            </w:pPr>
            <w:r>
              <w:rPr>
                <w:sz w:val="20"/>
                <w:szCs w:val="20"/>
              </w:rPr>
              <w:t xml:space="preserve">1000 руб. для номинальных держателей</w:t>
            </w:r>
            <w:r>
              <w:rPr>
                <w:sz w:val="20"/>
                <w:szCs w:val="20"/>
              </w:rPr>
            </w:r>
            <w:r>
              <w:rPr>
                <w:sz w:val="20"/>
                <w:szCs w:val="20"/>
              </w:rPr>
            </w:r>
          </w:p>
        </w:tc>
        <w:tc>
          <w:tcPr>
            <w:gridSpan w:val="2"/>
            <w:tcW w:w="1389" w:type="pct"/>
            <w:vAlign w:val="top"/>
            <w:textDirection w:val="lrTb"/>
            <w:noWrap w:val="false"/>
          </w:tcPr>
          <w:p>
            <w:pPr>
              <w:pStyle w:val="754"/>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trPr>
        <w:tc>
          <w:tcPr>
            <w:tcW w:w="405" w:type="pct"/>
            <w:vAlign w:val="top"/>
            <w:textDirection w:val="lrTb"/>
            <w:noWrap w:val="false"/>
          </w:tcPr>
          <w:p>
            <w:pPr>
              <w:pStyle w:val="754"/>
              <w:jc w:val="center"/>
              <w:spacing w:before="40" w:after="40"/>
              <w:rPr>
                <w:rFonts w:eastAsia="Arial Unicode MS"/>
                <w:b/>
                <w:bCs/>
              </w:rPr>
            </w:pPr>
            <w:r>
              <w:rPr>
                <w:b/>
                <w:bCs/>
                <w:sz w:val="20"/>
                <w:szCs w:val="20"/>
              </w:rPr>
              <w:t xml:space="preserve">9.6.7.</w:t>
            </w:r>
            <w:r>
              <w:rPr>
                <w:rFonts w:eastAsia="Arial Unicode MS"/>
                <w:b/>
                <w:bCs/>
              </w:rPr>
            </w:r>
            <w:r>
              <w:rPr>
                <w:rFonts w:eastAsia="Arial Unicode MS"/>
                <w:b/>
                <w:bCs/>
              </w:rPr>
            </w:r>
          </w:p>
        </w:tc>
        <w:tc>
          <w:tcPr>
            <w:gridSpan w:val="4"/>
            <w:tcW w:w="2325" w:type="pct"/>
            <w:vAlign w:val="top"/>
            <w:textDirection w:val="lrTb"/>
            <w:noWrap w:val="false"/>
          </w:tcPr>
          <w:p>
            <w:pPr>
              <w:pStyle w:val="754"/>
              <w:jc w:val="both"/>
              <w:spacing w:before="40" w:after="40"/>
              <w:rPr>
                <w:b/>
                <w:sz w:val="20"/>
                <w:szCs w:val="20"/>
              </w:rPr>
            </w:pPr>
            <w:r>
              <w:rPr>
                <w:b/>
                <w:bCs/>
                <w:sz w:val="20"/>
                <w:szCs w:val="20"/>
              </w:rPr>
              <w:t xml:space="preserve">Изменение условий или аннуляция поручений клиентов на выплату доходов по ценным бумагам</w:t>
            </w:r>
            <w:r>
              <w:rPr>
                <w:b/>
                <w:sz w:val="20"/>
                <w:szCs w:val="20"/>
              </w:rPr>
            </w:r>
            <w:r>
              <w:rPr>
                <w:b/>
                <w:sz w:val="20"/>
                <w:szCs w:val="20"/>
              </w:rPr>
            </w:r>
          </w:p>
        </w:tc>
        <w:tc>
          <w:tcPr>
            <w:tcW w:w="881" w:type="pct"/>
            <w:vAlign w:val="top"/>
            <w:textDirection w:val="lrTb"/>
            <w:noWrap w:val="false"/>
          </w:tcPr>
          <w:p>
            <w:pPr>
              <w:pStyle w:val="804"/>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gridSpan w:val="2"/>
            <w:tcW w:w="1389" w:type="pct"/>
            <w:vAlign w:val="top"/>
            <w:textDirection w:val="lrTb"/>
            <w:noWrap w:val="false"/>
          </w:tcPr>
          <w:p>
            <w:pPr>
              <w:pStyle w:val="754"/>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8"/>
            <w:tcW w:w="5000" w:type="pct"/>
            <w:vAlign w:val="center"/>
            <w:textDirection w:val="lrTb"/>
            <w:noWrap w:val="false"/>
          </w:tcPr>
          <w:p>
            <w:pPr>
              <w:pStyle w:val="754"/>
              <w:ind w:right="-471"/>
              <w:jc w:val="center"/>
              <w:spacing w:before="120"/>
              <w:tabs>
                <w:tab w:val="left" w:pos="7920" w:leader="none"/>
              </w:tabs>
              <w:rPr>
                <w:b/>
                <w:bCs/>
              </w:rPr>
            </w:pPr>
            <w:r>
              <w:rPr>
                <w:b/>
                <w:bCs/>
              </w:rPr>
              <w:t xml:space="preserve">9.7. Прочие услуги</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rPr>
              <w:t xml:space="preserve">9.7.1.</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Отмена ранее предоставленного поручения</w:t>
            </w:r>
            <w:r>
              <w:rPr>
                <w:b/>
                <w:bCs/>
                <w:sz w:val="20"/>
                <w:szCs w:val="20"/>
              </w:rPr>
            </w:r>
          </w:p>
        </w:tc>
        <w:tc>
          <w:tcPr>
            <w:tcW w:w="881" w:type="pct"/>
            <w:vAlign w:val="top"/>
            <w:textDirection w:val="lrTb"/>
            <w:noWrap w:val="false"/>
          </w:tcPr>
          <w:p>
            <w:pPr>
              <w:pStyle w:val="754"/>
              <w:jc w:val="center"/>
              <w:spacing w:before="40" w:after="40"/>
              <w:rPr>
                <w:sz w:val="20"/>
                <w:szCs w:val="20"/>
              </w:rPr>
            </w:pPr>
            <w:r>
              <w:rPr>
                <w:sz w:val="20"/>
                <w:szCs w:val="20"/>
              </w:rPr>
              <w:t xml:space="preserve">3</w:t>
            </w:r>
            <w:r>
              <w:rPr>
                <w:sz w:val="20"/>
                <w:szCs w:val="20"/>
              </w:rPr>
              <w:t xml:space="preserve">00 руб.</w:t>
            </w:r>
            <w:r>
              <w:rPr>
                <w:sz w:val="20"/>
                <w:szCs w:val="20"/>
              </w:rPr>
              <w:t xml:space="preserve">».</w:t>
            </w:r>
            <w:r>
              <w:rPr>
                <w:sz w:val="20"/>
                <w:szCs w:val="20"/>
              </w:rPr>
            </w:r>
            <w:r>
              <w:rPr>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8"/>
            <w:tcW w:w="5000" w:type="pct"/>
            <w:vAlign w:val="center"/>
            <w:textDirection w:val="lrTb"/>
            <w:noWrap w:val="false"/>
          </w:tcPr>
          <w:p>
            <w:pPr>
              <w:pStyle w:val="754"/>
              <w:ind w:right="-471"/>
              <w:jc w:val="center"/>
              <w:spacing w:before="120"/>
              <w:tabs>
                <w:tab w:val="left" w:pos="7920" w:leader="none"/>
              </w:tabs>
              <w:rPr>
                <w:b/>
                <w:bCs/>
              </w:rPr>
            </w:pPr>
            <w:r>
              <w:rPr>
                <w:b/>
                <w:bCs/>
              </w:rPr>
              <w:t xml:space="preserve">9.8. Информационные услуги</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rPr>
              <w:t xml:space="preserve">9.8.1.</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О</w:t>
            </w:r>
            <w:r>
              <w:rPr>
                <w:b/>
                <w:bCs/>
                <w:sz w:val="20"/>
                <w:szCs w:val="20"/>
              </w:rPr>
              <w:t xml:space="preserve">тчет об исполнении операции по счету депо (после проведения операции)</w:t>
            </w:r>
            <w:r>
              <w:rPr>
                <w:b/>
                <w:bCs/>
                <w:sz w:val="20"/>
                <w:szCs w:val="20"/>
              </w:rPr>
            </w:r>
          </w:p>
        </w:tc>
        <w:tc>
          <w:tcPr>
            <w:tcW w:w="881" w:type="pct"/>
            <w:vAlign w:val="top"/>
            <w:textDirection w:val="lrTb"/>
            <w:noWrap w:val="false"/>
          </w:tcPr>
          <w:p>
            <w:pPr>
              <w:pStyle w:val="754"/>
              <w:jc w:val="center"/>
              <w:spacing w:before="40" w:after="40"/>
              <w:rPr>
                <w:rFonts w:eastAsia="Arial Unicode MS"/>
                <w:sz w:val="20"/>
                <w:szCs w:val="20"/>
                <w:lang w:val="en-US"/>
              </w:rPr>
            </w:pPr>
            <w:r>
              <w:rPr>
                <w:sz w:val="20"/>
                <w:szCs w:val="20"/>
              </w:rPr>
              <w:t xml:space="preserve">Комиссия не взимается</w:t>
            </w:r>
            <w:r>
              <w:rPr>
                <w:rFonts w:eastAsia="Arial Unicode MS"/>
                <w:sz w:val="20"/>
                <w:szCs w:val="20"/>
                <w:lang w:val="en-US"/>
              </w:rPr>
            </w:r>
            <w:r>
              <w:rPr>
                <w:rFonts w:eastAsia="Arial Unicode MS"/>
                <w:sz w:val="20"/>
                <w:szCs w:val="20"/>
                <w:lang w:val="en-US"/>
              </w:rPr>
            </w:r>
          </w:p>
        </w:tc>
        <w:tc>
          <w:tcPr>
            <w:gridSpan w:val="2"/>
            <w:tcW w:w="1389" w:type="pct"/>
            <w:vAlign w:val="top"/>
            <w:textDirection w:val="lrTb"/>
            <w:noWrap w:val="false"/>
          </w:tcPr>
          <w:p>
            <w:pPr>
              <w:pStyle w:val="754"/>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rPr>
              <w:t xml:space="preserve">9.8.2.</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Предоставление расшифровки о расчете комиссии за хранение</w:t>
            </w:r>
            <w:r>
              <w:rPr>
                <w:b/>
                <w:bCs/>
                <w:sz w:val="20"/>
                <w:szCs w:val="20"/>
              </w:rPr>
            </w:r>
          </w:p>
        </w:tc>
        <w:tc>
          <w:tcPr>
            <w:tcW w:w="881" w:type="pct"/>
            <w:vAlign w:val="top"/>
            <w:textDirection w:val="lrTb"/>
            <w:noWrap w:val="false"/>
          </w:tcPr>
          <w:p>
            <w:pPr>
              <w:pStyle w:val="754"/>
              <w:jc w:val="center"/>
              <w:spacing w:before="40" w:after="40"/>
              <w:rPr>
                <w:sz w:val="20"/>
                <w:szCs w:val="20"/>
              </w:rPr>
            </w:pPr>
            <w:r>
              <w:rPr>
                <w:sz w:val="20"/>
                <w:szCs w:val="20"/>
              </w:rPr>
              <w:t xml:space="preserve">1</w:t>
            </w:r>
            <w:r>
              <w:rPr>
                <w:sz w:val="20"/>
                <w:szCs w:val="20"/>
              </w:rPr>
              <w:t xml:space="preserve"> </w:t>
            </w:r>
            <w:r>
              <w:rPr>
                <w:sz w:val="20"/>
                <w:szCs w:val="20"/>
              </w:rPr>
              <w:t xml:space="preserve">000 </w:t>
            </w:r>
            <w:r>
              <w:rPr>
                <w:sz w:val="20"/>
                <w:szCs w:val="20"/>
              </w:rPr>
              <w:t xml:space="preserve">руб.</w:t>
            </w:r>
            <w:r>
              <w:rPr>
                <w:sz w:val="20"/>
                <w:szCs w:val="20"/>
              </w:rPr>
            </w:r>
            <w:r>
              <w:rPr>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rPr>
              <w:t xml:space="preserve">9.8.3.</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
                <w:bCs/>
                <w:sz w:val="20"/>
                <w:szCs w:val="20"/>
              </w:rPr>
            </w:r>
          </w:p>
        </w:tc>
        <w:tc>
          <w:tcPr>
            <w:tcW w:w="881" w:type="pct"/>
            <w:vAlign w:val="top"/>
            <w:textDirection w:val="lrTb"/>
            <w:noWrap w:val="false"/>
          </w:tcPr>
          <w:p>
            <w:pPr>
              <w:pStyle w:val="754"/>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lang w:val="en-US"/>
              </w:rPr>
              <w:t xml:space="preserve">9</w:t>
            </w:r>
            <w:r>
              <w:rPr>
                <w:b/>
                <w:bCs/>
                <w:sz w:val="20"/>
                <w:szCs w:val="20"/>
              </w:rPr>
              <w:t xml:space="preserve">.8.4.</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Ответы на запросы клиентов, связанные с проведением операций, с выдачей исторических справок, подтверждений и пр.:</w:t>
            </w:r>
            <w:r>
              <w:rPr>
                <w:b/>
                <w:bCs/>
                <w:sz w:val="20"/>
                <w:szCs w:val="20"/>
              </w:rPr>
            </w:r>
          </w:p>
        </w:tc>
        <w:tc>
          <w:tcPr>
            <w:tcW w:w="881" w:type="pct"/>
            <w:vAlign w:val="top"/>
            <w:textDirection w:val="lrTb"/>
            <w:noWrap w:val="false"/>
          </w:tcPr>
          <w:p>
            <w:pPr>
              <w:pStyle w:val="754"/>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4"/>
        </w:trPr>
        <w:tc>
          <w:tcPr>
            <w:tcW w:w="405" w:type="pct"/>
            <w:vAlign w:val="top"/>
            <w:textDirection w:val="lrTb"/>
            <w:noWrap w:val="false"/>
          </w:tcPr>
          <w:p>
            <w:pPr>
              <w:jc w:val="center"/>
              <w:spacing w:before="40" w:after="40"/>
              <w:rPr>
                <w:rFonts w:eastAsia="Arial Unicode MS"/>
                <w:b/>
                <w:bCs/>
                <w:sz w:val="20"/>
                <w:szCs w:val="20"/>
              </w:rPr>
            </w:pPr>
            <w:r>
              <w:rPr>
                <w:b/>
                <w:bCs/>
                <w:sz w:val="20"/>
                <w:szCs w:val="20"/>
              </w:rPr>
              <w:t xml:space="preserve">«</w:t>
            </w:r>
            <w:r>
              <w:rPr>
                <w:b/>
                <w:bCs/>
                <w:sz w:val="20"/>
                <w:szCs w:val="20"/>
                <w:lang w:val="en-US"/>
              </w:rPr>
              <w:t xml:space="preserve">9</w:t>
            </w:r>
            <w:r>
              <w:rPr>
                <w:b/>
                <w:bCs/>
                <w:sz w:val="20"/>
                <w:szCs w:val="20"/>
              </w:rPr>
              <w:t xml:space="preserve">.8.4.</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spacing w:before="40" w:after="40"/>
              <w:rPr>
                <w:b/>
                <w:bCs/>
                <w:sz w:val="20"/>
                <w:szCs w:val="20"/>
              </w:rPr>
            </w:pPr>
            <w:r>
              <w:rPr>
                <w:b/>
                <w:bCs/>
                <w:sz w:val="20"/>
                <w:szCs w:val="20"/>
              </w:rPr>
              <w:t xml:space="preserve">Ответы на запросы клиентов, связанные с проведением операций, с выдачей исторических справок, подтверждений и пр.:</w:t>
            </w:r>
            <w:r>
              <w:rPr>
                <w:b/>
                <w:bCs/>
                <w:sz w:val="20"/>
                <w:szCs w:val="20"/>
              </w:rPr>
            </w:r>
            <w:r>
              <w:rPr>
                <w:b/>
                <w:bCs/>
                <w:sz w:val="20"/>
                <w:szCs w:val="20"/>
              </w:rPr>
            </w:r>
          </w:p>
        </w:tc>
        <w:tc>
          <w:tcPr>
            <w:tcW w:w="881" w:type="pct"/>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gridSpan w:val="2"/>
            <w:tcW w:w="1389" w:type="pct"/>
            <w:vAlign w:val="top"/>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spacing w:before="40" w:after="40"/>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trPr>
        <w:tc>
          <w:tcPr>
            <w:tcW w:w="405" w:type="pct"/>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gridSpan w:val="4"/>
            <w:tcW w:w="2325" w:type="pct"/>
            <w:vAlign w:val="top"/>
            <w:textDirection w:val="lrTb"/>
            <w:noWrap w:val="false"/>
          </w:tcPr>
          <w:p>
            <w:pPr>
              <w:spacing w:before="40" w:after="40"/>
              <w:rPr>
                <w:sz w:val="20"/>
                <w:szCs w:val="20"/>
              </w:rPr>
            </w:pPr>
            <w:r>
              <w:rPr>
                <w:b/>
                <w:sz w:val="20"/>
                <w:szCs w:val="20"/>
              </w:rPr>
              <w:t xml:space="preserve">- за период до 1 года</w:t>
            </w:r>
            <w:r>
              <w:rPr>
                <w:sz w:val="20"/>
                <w:szCs w:val="20"/>
              </w:rPr>
            </w:r>
            <w:r>
              <w:rPr>
                <w:sz w:val="20"/>
                <w:szCs w:val="20"/>
              </w:rPr>
            </w:r>
          </w:p>
        </w:tc>
        <w:tc>
          <w:tcPr>
            <w:tcW w:w="881" w:type="pct"/>
            <w:vAlign w:val="top"/>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389" w:type="pct"/>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trPr>
        <w:tc>
          <w:tcPr>
            <w:tcW w:w="405" w:type="pct"/>
            <w:vAlign w:val="top"/>
            <w:textDirection w:val="lrTb"/>
            <w:noWrap w:val="false"/>
          </w:tcPr>
          <w:p>
            <w:pPr>
              <w:pStyle w:val="754"/>
              <w:jc w:val="center"/>
              <w:spacing w:before="40" w:after="40"/>
              <w:rPr>
                <w:rFonts w:eastAsia="Arial Unicode MS"/>
                <w:b/>
                <w:bCs/>
              </w:rPr>
            </w:pPr>
            <w:r>
              <w:rPr>
                <w:rFonts w:eastAsia="Arial Unicode MS"/>
                <w:b/>
                <w:bCs/>
              </w:rPr>
            </w:r>
            <w:r>
              <w:rPr>
                <w:rFonts w:eastAsia="Arial Unicode MS"/>
                <w:b/>
                <w:bCs/>
              </w:rPr>
            </w:r>
          </w:p>
        </w:tc>
        <w:tc>
          <w:tcPr>
            <w:gridSpan w:val="4"/>
            <w:tcW w:w="2325" w:type="pct"/>
            <w:vAlign w:val="top"/>
            <w:textDirection w:val="lrTb"/>
            <w:noWrap w:val="false"/>
          </w:tcPr>
          <w:p>
            <w:pPr>
              <w:pStyle w:val="754"/>
              <w:jc w:val="both"/>
              <w:spacing w:before="40" w:after="40"/>
              <w:rPr>
                <w:b/>
                <w:sz w:val="20"/>
                <w:szCs w:val="20"/>
              </w:rPr>
            </w:pPr>
            <w:r>
              <w:rPr>
                <w:b/>
                <w:sz w:val="20"/>
                <w:szCs w:val="20"/>
              </w:rPr>
              <w:t xml:space="preserve">- за период более 3-х лет</w:t>
            </w:r>
            <w:r>
              <w:rPr>
                <w:b/>
                <w:sz w:val="20"/>
                <w:szCs w:val="20"/>
              </w:rPr>
            </w:r>
          </w:p>
        </w:tc>
        <w:tc>
          <w:tcPr>
            <w:tcW w:w="881" w:type="pct"/>
            <w:vAlign w:val="top"/>
            <w:textDirection w:val="lrTb"/>
            <w:noWrap w:val="false"/>
          </w:tcPr>
          <w:p>
            <w:pPr>
              <w:pStyle w:val="754"/>
              <w:jc w:val="center"/>
              <w:spacing w:before="40" w:after="40"/>
              <w:rPr>
                <w:sz w:val="20"/>
                <w:szCs w:val="20"/>
              </w:rPr>
            </w:pPr>
            <w:r>
              <w:rPr>
                <w:sz w:val="20"/>
                <w:szCs w:val="20"/>
              </w:rPr>
              <w:t xml:space="preserve">5</w:t>
            </w:r>
            <w:r>
              <w:rPr>
                <w:sz w:val="20"/>
                <w:szCs w:val="20"/>
              </w:rPr>
              <w:t xml:space="preserve"> </w:t>
            </w:r>
            <w:r>
              <w:rPr>
                <w:sz w:val="20"/>
                <w:szCs w:val="20"/>
              </w:rPr>
              <w:t xml:space="preserve">00</w:t>
            </w:r>
            <w:r>
              <w:rPr>
                <w:sz w:val="20"/>
                <w:szCs w:val="20"/>
                <w:lang w:val="en-US"/>
              </w:rPr>
              <w:t xml:space="preserve">0</w:t>
            </w:r>
            <w:r>
              <w:rPr>
                <w:sz w:val="20"/>
                <w:szCs w:val="20"/>
              </w:rPr>
              <w:t xml:space="preserve"> </w:t>
            </w:r>
            <w:r>
              <w:rPr>
                <w:sz w:val="20"/>
                <w:szCs w:val="20"/>
              </w:rPr>
              <w:t xml:space="preserve">руб.</w:t>
            </w:r>
            <w:r>
              <w:rPr>
                <w:sz w:val="20"/>
                <w:szCs w:val="20"/>
              </w:rPr>
            </w:r>
            <w:r>
              <w:rPr>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8"/>
        </w:trPr>
        <w:tc>
          <w:tcPr>
            <w:tcW w:w="405" w:type="pct"/>
            <w:vAlign w:val="top"/>
            <w:textDirection w:val="lrTb"/>
            <w:noWrap w:val="false"/>
          </w:tcPr>
          <w:p>
            <w:pPr>
              <w:pStyle w:val="754"/>
              <w:jc w:val="center"/>
              <w:spacing w:before="40" w:after="40"/>
              <w:rPr>
                <w:rFonts w:eastAsia="Arial Unicode MS"/>
                <w:b/>
                <w:bCs/>
                <w:sz w:val="20"/>
                <w:szCs w:val="20"/>
              </w:rPr>
            </w:pPr>
            <w:r>
              <w:rPr>
                <w:b/>
                <w:bCs/>
                <w:sz w:val="20"/>
                <w:szCs w:val="20"/>
                <w:lang w:val="en-US"/>
              </w:rPr>
              <w:t xml:space="preserve">9</w:t>
            </w:r>
            <w:r>
              <w:rPr>
                <w:b/>
                <w:bCs/>
                <w:sz w:val="20"/>
                <w:szCs w:val="20"/>
              </w:rPr>
              <w:t xml:space="preserve">.8.5.</w:t>
            </w:r>
            <w:r>
              <w:rPr>
                <w:rFonts w:eastAsia="Arial Unicode MS"/>
                <w:b/>
                <w:bCs/>
                <w:sz w:val="20"/>
                <w:szCs w:val="20"/>
              </w:rPr>
            </w:r>
            <w:r>
              <w:rPr>
                <w:rFonts w:eastAsia="Arial Unicode MS"/>
                <w:b/>
                <w:bCs/>
                <w:sz w:val="20"/>
                <w:szCs w:val="20"/>
              </w:rPr>
            </w:r>
          </w:p>
        </w:tc>
        <w:tc>
          <w:tcPr>
            <w:gridSpan w:val="4"/>
            <w:tcW w:w="2325" w:type="pct"/>
            <w:vAlign w:val="top"/>
            <w:textDirection w:val="lrTb"/>
            <w:noWrap w:val="false"/>
          </w:tcPr>
          <w:p>
            <w:pPr>
              <w:pStyle w:val="754"/>
              <w:jc w:val="both"/>
              <w:spacing w:before="40" w:after="40"/>
              <w:rPr>
                <w:b/>
                <w:bCs/>
                <w:sz w:val="20"/>
                <w:szCs w:val="20"/>
              </w:rPr>
            </w:pPr>
            <w:r>
              <w:rPr>
                <w:b/>
                <w:bCs/>
                <w:sz w:val="20"/>
                <w:szCs w:val="20"/>
              </w:rPr>
              <w:t xml:space="preserve">Ответ на аудиторский запрос по счету депо Депонента</w:t>
            </w:r>
            <w:r>
              <w:rPr>
                <w:b/>
                <w:bCs/>
                <w:sz w:val="20"/>
                <w:szCs w:val="20"/>
              </w:rPr>
            </w:r>
          </w:p>
        </w:tc>
        <w:tc>
          <w:tcPr>
            <w:tcW w:w="881" w:type="pct"/>
            <w:vAlign w:val="top"/>
            <w:textDirection w:val="lrTb"/>
            <w:noWrap w:val="false"/>
          </w:tcPr>
          <w:p>
            <w:pPr>
              <w:pStyle w:val="754"/>
              <w:jc w:val="center"/>
              <w:spacing w:before="40" w:after="40"/>
              <w:rPr>
                <w:sz w:val="20"/>
                <w:szCs w:val="20"/>
                <w:lang w:val="en-US"/>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w:t>
            </w:r>
            <w:r>
              <w:rPr>
                <w:sz w:val="20"/>
                <w:szCs w:val="20"/>
              </w:rPr>
              <w:t xml:space="preserve">руб.</w:t>
            </w:r>
            <w:r>
              <w:rPr>
                <w:sz w:val="20"/>
                <w:szCs w:val="20"/>
                <w:lang w:val="en-US"/>
              </w:rPr>
            </w:r>
            <w:r>
              <w:rPr>
                <w:sz w:val="20"/>
                <w:szCs w:val="20"/>
                <w:lang w:val="en-US"/>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8"/>
        </w:trPr>
        <w:tc>
          <w:tcPr>
            <w:tcW w:w="405" w:type="pct"/>
            <w:vAlign w:val="top"/>
            <w:textDirection w:val="lrTb"/>
            <w:noWrap w:val="false"/>
          </w:tcPr>
          <w:p>
            <w:pPr>
              <w:pStyle w:val="754"/>
              <w:jc w:val="center"/>
              <w:spacing w:before="40" w:after="40"/>
              <w:rPr>
                <w:b/>
                <w:bCs/>
                <w:sz w:val="20"/>
                <w:szCs w:val="20"/>
              </w:rPr>
            </w:pPr>
            <w:r>
              <w:rPr>
                <w:b/>
                <w:bCs/>
                <w:sz w:val="20"/>
                <w:szCs w:val="20"/>
              </w:rPr>
              <w:t xml:space="preserve">9.8.6.</w:t>
            </w:r>
            <w:r>
              <w:rPr>
                <w:b/>
                <w:bCs/>
                <w:sz w:val="20"/>
                <w:szCs w:val="20"/>
              </w:rPr>
            </w:r>
          </w:p>
        </w:tc>
        <w:tc>
          <w:tcPr>
            <w:gridSpan w:val="4"/>
            <w:tcW w:w="2325" w:type="pct"/>
            <w:vAlign w:val="top"/>
            <w:textDirection w:val="lrTb"/>
            <w:noWrap w:val="false"/>
          </w:tcPr>
          <w:p>
            <w:pPr>
              <w:pStyle w:val="31"/>
              <w:contextualSpacing w:val="0"/>
              <w:ind w:left="-6"/>
              <w:jc w:val="both"/>
              <w:spacing w:before="40" w:after="40"/>
              <w:tabs>
                <w:tab w:val="left" w:pos="1134" w:leader="none"/>
              </w:tabs>
              <w:rPr>
                <w:b/>
                <w:bCs/>
                <w:iCs/>
                <w:sz w:val="20"/>
                <w:szCs w:val="20"/>
              </w:rPr>
            </w:pPr>
            <w:r>
              <w:rPr>
                <w:b/>
                <w:bCs/>
                <w:iCs/>
                <w:sz w:val="20"/>
                <w:szCs w:val="20"/>
              </w:rPr>
              <w:t xml:space="preserve">Предоставление копий поручений,</w:t>
            </w:r>
            <w:r>
              <w:rPr>
                <w:b/>
                <w:bCs/>
                <w:iCs/>
                <w:sz w:val="20"/>
                <w:szCs w:val="20"/>
              </w:rPr>
            </w:r>
            <w:r>
              <w:rPr>
                <w:b/>
                <w:bCs/>
                <w:iCs/>
                <w:sz w:val="20"/>
                <w:szCs w:val="20"/>
              </w:rPr>
            </w:r>
          </w:p>
          <w:p>
            <w:pPr>
              <w:pStyle w:val="31"/>
              <w:ind w:left="-6"/>
              <w:jc w:val="both"/>
              <w:spacing w:before="40" w:after="40"/>
              <w:tabs>
                <w:tab w:val="left" w:pos="1134" w:leader="none"/>
              </w:tabs>
              <w:rPr>
                <w:b/>
                <w:bCs/>
                <w:iCs/>
                <w:sz w:val="20"/>
                <w:szCs w:val="20"/>
              </w:rPr>
            </w:pPr>
            <w:r>
              <w:rPr>
                <w:b/>
                <w:bCs/>
                <w:iCs/>
                <w:sz w:val="20"/>
                <w:szCs w:val="20"/>
              </w:rPr>
              <w:t xml:space="preserve">приложений, договоров и других документов (за исключением документов, указанных в п. 9.8.7 Тарифов) по запросу Депонента</w:t>
            </w:r>
            <w:r>
              <w:rPr>
                <w:b/>
                <w:bCs/>
                <w:iCs/>
                <w:sz w:val="20"/>
                <w:szCs w:val="20"/>
              </w:rPr>
            </w:r>
            <w:r>
              <w:rPr>
                <w:b/>
                <w:bCs/>
                <w:iCs/>
                <w:sz w:val="20"/>
                <w:szCs w:val="20"/>
              </w:rPr>
            </w:r>
          </w:p>
        </w:tc>
        <w:tc>
          <w:tcPr>
            <w:tcW w:w="881" w:type="pct"/>
            <w:vAlign w:val="top"/>
            <w:textDirection w:val="lrTb"/>
            <w:noWrap w:val="false"/>
          </w:tcPr>
          <w:p>
            <w:pPr>
              <w:pStyle w:val="3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31"/>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gridSpan w:val="2"/>
            <w:tcW w:w="1389" w:type="pct"/>
            <w:vAlign w:val="top"/>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rPr>
          <w:trHeight w:val="508"/>
        </w:trPr>
        <w:tc>
          <w:tcPr>
            <w:tcW w:w="405" w:type="pct"/>
            <w:vAlign w:val="top"/>
            <w:vMerge w:val="restart"/>
            <w:textDirection w:val="lrTb"/>
            <w:noWrap w:val="false"/>
          </w:tcPr>
          <w:p>
            <w:pPr>
              <w:pStyle w:val="31"/>
              <w:contextualSpacing w:val="0"/>
              <w:ind w:left="164"/>
              <w:spacing w:before="40" w:after="40"/>
              <w:tabs>
                <w:tab w:val="left" w:pos="1134" w:leader="none"/>
              </w:tabs>
              <w:rPr>
                <w:b/>
                <w:bCs/>
                <w:iCs/>
                <w:sz w:val="20"/>
                <w:szCs w:val="20"/>
              </w:rPr>
            </w:pPr>
            <w:r>
              <w:rPr>
                <w:b/>
                <w:bCs/>
                <w:iCs/>
                <w:sz w:val="20"/>
                <w:szCs w:val="20"/>
              </w:rPr>
              <w:t xml:space="preserve">«</w:t>
            </w:r>
            <w:r>
              <w:rPr>
                <w:b/>
                <w:bCs/>
                <w:iCs/>
                <w:sz w:val="20"/>
                <w:szCs w:val="20"/>
                <w:lang w:val="en-US"/>
              </w:rPr>
              <w:t xml:space="preserve">9</w:t>
            </w:r>
            <w:r>
              <w:rPr>
                <w:b/>
                <w:bCs/>
                <w:iCs/>
                <w:sz w:val="20"/>
                <w:szCs w:val="20"/>
              </w:rPr>
              <w:t xml:space="preserve">.8.7.</w:t>
            </w:r>
            <w:r>
              <w:rPr>
                <w:b/>
                <w:bCs/>
                <w:iCs/>
                <w:sz w:val="20"/>
                <w:szCs w:val="20"/>
              </w:rPr>
            </w:r>
            <w:r>
              <w:rPr>
                <w:b/>
                <w:bCs/>
                <w:iCs/>
                <w:sz w:val="20"/>
                <w:szCs w:val="20"/>
              </w:rPr>
            </w:r>
          </w:p>
        </w:tc>
        <w:tc>
          <w:tcPr>
            <w:gridSpan w:val="4"/>
            <w:tcW w:w="2325" w:type="pct"/>
            <w:vAlign w:val="top"/>
            <w:vMerge w:val="restart"/>
            <w:textDirection w:val="lrTb"/>
            <w:noWrap w:val="false"/>
          </w:tcPr>
          <w:p>
            <w:pPr>
              <w:pStyle w:val="31"/>
              <w:contextualSpacing w:val="0"/>
              <w:ind w:left="-6"/>
              <w:jc w:val="both"/>
              <w:spacing w:before="40" w:after="40"/>
              <w:tabs>
                <w:tab w:val="left" w:pos="0" w:leader="none"/>
              </w:tabs>
              <w:rPr>
                <w:b/>
                <w:bCs/>
                <w:iCs/>
                <w:sz w:val="20"/>
                <w:szCs w:val="20"/>
              </w:rPr>
            </w:pPr>
            <w:r>
              <w:rPr>
                <w:b/>
                <w:bCs/>
                <w:iCs/>
                <w:sz w:val="20"/>
                <w:szCs w:val="20"/>
              </w:rPr>
              <w:t xml:space="preserve">Предоставление отчетов и выписок со счета депо по запросу Депонента</w:t>
            </w:r>
            <w:r>
              <w:rPr>
                <w:b/>
                <w:bCs/>
                <w:iCs/>
                <w:sz w:val="20"/>
                <w:szCs w:val="20"/>
              </w:rPr>
              <w:t xml:space="preserve"> (за исключением документов, указанных в </w:t>
            </w:r>
            <w:r>
              <w:rPr>
                <w:b/>
                <w:bCs/>
                <w:iCs/>
                <w:sz w:val="20"/>
                <w:szCs w:val="20"/>
              </w:rPr>
              <w:t xml:space="preserve">п.</w:t>
            </w:r>
            <w:r>
              <w:rPr>
                <w:b/>
                <w:bCs/>
                <w:iCs/>
                <w:sz w:val="20"/>
                <w:szCs w:val="20"/>
              </w:rPr>
              <w:t xml:space="preserve">п</w:t>
            </w:r>
            <w:r>
              <w:rPr>
                <w:b/>
                <w:bCs/>
                <w:iCs/>
                <w:sz w:val="20"/>
                <w:szCs w:val="20"/>
              </w:rPr>
              <w:t xml:space="preserve">.</w:t>
            </w:r>
            <w:r>
              <w:rPr>
                <w:b/>
                <w:bCs/>
                <w:iCs/>
                <w:sz w:val="20"/>
                <w:szCs w:val="20"/>
              </w:rPr>
              <w:t xml:space="preserve"> 9.8.1</w:t>
            </w:r>
            <w:r>
              <w:rPr>
                <w:b/>
                <w:bCs/>
                <w:iCs/>
                <w:sz w:val="20"/>
                <w:szCs w:val="20"/>
              </w:rPr>
              <w:t xml:space="preserve">, 9.8.4</w:t>
            </w:r>
            <w:r>
              <w:rPr>
                <w:b/>
                <w:bCs/>
                <w:iCs/>
                <w:sz w:val="20"/>
                <w:szCs w:val="20"/>
              </w:rPr>
              <w:t xml:space="preserve"> Тарифов)</w:t>
            </w:r>
            <w:r>
              <w:rPr>
                <w:b/>
                <w:bCs/>
                <w:iCs/>
                <w:sz w:val="20"/>
                <w:szCs w:val="20"/>
              </w:rPr>
            </w:r>
            <w:r>
              <w:rPr>
                <w:b/>
                <w:bCs/>
                <w:iCs/>
                <w:sz w:val="20"/>
                <w:szCs w:val="20"/>
              </w:rPr>
            </w:r>
          </w:p>
        </w:tc>
        <w:tc>
          <w:tcPr>
            <w:tcW w:w="881" w:type="pct"/>
            <w:vAlign w:val="top"/>
            <w:vMerge w:val="restart"/>
            <w:textDirection w:val="lrTb"/>
            <w:noWrap w:val="false"/>
          </w:tcPr>
          <w:p>
            <w:pPr>
              <w:pStyle w:val="3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t xml:space="preserve">»</w:t>
            </w:r>
            <w:r>
              <w:rPr>
                <w:b/>
                <w:bCs/>
                <w:iCs/>
                <w:sz w:val="20"/>
                <w:szCs w:val="20"/>
              </w:rPr>
            </w:r>
            <w:r>
              <w:rPr>
                <w:b/>
                <w:bCs/>
                <w:iCs/>
                <w:sz w:val="20"/>
                <w:szCs w:val="20"/>
              </w:rPr>
            </w:r>
          </w:p>
        </w:tc>
        <w:tc>
          <w:tcPr>
            <w:gridSpan w:val="2"/>
            <w:tcW w:w="1389" w:type="pct"/>
            <w:vAlign w:val="top"/>
            <w:vMerge w:val="restart"/>
            <w:textDirection w:val="lrTb"/>
            <w:noWrap w:val="false"/>
          </w:tcPr>
          <w:p>
            <w:pPr>
              <w:pStyle w:val="754"/>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rPr>
          <w:trHeight w:val="345"/>
        </w:trPr>
        <w:tc>
          <w:tcPr>
            <w:gridSpan w:val="8"/>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754"/>
              <w:jc w:val="center"/>
              <w:rPr>
                <w:b/>
                <w:bCs/>
              </w:rPr>
            </w:pPr>
            <w:r>
              <w:rPr>
                <w:b/>
                <w:bCs/>
              </w:rPr>
            </w:r>
            <w:r>
              <w:rPr>
                <w:b/>
                <w:bCs/>
              </w:rPr>
            </w:r>
          </w:p>
          <w:p>
            <w:pPr>
              <w:pStyle w:val="754"/>
              <w:jc w:val="center"/>
            </w:pPr>
            <w:r>
              <w:rPr>
                <w:b/>
                <w:bCs/>
              </w:rPr>
              <w:t xml:space="preserve">10. Услуги платежного агента (при обслуживании эмитентов облигаций)</w:t>
            </w:r>
            <w:r/>
          </w:p>
        </w:tc>
      </w:tr>
      <w:tr>
        <w:tblPrEx/>
        <w:trPr/>
        <w:tc>
          <w:tcPr>
            <w:gridSpan w:val="2"/>
            <w:tcBorders>
              <w:top w:val="single" w:color="000000" w:sz="4" w:space="0"/>
              <w:left w:val="single" w:color="000000" w:sz="4" w:space="0"/>
              <w:bottom w:val="single" w:color="000000" w:sz="4" w:space="0"/>
              <w:right w:val="single" w:color="000000" w:sz="4" w:space="0"/>
            </w:tcBorders>
            <w:tcW w:w="520" w:type="pct"/>
            <w:vAlign w:val="top"/>
            <w:textDirection w:val="lrTb"/>
            <w:noWrap w:val="false"/>
          </w:tcPr>
          <w:p>
            <w:pPr>
              <w:pStyle w:val="754"/>
              <w:jc w:val="center"/>
              <w:rPr>
                <w:b/>
                <w:bCs/>
                <w:sz w:val="22"/>
                <w:szCs w:val="22"/>
              </w:rPr>
            </w:pPr>
            <w:r>
              <w:rPr>
                <w:b/>
                <w:bCs/>
                <w:sz w:val="22"/>
                <w:szCs w:val="22"/>
              </w:rPr>
              <w:t xml:space="preserve">10.1.</w:t>
            </w:r>
            <w:r>
              <w:rPr>
                <w:b/>
                <w:bCs/>
                <w:sz w:val="22"/>
                <w:szCs w:val="22"/>
              </w:rPr>
            </w:r>
          </w:p>
        </w:tc>
        <w:tc>
          <w:tcPr>
            <w:gridSpan w:val="3"/>
            <w:tcBorders>
              <w:top w:val="single" w:color="000000" w:sz="4" w:space="0"/>
              <w:left w:val="single" w:color="000000" w:sz="4" w:space="0"/>
              <w:bottom w:val="single" w:color="000000" w:sz="4" w:space="0"/>
              <w:right w:val="single" w:color="000000" w:sz="4" w:space="0"/>
            </w:tcBorders>
            <w:tcW w:w="2210" w:type="pct"/>
            <w:vAlign w:val="top"/>
            <w:textDirection w:val="lrTb"/>
            <w:noWrap w:val="false"/>
          </w:tcPr>
          <w:p>
            <w:pPr>
              <w:pStyle w:val="754"/>
              <w:jc w:val="center"/>
              <w:rPr>
                <w:b/>
                <w:bCs/>
                <w:sz w:val="22"/>
                <w:szCs w:val="22"/>
              </w:rPr>
            </w:pPr>
            <w:r>
              <w:rPr>
                <w:b/>
                <w:bCs/>
                <w:sz w:val="22"/>
                <w:szCs w:val="22"/>
              </w:rPr>
              <w:t xml:space="preserve">Ставки вознаграждения по видам облигаций</w:t>
            </w:r>
            <w:r>
              <w:rPr>
                <w:b/>
                <w:bCs/>
                <w:sz w:val="22"/>
                <w:szCs w:val="22"/>
              </w:rPr>
            </w:r>
          </w:p>
          <w:p>
            <w:pPr>
              <w:pStyle w:val="754"/>
              <w:jc w:val="center"/>
              <w:rPr>
                <w:b/>
                <w:bCs/>
                <w:sz w:val="22"/>
                <w:szCs w:val="22"/>
              </w:rPr>
            </w:pPr>
            <w:r>
              <w:rPr>
                <w:b/>
                <w:bCs/>
                <w:sz w:val="22"/>
                <w:szCs w:val="22"/>
              </w:rPr>
              <w:t xml:space="preserve">(в процентах от </w:t>
            </w:r>
            <w:r>
              <w:rPr>
                <w:b/>
                <w:bCs/>
                <w:iCs/>
                <w:sz w:val="22"/>
                <w:szCs w:val="22"/>
              </w:rPr>
              <w:t xml:space="preserve">суммы к распределению</w:t>
            </w:r>
            <w:r>
              <w:rPr>
                <w:b/>
                <w:bCs/>
                <w:sz w:val="22"/>
                <w:szCs w:val="22"/>
              </w:rPr>
              <w:t xml:space="preserve">)</w:t>
            </w:r>
            <w:r>
              <w:rPr>
                <w:b/>
                <w:bCs/>
                <w:sz w:val="22"/>
                <w:szCs w:val="22"/>
              </w:rPr>
            </w:r>
          </w:p>
          <w:p>
            <w:pPr>
              <w:pStyle w:val="754"/>
              <w:jc w:val="center"/>
              <w:rPr>
                <w:rFonts w:eastAsia="Arial Unicode MS"/>
                <w:b/>
                <w:bCs/>
                <w:sz w:val="22"/>
                <w:szCs w:val="22"/>
              </w:rPr>
            </w:pPr>
            <w:r>
              <w:rPr>
                <w:rFonts w:eastAsia="Arial Unicode MS"/>
                <w:b/>
                <w:bCs/>
                <w:sz w:val="22"/>
                <w:szCs w:val="22"/>
              </w:rPr>
            </w:r>
            <w:r>
              <w:rPr>
                <w:rFonts w:eastAsia="Arial Unicode MS"/>
                <w:b/>
                <w:bCs/>
                <w:sz w:val="22"/>
                <w:szCs w:val="22"/>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jc w:val="center"/>
              <w:rPr>
                <w:rFonts w:eastAsia="Arial Unicode MS"/>
                <w:sz w:val="22"/>
                <w:szCs w:val="22"/>
              </w:rPr>
            </w:pPr>
            <w:r>
              <w:rPr>
                <w:b/>
                <w:bCs/>
                <w:sz w:val="22"/>
                <w:szCs w:val="22"/>
              </w:rPr>
              <w:t xml:space="preserve">Ставка вознаграждения  (% от суммы к распределению)</w:t>
            </w:r>
            <w:r>
              <w:rPr>
                <w:rFonts w:eastAsia="Arial Unicode MS"/>
                <w:sz w:val="22"/>
                <w:szCs w:val="22"/>
              </w:rPr>
            </w:r>
            <w:r>
              <w:rPr>
                <w:rFonts w:eastAsia="Arial Unicode MS"/>
                <w:sz w:val="22"/>
                <w:szCs w:val="22"/>
              </w:rPr>
            </w:r>
          </w:p>
        </w:tc>
        <w:tc>
          <w:tcPr>
            <w:tcBorders>
              <w:top w:val="single" w:color="000000" w:sz="4" w:space="0"/>
              <w:left w:val="single" w:color="000000" w:sz="4" w:space="0"/>
              <w:bottom w:val="single" w:color="000000" w:sz="4" w:space="0"/>
              <w:right w:val="single" w:color="000000" w:sz="4" w:space="0"/>
            </w:tcBorders>
            <w:tcW w:w="1287" w:type="pct"/>
            <w:vAlign w:val="top"/>
            <w:textDirection w:val="lrTb"/>
            <w:noWrap w:val="false"/>
          </w:tcPr>
          <w:p>
            <w:pPr>
              <w:pStyle w:val="754"/>
              <w:jc w:val="center"/>
              <w:rPr>
                <w:rFonts w:eastAsia="Arial Unicode MS"/>
                <w:iCs/>
                <w:sz w:val="22"/>
                <w:szCs w:val="22"/>
              </w:rPr>
            </w:pPr>
            <w:r>
              <w:rPr>
                <w:rFonts w:eastAsia="Arial Unicode MS"/>
                <w:iCs/>
                <w:sz w:val="22"/>
                <w:szCs w:val="22"/>
              </w:rPr>
            </w:r>
            <w:r>
              <w:rPr>
                <w:rFonts w:eastAsia="Arial Unicode MS"/>
                <w:iCs/>
                <w:sz w:val="22"/>
                <w:szCs w:val="22"/>
              </w:rPr>
            </w:r>
          </w:p>
        </w:tc>
      </w:tr>
      <w:tr>
        <w:tblPrEx/>
        <w:trPr/>
        <w:tc>
          <w:tcPr>
            <w:gridSpan w:val="2"/>
            <w:tcBorders>
              <w:top w:val="single" w:color="000000" w:sz="4" w:space="0"/>
              <w:left w:val="single" w:color="000000" w:sz="4" w:space="0"/>
              <w:bottom w:val="single" w:color="000000" w:sz="4" w:space="0"/>
              <w:right w:val="single" w:color="000000" w:sz="4" w:space="0"/>
            </w:tcBorders>
            <w:tcW w:w="520" w:type="pct"/>
            <w:vAlign w:val="top"/>
            <w:textDirection w:val="lrTb"/>
            <w:noWrap w:val="false"/>
          </w:tcPr>
          <w:p>
            <w:pPr>
              <w:pStyle w:val="754"/>
              <w:jc w:val="center"/>
              <w:rPr>
                <w:b/>
                <w:bCs/>
                <w:sz w:val="20"/>
                <w:szCs w:val="20"/>
              </w:rPr>
            </w:pP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2210" w:type="pct"/>
            <w:vAlign w:val="top"/>
            <w:textDirection w:val="lrTb"/>
            <w:noWrap w:val="false"/>
          </w:tcPr>
          <w:p>
            <w:pPr>
              <w:pStyle w:val="754"/>
              <w:jc w:val="center"/>
              <w:rPr>
                <w:b/>
                <w:bCs/>
                <w:sz w:val="20"/>
                <w:szCs w:val="20"/>
              </w:rPr>
            </w:pPr>
            <w:r>
              <w:rPr>
                <w:b/>
                <w:bCs/>
                <w:sz w:val="20"/>
                <w:szCs w:val="20"/>
              </w:rPr>
              <w:t xml:space="preserve">Величина суммы к распределению</w:t>
            </w:r>
            <w:r>
              <w:rPr>
                <w:sz w:val="20"/>
                <w:szCs w:val="20"/>
                <w:vertAlign w:val="superscript"/>
              </w:rPr>
              <w:t xml:space="preserve">5 </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983" w:type="pct"/>
            <w:vAlign w:val="top"/>
            <w:textDirection w:val="lrTb"/>
            <w:noWrap w:val="false"/>
          </w:tcPr>
          <w:p>
            <w:pPr>
              <w:pStyle w:val="754"/>
              <w:ind w:left="34"/>
              <w:jc w:val="center"/>
              <w:rPr>
                <w:sz w:val="18"/>
                <w:szCs w:val="20"/>
              </w:rPr>
            </w:pPr>
            <w:r>
              <w:rPr>
                <w:sz w:val="18"/>
                <w:szCs w:val="20"/>
              </w:rPr>
            </w:r>
            <w:r>
              <w:rPr>
                <w:sz w:val="18"/>
                <w:szCs w:val="20"/>
              </w:rPr>
            </w:r>
          </w:p>
        </w:tc>
        <w:tc>
          <w:tcPr>
            <w:tcBorders>
              <w:top w:val="single" w:color="000000" w:sz="4" w:space="0"/>
              <w:left w:val="single" w:color="000000" w:sz="4" w:space="0"/>
              <w:bottom w:val="single" w:color="000000" w:sz="4" w:space="0"/>
              <w:right w:val="single" w:color="000000" w:sz="4" w:space="0"/>
            </w:tcBorders>
            <w:tcW w:w="1287" w:type="pct"/>
            <w:vAlign w:val="top"/>
            <w:vMerge w:val="restart"/>
            <w:textDirection w:val="lrTb"/>
            <w:noWrap w:val="false"/>
          </w:tcPr>
          <w:p>
            <w:pPr>
              <w:pStyle w:val="754"/>
              <w:jc w:val="center"/>
              <w:rPr>
                <w:rFonts w:eastAsia="Arial Unicode MS"/>
                <w:iCs/>
              </w:rPr>
            </w:pPr>
            <w:r>
              <w:rPr>
                <w:rFonts w:eastAsia="Arial Unicode MS"/>
                <w:i/>
                <w:iCs/>
                <w:sz w:val="20"/>
                <w:szCs w:val="20"/>
              </w:rPr>
              <w:t xml:space="preserve">Услуга не предоставляется</w:t>
            </w: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Borders>
              <w:bottom w:val="single" w:color="000000" w:sz="4" w:space="0"/>
            </w:tcBorders>
            <w:tcW w:w="520" w:type="pct"/>
            <w:vAlign w:val="center"/>
            <w:vMerge w:val="restart"/>
            <w:textDirection w:val="lrTb"/>
            <w:noWrap w:val="false"/>
          </w:tcPr>
          <w:p>
            <w:pPr>
              <w:pStyle w:val="754"/>
              <w:jc w:val="center"/>
              <w:rPr>
                <w:b/>
                <w:bCs/>
                <w:sz w:val="20"/>
                <w:szCs w:val="20"/>
              </w:rPr>
            </w:pPr>
            <w:r>
              <w:rPr>
                <w:b/>
                <w:bCs/>
                <w:sz w:val="20"/>
                <w:szCs w:val="20"/>
              </w:rPr>
            </w:r>
            <w:r>
              <w:rPr>
                <w:b/>
                <w:bCs/>
                <w:sz w:val="20"/>
                <w:szCs w:val="20"/>
              </w:rPr>
            </w:r>
          </w:p>
        </w:tc>
        <w:tc>
          <w:tcPr>
            <w:gridSpan w:val="3"/>
            <w:tcBorders>
              <w:bottom w:val="single" w:color="000000" w:sz="4" w:space="0"/>
            </w:tcBorders>
            <w:tcW w:w="2210" w:type="pct"/>
            <w:vAlign w:val="center"/>
            <w:textDirection w:val="lrTb"/>
            <w:noWrap w:val="false"/>
          </w:tcPr>
          <w:p>
            <w:pPr>
              <w:pStyle w:val="754"/>
              <w:jc w:val="center"/>
              <w:rPr>
                <w:rFonts w:eastAsia="Arial Unicode MS"/>
                <w:b/>
                <w:bCs/>
                <w:sz w:val="20"/>
                <w:szCs w:val="20"/>
              </w:rPr>
            </w:pPr>
            <w:r>
              <w:rPr>
                <w:b/>
                <w:bCs/>
                <w:sz w:val="18"/>
                <w:szCs w:val="16"/>
              </w:rPr>
              <w:t xml:space="preserve">До 5 млн.  руб.</w:t>
            </w:r>
            <w:r>
              <w:rPr>
                <w:rFonts w:eastAsia="Arial Unicode MS"/>
                <w:b/>
                <w:bCs/>
                <w:sz w:val="20"/>
                <w:szCs w:val="20"/>
              </w:rPr>
            </w:r>
            <w:r>
              <w:rPr>
                <w:rFonts w:eastAsia="Arial Unicode MS"/>
                <w:b/>
                <w:bCs/>
                <w:sz w:val="20"/>
                <w:szCs w:val="20"/>
              </w:rPr>
            </w:r>
          </w:p>
        </w:tc>
        <w:tc>
          <w:tcPr>
            <w:gridSpan w:val="2"/>
            <w:tcBorders>
              <w:bottom w:val="single" w:color="000000" w:sz="4" w:space="0"/>
            </w:tcBorders>
            <w:tcW w:w="983" w:type="pct"/>
            <w:vAlign w:val="center"/>
            <w:textDirection w:val="lrTb"/>
            <w:noWrap w:val="false"/>
          </w:tcPr>
          <w:p>
            <w:pPr>
              <w:pStyle w:val="754"/>
              <w:ind w:left="34"/>
              <w:jc w:val="center"/>
              <w:rPr>
                <w:sz w:val="18"/>
                <w:szCs w:val="20"/>
              </w:rPr>
            </w:pPr>
            <w:r>
              <w:rPr>
                <w:sz w:val="18"/>
                <w:szCs w:val="20"/>
              </w:rPr>
              <w:t xml:space="preserve">2000 </w:t>
            </w:r>
            <w:r>
              <w:rPr>
                <w:sz w:val="18"/>
                <w:szCs w:val="20"/>
              </w:rPr>
            </w:r>
          </w:p>
          <w:p>
            <w:pPr>
              <w:pStyle w:val="754"/>
              <w:jc w:val="center"/>
              <w:rPr>
                <w:rFonts w:eastAsia="Arial Unicode MS"/>
              </w:rPr>
            </w:pPr>
            <w:r>
              <w:rPr>
                <w:sz w:val="18"/>
                <w:szCs w:val="20"/>
              </w:rPr>
              <w:t xml:space="preserve">(две тысячи) руб</w:t>
            </w:r>
            <w:r>
              <w:rPr>
                <w:b/>
                <w:bCs/>
                <w:sz w:val="18"/>
                <w:szCs w:val="20"/>
              </w:rPr>
              <w:t xml:space="preserve">.</w:t>
            </w:r>
            <w:r>
              <w:rPr>
                <w:rFonts w:eastAsia="Arial Unicode MS"/>
              </w:rPr>
            </w:r>
            <w:r>
              <w:rPr>
                <w:rFonts w:eastAsia="Arial Unicode MS"/>
              </w:rPr>
            </w:r>
          </w:p>
        </w:tc>
        <w:tc>
          <w:tcPr>
            <w:tcBorders>
              <w:bottom w:val="single" w:color="000000" w:sz="4" w:space="0"/>
            </w:tcBorders>
            <w:tcW w:w="1287" w:type="pct"/>
            <w:vAlign w:val="center"/>
            <w:vMerge w:val="continue"/>
            <w:textDirection w:val="lrTb"/>
            <w:noWrap w:val="false"/>
          </w:tcPr>
          <w:p>
            <w:pPr>
              <w:pStyle w:val="754"/>
              <w:jc w:val="center"/>
              <w:rPr>
                <w:rFonts w:eastAsia="Arial Unicode MS"/>
                <w:iCs/>
              </w:rPr>
            </w:pP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center"/>
            <w:vMerge w:val="continue"/>
            <w:textDirection w:val="lrTb"/>
            <w:noWrap w:val="false"/>
          </w:tcPr>
          <w:p>
            <w:pPr>
              <w:pStyle w:val="754"/>
              <w:jc w:val="center"/>
              <w:rPr>
                <w:b/>
                <w:bCs/>
                <w:sz w:val="20"/>
                <w:szCs w:val="20"/>
              </w:rPr>
            </w:pPr>
            <w:r>
              <w:rPr>
                <w:b/>
                <w:bCs/>
                <w:sz w:val="20"/>
                <w:szCs w:val="20"/>
              </w:rPr>
            </w:r>
            <w:r>
              <w:rPr>
                <w:b/>
                <w:bCs/>
                <w:sz w:val="20"/>
                <w:szCs w:val="20"/>
              </w:rPr>
            </w:r>
          </w:p>
        </w:tc>
        <w:tc>
          <w:tcPr>
            <w:gridSpan w:val="3"/>
            <w:tcBorders>
              <w:top w:val="single" w:color="000000" w:sz="4" w:space="0"/>
              <w:bottom w:val="single" w:color="000000" w:sz="4" w:space="0"/>
            </w:tcBorders>
            <w:tcW w:w="2210" w:type="pct"/>
            <w:vAlign w:val="center"/>
            <w:textDirection w:val="lrTb"/>
            <w:noWrap w:val="false"/>
          </w:tcPr>
          <w:p>
            <w:pPr>
              <w:pStyle w:val="754"/>
              <w:jc w:val="center"/>
              <w:rPr>
                <w:rFonts w:eastAsia="Arial Unicode MS"/>
                <w:b/>
                <w:bCs/>
                <w:sz w:val="20"/>
                <w:szCs w:val="20"/>
              </w:rPr>
            </w:pPr>
            <w:r>
              <w:rPr>
                <w:b/>
                <w:bCs/>
                <w:sz w:val="18"/>
                <w:szCs w:val="16"/>
              </w:rPr>
              <w:t xml:space="preserve">Более 5 млн. до 50 млн.  руб.</w:t>
            </w:r>
            <w:r>
              <w:rPr>
                <w:rFonts w:eastAsia="Arial Unicode MS"/>
                <w:b/>
                <w:bCs/>
                <w:sz w:val="20"/>
                <w:szCs w:val="20"/>
              </w:rPr>
            </w:r>
            <w:r>
              <w:rPr>
                <w:rFonts w:eastAsia="Arial Unicode MS"/>
                <w:b/>
                <w:bCs/>
                <w:sz w:val="20"/>
                <w:szCs w:val="20"/>
              </w:rPr>
            </w:r>
          </w:p>
        </w:tc>
        <w:tc>
          <w:tcPr>
            <w:gridSpan w:val="2"/>
            <w:tcBorders>
              <w:top w:val="single" w:color="000000" w:sz="4" w:space="0"/>
              <w:bottom w:val="single" w:color="000000" w:sz="4" w:space="0"/>
            </w:tcBorders>
            <w:tcW w:w="983" w:type="pct"/>
            <w:vAlign w:val="center"/>
            <w:textDirection w:val="lrTb"/>
            <w:noWrap w:val="false"/>
          </w:tcPr>
          <w:p>
            <w:pPr>
              <w:pStyle w:val="754"/>
              <w:jc w:val="center"/>
              <w:rPr>
                <w:rFonts w:eastAsia="Arial Unicode MS"/>
              </w:rPr>
            </w:pPr>
            <w:r>
              <w:rPr>
                <w:b/>
                <w:bCs/>
                <w:sz w:val="18"/>
                <w:szCs w:val="16"/>
              </w:rPr>
              <w:t xml:space="preserve">0,030%</w:t>
            </w:r>
            <w:r>
              <w:rPr>
                <w:rFonts w:eastAsia="Arial Unicode MS"/>
              </w:rPr>
            </w:r>
            <w:r>
              <w:rPr>
                <w:rFonts w:eastAsia="Arial Unicode MS"/>
              </w:rPr>
            </w:r>
          </w:p>
        </w:tc>
        <w:tc>
          <w:tcPr>
            <w:tcBorders>
              <w:top w:val="single" w:color="000000" w:sz="4" w:space="0"/>
              <w:bottom w:val="single" w:color="000000" w:sz="4" w:space="0"/>
            </w:tcBorders>
            <w:tcW w:w="1287" w:type="pct"/>
            <w:vAlign w:val="center"/>
            <w:vMerge w:val="continue"/>
            <w:textDirection w:val="lrTb"/>
            <w:noWrap w:val="false"/>
          </w:tcPr>
          <w:p>
            <w:pPr>
              <w:pStyle w:val="754"/>
              <w:jc w:val="center"/>
              <w:rPr>
                <w:rFonts w:eastAsia="Arial Unicode MS"/>
                <w:iCs/>
              </w:rPr>
            </w:pP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center"/>
            <w:vMerge w:val="continue"/>
            <w:textDirection w:val="lrTb"/>
            <w:noWrap w:val="false"/>
          </w:tcPr>
          <w:p>
            <w:pPr>
              <w:pStyle w:val="754"/>
              <w:jc w:val="center"/>
              <w:rPr>
                <w:b/>
                <w:bCs/>
                <w:sz w:val="20"/>
                <w:szCs w:val="20"/>
              </w:rPr>
            </w:pPr>
            <w:r>
              <w:rPr>
                <w:b/>
                <w:bCs/>
                <w:sz w:val="20"/>
                <w:szCs w:val="20"/>
              </w:rPr>
            </w:r>
            <w:r>
              <w:rPr>
                <w:b/>
                <w:bCs/>
                <w:sz w:val="20"/>
                <w:szCs w:val="20"/>
              </w:rPr>
            </w:r>
          </w:p>
        </w:tc>
        <w:tc>
          <w:tcPr>
            <w:gridSpan w:val="3"/>
            <w:tcBorders>
              <w:top w:val="single" w:color="000000" w:sz="4" w:space="0"/>
              <w:bottom w:val="single" w:color="000000" w:sz="4" w:space="0"/>
            </w:tcBorders>
            <w:tcW w:w="2210" w:type="pct"/>
            <w:vAlign w:val="center"/>
            <w:textDirection w:val="lrTb"/>
            <w:noWrap w:val="false"/>
          </w:tcPr>
          <w:p>
            <w:pPr>
              <w:pStyle w:val="754"/>
              <w:ind w:left="34" w:right="11"/>
              <w:jc w:val="center"/>
              <w:spacing w:before="60"/>
              <w:rPr>
                <w:sz w:val="18"/>
                <w:szCs w:val="16"/>
              </w:rPr>
            </w:pPr>
            <w:r>
              <w:rPr>
                <w:sz w:val="18"/>
                <w:szCs w:val="16"/>
              </w:rPr>
              <w:t xml:space="preserve">Более 50 млн. до </w:t>
            </w:r>
            <w:r>
              <w:rPr>
                <w:sz w:val="18"/>
                <w:szCs w:val="16"/>
              </w:rPr>
            </w:r>
          </w:p>
          <w:p>
            <w:pPr>
              <w:pStyle w:val="754"/>
              <w:jc w:val="center"/>
              <w:rPr>
                <w:rFonts w:eastAsia="Arial Unicode MS"/>
                <w:b/>
                <w:bCs/>
                <w:sz w:val="20"/>
                <w:szCs w:val="20"/>
              </w:rPr>
            </w:pPr>
            <w:r>
              <w:rPr>
                <w:b/>
                <w:bCs/>
                <w:sz w:val="18"/>
                <w:szCs w:val="16"/>
              </w:rPr>
              <w:t xml:space="preserve">1 000 млн. руб.</w:t>
            </w:r>
            <w:r>
              <w:rPr>
                <w:rFonts w:eastAsia="Arial Unicode MS"/>
                <w:b/>
                <w:bCs/>
                <w:sz w:val="20"/>
                <w:szCs w:val="20"/>
              </w:rPr>
            </w:r>
            <w:r>
              <w:rPr>
                <w:rFonts w:eastAsia="Arial Unicode MS"/>
                <w:b/>
                <w:bCs/>
                <w:sz w:val="20"/>
                <w:szCs w:val="20"/>
              </w:rPr>
            </w:r>
          </w:p>
        </w:tc>
        <w:tc>
          <w:tcPr>
            <w:gridSpan w:val="2"/>
            <w:tcBorders>
              <w:top w:val="single" w:color="000000" w:sz="4" w:space="0"/>
              <w:bottom w:val="single" w:color="000000" w:sz="4" w:space="0"/>
            </w:tcBorders>
            <w:tcW w:w="983" w:type="pct"/>
            <w:vAlign w:val="center"/>
            <w:textDirection w:val="lrTb"/>
            <w:noWrap w:val="false"/>
          </w:tcPr>
          <w:p>
            <w:pPr>
              <w:pStyle w:val="754"/>
              <w:jc w:val="center"/>
              <w:rPr>
                <w:rFonts w:eastAsia="Arial Unicode MS"/>
              </w:rPr>
            </w:pPr>
            <w:r>
              <w:rPr>
                <w:b/>
                <w:bCs/>
                <w:sz w:val="18"/>
                <w:szCs w:val="16"/>
              </w:rPr>
              <w:t xml:space="preserve">0,025%</w:t>
            </w:r>
            <w:r>
              <w:rPr>
                <w:rFonts w:eastAsia="Arial Unicode MS"/>
              </w:rPr>
            </w:r>
            <w:r>
              <w:rPr>
                <w:rFonts w:eastAsia="Arial Unicode MS"/>
              </w:rPr>
            </w:r>
          </w:p>
        </w:tc>
        <w:tc>
          <w:tcPr>
            <w:tcBorders>
              <w:top w:val="single" w:color="000000" w:sz="4" w:space="0"/>
              <w:bottom w:val="single" w:color="000000" w:sz="4" w:space="0"/>
            </w:tcBorders>
            <w:tcW w:w="1287" w:type="pct"/>
            <w:vAlign w:val="center"/>
            <w:vMerge w:val="continue"/>
            <w:textDirection w:val="lrTb"/>
            <w:noWrap w:val="false"/>
          </w:tcPr>
          <w:p>
            <w:pPr>
              <w:pStyle w:val="754"/>
              <w:jc w:val="center"/>
              <w:rPr>
                <w:rFonts w:eastAsia="Arial Unicode MS"/>
                <w:iCs/>
              </w:rPr>
            </w:pP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center"/>
            <w:vMerge w:val="continue"/>
            <w:textDirection w:val="lrTb"/>
            <w:noWrap w:val="false"/>
          </w:tcPr>
          <w:p>
            <w:pPr>
              <w:pStyle w:val="754"/>
              <w:jc w:val="center"/>
              <w:rPr>
                <w:b/>
                <w:bCs/>
                <w:sz w:val="20"/>
                <w:szCs w:val="20"/>
              </w:rPr>
            </w:pPr>
            <w:r>
              <w:rPr>
                <w:b/>
                <w:bCs/>
                <w:sz w:val="20"/>
                <w:szCs w:val="20"/>
              </w:rPr>
            </w:r>
            <w:r>
              <w:rPr>
                <w:b/>
                <w:bCs/>
                <w:sz w:val="20"/>
                <w:szCs w:val="20"/>
              </w:rPr>
            </w:r>
          </w:p>
        </w:tc>
        <w:tc>
          <w:tcPr>
            <w:gridSpan w:val="3"/>
            <w:tcBorders>
              <w:top w:val="single" w:color="000000" w:sz="4" w:space="0"/>
              <w:bottom w:val="single" w:color="000000" w:sz="4" w:space="0"/>
            </w:tcBorders>
            <w:tcW w:w="2210" w:type="pct"/>
            <w:vAlign w:val="center"/>
            <w:textDirection w:val="lrTb"/>
            <w:noWrap w:val="false"/>
          </w:tcPr>
          <w:p>
            <w:pPr>
              <w:pStyle w:val="754"/>
              <w:ind w:left="34" w:right="11"/>
              <w:jc w:val="center"/>
              <w:spacing w:before="60"/>
              <w:rPr>
                <w:sz w:val="18"/>
                <w:szCs w:val="16"/>
              </w:rPr>
            </w:pPr>
            <w:r>
              <w:rPr>
                <w:sz w:val="18"/>
                <w:szCs w:val="16"/>
              </w:rPr>
              <w:t xml:space="preserve">Более 1 000 млн. </w:t>
            </w:r>
            <w:r>
              <w:rPr>
                <w:sz w:val="18"/>
                <w:szCs w:val="16"/>
              </w:rPr>
            </w:r>
          </w:p>
          <w:p>
            <w:pPr>
              <w:pStyle w:val="754"/>
              <w:jc w:val="center"/>
              <w:rPr>
                <w:rFonts w:eastAsia="Arial Unicode MS"/>
                <w:b/>
                <w:bCs/>
                <w:sz w:val="20"/>
                <w:szCs w:val="20"/>
              </w:rPr>
            </w:pPr>
            <w:r>
              <w:rPr>
                <w:b/>
                <w:bCs/>
                <w:sz w:val="18"/>
                <w:szCs w:val="16"/>
              </w:rPr>
              <w:t xml:space="preserve">до 5 000 млн. руб.</w:t>
            </w:r>
            <w:r>
              <w:rPr>
                <w:rFonts w:eastAsia="Arial Unicode MS"/>
                <w:b/>
                <w:bCs/>
                <w:sz w:val="20"/>
                <w:szCs w:val="20"/>
              </w:rPr>
            </w:r>
            <w:r>
              <w:rPr>
                <w:rFonts w:eastAsia="Arial Unicode MS"/>
                <w:b/>
                <w:bCs/>
                <w:sz w:val="20"/>
                <w:szCs w:val="20"/>
              </w:rPr>
            </w:r>
          </w:p>
        </w:tc>
        <w:tc>
          <w:tcPr>
            <w:gridSpan w:val="2"/>
            <w:tcBorders>
              <w:top w:val="single" w:color="000000" w:sz="4" w:space="0"/>
              <w:bottom w:val="single" w:color="000000" w:sz="4" w:space="0"/>
            </w:tcBorders>
            <w:tcW w:w="983" w:type="pct"/>
            <w:vAlign w:val="center"/>
            <w:textDirection w:val="lrTb"/>
            <w:noWrap w:val="false"/>
          </w:tcPr>
          <w:p>
            <w:pPr>
              <w:pStyle w:val="754"/>
              <w:jc w:val="center"/>
              <w:rPr>
                <w:rFonts w:eastAsia="Arial Unicode MS"/>
              </w:rPr>
            </w:pPr>
            <w:r>
              <w:rPr>
                <w:b/>
                <w:bCs/>
                <w:sz w:val="18"/>
                <w:szCs w:val="16"/>
              </w:rPr>
              <w:t xml:space="preserve">0,020%</w:t>
            </w:r>
            <w:r>
              <w:rPr>
                <w:rFonts w:eastAsia="Arial Unicode MS"/>
              </w:rPr>
            </w:r>
            <w:r>
              <w:rPr>
                <w:rFonts w:eastAsia="Arial Unicode MS"/>
              </w:rPr>
            </w:r>
          </w:p>
        </w:tc>
        <w:tc>
          <w:tcPr>
            <w:tcBorders>
              <w:top w:val="single" w:color="000000" w:sz="4" w:space="0"/>
              <w:bottom w:val="single" w:color="000000" w:sz="4" w:space="0"/>
            </w:tcBorders>
            <w:tcW w:w="1287" w:type="pct"/>
            <w:vAlign w:val="center"/>
            <w:vMerge w:val="continue"/>
            <w:textDirection w:val="lrTb"/>
            <w:noWrap w:val="false"/>
          </w:tcPr>
          <w:p>
            <w:pPr>
              <w:pStyle w:val="754"/>
              <w:jc w:val="center"/>
              <w:rPr>
                <w:rFonts w:eastAsia="Arial Unicode MS"/>
                <w:iCs/>
              </w:rPr>
            </w:pP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center"/>
            <w:vMerge w:val="continue"/>
            <w:textDirection w:val="lrTb"/>
            <w:noWrap w:val="false"/>
          </w:tcPr>
          <w:p>
            <w:pPr>
              <w:pStyle w:val="754"/>
              <w:jc w:val="center"/>
              <w:rPr>
                <w:b/>
                <w:bCs/>
                <w:sz w:val="20"/>
                <w:szCs w:val="20"/>
              </w:rPr>
            </w:pPr>
            <w:r>
              <w:rPr>
                <w:b/>
                <w:bCs/>
                <w:sz w:val="20"/>
                <w:szCs w:val="20"/>
              </w:rPr>
            </w:r>
            <w:r>
              <w:rPr>
                <w:b/>
                <w:bCs/>
                <w:sz w:val="20"/>
                <w:szCs w:val="20"/>
              </w:rPr>
            </w:r>
          </w:p>
        </w:tc>
        <w:tc>
          <w:tcPr>
            <w:gridSpan w:val="3"/>
            <w:tcBorders>
              <w:top w:val="single" w:color="000000" w:sz="4" w:space="0"/>
              <w:bottom w:val="single" w:color="000000" w:sz="4" w:space="0"/>
            </w:tcBorders>
            <w:tcW w:w="2210" w:type="pct"/>
            <w:vAlign w:val="center"/>
            <w:textDirection w:val="lrTb"/>
            <w:noWrap w:val="false"/>
          </w:tcPr>
          <w:p>
            <w:pPr>
              <w:pStyle w:val="754"/>
              <w:ind w:left="34" w:right="11"/>
              <w:jc w:val="center"/>
              <w:spacing w:before="60"/>
              <w:rPr>
                <w:sz w:val="18"/>
                <w:szCs w:val="16"/>
              </w:rPr>
            </w:pPr>
            <w:r>
              <w:rPr>
                <w:sz w:val="18"/>
                <w:szCs w:val="16"/>
              </w:rPr>
              <w:t xml:space="preserve">Более 5 000 млн.</w:t>
            </w:r>
            <w:r>
              <w:rPr>
                <w:sz w:val="18"/>
                <w:szCs w:val="16"/>
              </w:rPr>
            </w:r>
          </w:p>
          <w:p>
            <w:pPr>
              <w:pStyle w:val="754"/>
              <w:jc w:val="center"/>
              <w:rPr>
                <w:rFonts w:eastAsia="Arial Unicode MS"/>
                <w:b/>
                <w:bCs/>
                <w:sz w:val="20"/>
                <w:szCs w:val="20"/>
              </w:rPr>
            </w:pPr>
            <w:r>
              <w:rPr>
                <w:b/>
                <w:bCs/>
                <w:sz w:val="18"/>
                <w:szCs w:val="16"/>
              </w:rPr>
              <w:t xml:space="preserve">до 8 000 млн. руб.</w:t>
            </w:r>
            <w:r>
              <w:rPr>
                <w:rFonts w:eastAsia="Arial Unicode MS"/>
                <w:b/>
                <w:bCs/>
                <w:sz w:val="20"/>
                <w:szCs w:val="20"/>
              </w:rPr>
            </w:r>
            <w:r>
              <w:rPr>
                <w:rFonts w:eastAsia="Arial Unicode MS"/>
                <w:b/>
                <w:bCs/>
                <w:sz w:val="20"/>
                <w:szCs w:val="20"/>
              </w:rPr>
            </w:r>
          </w:p>
        </w:tc>
        <w:tc>
          <w:tcPr>
            <w:gridSpan w:val="2"/>
            <w:tcBorders>
              <w:top w:val="single" w:color="000000" w:sz="4" w:space="0"/>
              <w:bottom w:val="single" w:color="000000" w:sz="4" w:space="0"/>
            </w:tcBorders>
            <w:tcW w:w="983" w:type="pct"/>
            <w:vAlign w:val="center"/>
            <w:textDirection w:val="lrTb"/>
            <w:noWrap w:val="false"/>
          </w:tcPr>
          <w:p>
            <w:pPr>
              <w:pStyle w:val="754"/>
              <w:jc w:val="center"/>
              <w:rPr>
                <w:rFonts w:eastAsia="Arial Unicode MS"/>
              </w:rPr>
            </w:pPr>
            <w:r>
              <w:rPr>
                <w:b/>
                <w:bCs/>
                <w:sz w:val="18"/>
                <w:szCs w:val="16"/>
              </w:rPr>
              <w:t xml:space="preserve">0,016%</w:t>
            </w:r>
            <w:r>
              <w:rPr>
                <w:rFonts w:eastAsia="Arial Unicode MS"/>
              </w:rPr>
            </w:r>
            <w:r>
              <w:rPr>
                <w:rFonts w:eastAsia="Arial Unicode MS"/>
              </w:rPr>
            </w:r>
          </w:p>
        </w:tc>
        <w:tc>
          <w:tcPr>
            <w:tcBorders>
              <w:top w:val="single" w:color="000000" w:sz="4" w:space="0"/>
              <w:bottom w:val="single" w:color="000000" w:sz="4" w:space="0"/>
            </w:tcBorders>
            <w:tcW w:w="1287" w:type="pct"/>
            <w:vAlign w:val="center"/>
            <w:vMerge w:val="continue"/>
            <w:textDirection w:val="lrTb"/>
            <w:noWrap w:val="false"/>
          </w:tcPr>
          <w:p>
            <w:pPr>
              <w:pStyle w:val="754"/>
              <w:jc w:val="center"/>
              <w:rPr>
                <w:rFonts w:eastAsia="Arial Unicode MS"/>
                <w:iCs/>
              </w:rPr>
            </w:pP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center"/>
            <w:vMerge w:val="continue"/>
            <w:textDirection w:val="lrTb"/>
            <w:noWrap w:val="false"/>
          </w:tcPr>
          <w:p>
            <w:pPr>
              <w:pStyle w:val="754"/>
              <w:jc w:val="center"/>
              <w:rPr>
                <w:b/>
                <w:bCs/>
                <w:sz w:val="20"/>
                <w:szCs w:val="20"/>
              </w:rPr>
            </w:pPr>
            <w:r>
              <w:rPr>
                <w:b/>
                <w:bCs/>
                <w:sz w:val="20"/>
                <w:szCs w:val="20"/>
              </w:rPr>
            </w:r>
            <w:r>
              <w:rPr>
                <w:b/>
                <w:bCs/>
                <w:sz w:val="20"/>
                <w:szCs w:val="20"/>
              </w:rPr>
            </w:r>
          </w:p>
        </w:tc>
        <w:tc>
          <w:tcPr>
            <w:gridSpan w:val="3"/>
            <w:tcBorders>
              <w:top w:val="single" w:color="000000" w:sz="4" w:space="0"/>
              <w:bottom w:val="single" w:color="000000" w:sz="4" w:space="0"/>
            </w:tcBorders>
            <w:tcW w:w="2210" w:type="pct"/>
            <w:vAlign w:val="center"/>
            <w:textDirection w:val="lrTb"/>
            <w:noWrap w:val="false"/>
          </w:tcPr>
          <w:p>
            <w:pPr>
              <w:pStyle w:val="754"/>
              <w:jc w:val="center"/>
              <w:rPr>
                <w:rFonts w:eastAsia="Arial Unicode MS"/>
                <w:b/>
                <w:bCs/>
                <w:sz w:val="20"/>
                <w:szCs w:val="20"/>
              </w:rPr>
            </w:pPr>
            <w:r>
              <w:rPr>
                <w:b/>
                <w:bCs/>
                <w:sz w:val="18"/>
                <w:szCs w:val="16"/>
              </w:rPr>
              <w:t xml:space="preserve">Более 8 000 млн. руб.</w:t>
            </w:r>
            <w:r>
              <w:rPr>
                <w:rFonts w:eastAsia="Arial Unicode MS"/>
                <w:b/>
                <w:bCs/>
                <w:sz w:val="20"/>
                <w:szCs w:val="20"/>
              </w:rPr>
            </w:r>
            <w:r>
              <w:rPr>
                <w:rFonts w:eastAsia="Arial Unicode MS"/>
                <w:b/>
                <w:bCs/>
                <w:sz w:val="20"/>
                <w:szCs w:val="20"/>
              </w:rPr>
            </w:r>
          </w:p>
        </w:tc>
        <w:tc>
          <w:tcPr>
            <w:gridSpan w:val="2"/>
            <w:tcBorders>
              <w:top w:val="single" w:color="000000" w:sz="4" w:space="0"/>
              <w:bottom w:val="single" w:color="000000" w:sz="4" w:space="0"/>
            </w:tcBorders>
            <w:tcW w:w="983" w:type="pct"/>
            <w:vAlign w:val="center"/>
            <w:textDirection w:val="lrTb"/>
            <w:noWrap w:val="false"/>
          </w:tcPr>
          <w:p>
            <w:pPr>
              <w:pStyle w:val="754"/>
              <w:ind w:left="34"/>
              <w:jc w:val="center"/>
              <w:rPr>
                <w:b/>
                <w:sz w:val="18"/>
                <w:szCs w:val="16"/>
              </w:rPr>
            </w:pPr>
            <w:r>
              <w:rPr>
                <w:sz w:val="18"/>
                <w:szCs w:val="16"/>
              </w:rPr>
              <w:t xml:space="preserve">0,012%</w:t>
            </w:r>
            <w:r>
              <w:rPr>
                <w:b/>
                <w:sz w:val="18"/>
                <w:szCs w:val="16"/>
              </w:rPr>
              <w:t xml:space="preserve">, </w:t>
            </w:r>
            <w:r>
              <w:rPr>
                <w:b/>
                <w:sz w:val="18"/>
                <w:szCs w:val="16"/>
              </w:rPr>
            </w:r>
          </w:p>
          <w:p>
            <w:pPr>
              <w:pStyle w:val="754"/>
              <w:jc w:val="center"/>
              <w:rPr>
                <w:rFonts w:eastAsia="Arial Unicode MS"/>
              </w:rPr>
            </w:pPr>
            <w:r>
              <w:rPr>
                <w:bCs/>
                <w:sz w:val="18"/>
                <w:szCs w:val="16"/>
              </w:rPr>
              <w:t xml:space="preserve">но </w:t>
            </w:r>
            <w:r>
              <w:rPr>
                <w:sz w:val="18"/>
                <w:szCs w:val="20"/>
              </w:rPr>
              <w:t xml:space="preserve">не более 2 млн. руб.</w:t>
            </w:r>
            <w:r>
              <w:rPr>
                <w:rFonts w:eastAsia="Arial Unicode MS"/>
              </w:rPr>
            </w:r>
            <w:r>
              <w:rPr>
                <w:rFonts w:eastAsia="Arial Unicode MS"/>
              </w:rPr>
            </w:r>
          </w:p>
        </w:tc>
        <w:tc>
          <w:tcPr>
            <w:tcBorders>
              <w:top w:val="single" w:color="000000" w:sz="4" w:space="0"/>
              <w:bottom w:val="single" w:color="000000" w:sz="4" w:space="0"/>
            </w:tcBorders>
            <w:tcW w:w="1287" w:type="pct"/>
            <w:vAlign w:val="center"/>
            <w:vMerge w:val="continue"/>
            <w:textDirection w:val="lrTb"/>
            <w:noWrap w:val="false"/>
          </w:tcPr>
          <w:p>
            <w:pPr>
              <w:pStyle w:val="754"/>
              <w:jc w:val="center"/>
              <w:rPr>
                <w:rFonts w:eastAsia="Arial Unicode MS"/>
                <w:iCs/>
              </w:rPr>
            </w:pP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Borders>
              <w:top w:val="single" w:color="000000" w:sz="4" w:space="0"/>
              <w:bottom w:val="single" w:color="000000" w:sz="4" w:space="0"/>
            </w:tcBorders>
            <w:tcW w:w="5000" w:type="pct"/>
            <w:vAlign w:val="center"/>
            <w:textDirection w:val="lrTb"/>
            <w:noWrap w:val="false"/>
          </w:tcPr>
          <w:p>
            <w:pPr>
              <w:pStyle w:val="754"/>
              <w:jc w:val="center"/>
              <w:rPr>
                <w:b/>
                <w:bCs/>
              </w:rPr>
            </w:pPr>
            <w:r>
              <w:rPr>
                <w:b/>
                <w:bCs/>
              </w:rPr>
            </w:r>
            <w:r>
              <w:rPr>
                <w:b/>
                <w:bCs/>
              </w:rPr>
            </w:r>
          </w:p>
          <w:p>
            <w:pPr>
              <w:pStyle w:val="754"/>
              <w:jc w:val="center"/>
              <w:rPr>
                <w:rFonts w:eastAsia="Arial Unicode MS"/>
                <w:iCs/>
              </w:rPr>
            </w:pPr>
            <w:r>
              <w:rPr>
                <w:b/>
                <w:bCs/>
              </w:rPr>
              <w:t xml:space="preserve">11. Операции с монетами из драгоценных металлов</w:t>
            </w: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top"/>
            <w:textDirection w:val="lrTb"/>
            <w:noWrap w:val="false"/>
          </w:tcPr>
          <w:p>
            <w:pPr>
              <w:pStyle w:val="754"/>
              <w:ind w:left="-567" w:firstLine="567"/>
              <w:keepLines/>
              <w:rPr>
                <w:b/>
                <w:bCs/>
                <w:iCs/>
                <w:sz w:val="22"/>
                <w:szCs w:val="22"/>
              </w:rPr>
            </w:pPr>
            <w:r>
              <w:rPr>
                <w:b/>
                <w:bCs/>
                <w:iCs/>
                <w:sz w:val="22"/>
                <w:szCs w:val="22"/>
              </w:rPr>
              <w:t xml:space="preserve">11.1</w:t>
            </w:r>
            <w:r>
              <w:rPr>
                <w:b/>
                <w:bCs/>
                <w:iCs/>
                <w:sz w:val="22"/>
                <w:szCs w:val="22"/>
              </w:rPr>
            </w:r>
          </w:p>
        </w:tc>
        <w:tc>
          <w:tcPr>
            <w:gridSpan w:val="3"/>
            <w:tcBorders>
              <w:top w:val="single" w:color="000000" w:sz="4" w:space="0"/>
              <w:bottom w:val="single" w:color="000000" w:sz="4" w:space="0"/>
            </w:tcBorders>
            <w:tcW w:w="2210" w:type="pct"/>
            <w:vAlign w:val="top"/>
            <w:textDirection w:val="lrTb"/>
            <w:noWrap w:val="false"/>
          </w:tcPr>
          <w:p>
            <w:pPr>
              <w:pStyle w:val="754"/>
              <w:ind w:firstLine="567"/>
              <w:jc w:val="both"/>
              <w:keepLines/>
              <w:rPr>
                <w:b/>
                <w:bCs/>
                <w:iCs/>
                <w:sz w:val="20"/>
                <w:szCs w:val="20"/>
              </w:rPr>
            </w:pPr>
            <w:r>
              <w:rPr>
                <w:b/>
                <w:bCs/>
                <w:iCs/>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b/>
                <w:bCs/>
                <w:iCs/>
                <w:sz w:val="20"/>
                <w:szCs w:val="20"/>
              </w:rPr>
            </w:r>
          </w:p>
          <w:p>
            <w:pPr>
              <w:pStyle w:val="754"/>
              <w:ind w:firstLine="567"/>
              <w:jc w:val="both"/>
              <w:keepLines/>
              <w:rPr>
                <w:bCs/>
                <w:iCs/>
                <w:sz w:val="20"/>
                <w:szCs w:val="20"/>
              </w:rPr>
            </w:pPr>
            <w:r>
              <w:rPr>
                <w:bCs/>
                <w:iCs/>
                <w:sz w:val="20"/>
                <w:szCs w:val="20"/>
              </w:rPr>
              <w:t xml:space="preserve">Характеристика и количество монет:</w:t>
            </w:r>
            <w:r>
              <w:rPr>
                <w:bCs/>
                <w:iCs/>
                <w:sz w:val="20"/>
                <w:szCs w:val="20"/>
              </w:rPr>
            </w:r>
          </w:p>
          <w:p>
            <w:pPr>
              <w:pStyle w:val="754"/>
              <w:ind w:firstLine="567"/>
              <w:jc w:val="both"/>
              <w:keepLines/>
              <w:rPr>
                <w:bCs/>
                <w:iCs/>
                <w:sz w:val="20"/>
                <w:szCs w:val="20"/>
              </w:rPr>
            </w:pPr>
            <w:r>
              <w:rPr>
                <w:bCs/>
                <w:iCs/>
                <w:sz w:val="20"/>
                <w:szCs w:val="20"/>
              </w:rPr>
              <w:t xml:space="preserve">- золото, качество чеканки «анциркулейтед», 7,78 г</w:t>
            </w:r>
            <w:r>
              <w:rPr>
                <w:bCs/>
                <w:iCs/>
                <w:sz w:val="20"/>
                <w:szCs w:val="20"/>
              </w:rPr>
              <w:t xml:space="preserve">.</w:t>
            </w:r>
            <w:r>
              <w:rPr>
                <w:bCs/>
                <w:iCs/>
                <w:sz w:val="20"/>
                <w:szCs w:val="20"/>
              </w:rPr>
            </w:r>
            <w:r>
              <w:rPr>
                <w:bCs/>
                <w:iCs/>
                <w:sz w:val="20"/>
                <w:szCs w:val="20"/>
              </w:rPr>
            </w:r>
          </w:p>
          <w:p>
            <w:pPr>
              <w:pStyle w:val="754"/>
              <w:ind w:firstLine="567"/>
              <w:jc w:val="both"/>
              <w:keepLines/>
              <w:rPr>
                <w:bCs/>
                <w:iCs/>
                <w:sz w:val="20"/>
                <w:szCs w:val="20"/>
              </w:rPr>
            </w:pPr>
            <w:r>
              <w:rPr>
                <w:bCs/>
                <w:iCs/>
                <w:sz w:val="20"/>
                <w:szCs w:val="20"/>
              </w:rPr>
              <w:t xml:space="preserve">от 300 до 499 шт.</w:t>
            </w:r>
            <w:r>
              <w:rPr>
                <w:bCs/>
                <w:iCs/>
                <w:sz w:val="20"/>
                <w:szCs w:val="20"/>
              </w:rPr>
            </w:r>
          </w:p>
          <w:p>
            <w:pPr>
              <w:pStyle w:val="754"/>
              <w:ind w:firstLine="567"/>
              <w:jc w:val="both"/>
              <w:keepLines/>
              <w:rPr>
                <w:bCs/>
                <w:iCs/>
                <w:sz w:val="20"/>
                <w:szCs w:val="20"/>
              </w:rPr>
            </w:pPr>
            <w:r>
              <w:rPr>
                <w:bCs/>
                <w:iCs/>
                <w:sz w:val="20"/>
                <w:szCs w:val="20"/>
              </w:rPr>
              <w:t xml:space="preserve">от 500 до 999 шт.</w:t>
            </w:r>
            <w:r>
              <w:rPr>
                <w:bCs/>
                <w:iCs/>
                <w:sz w:val="20"/>
                <w:szCs w:val="20"/>
              </w:rPr>
            </w:r>
          </w:p>
          <w:p>
            <w:pPr>
              <w:pStyle w:val="754"/>
              <w:ind w:firstLine="567"/>
              <w:jc w:val="both"/>
              <w:keepLines/>
              <w:rPr>
                <w:bCs/>
                <w:iCs/>
                <w:sz w:val="20"/>
                <w:szCs w:val="20"/>
              </w:rPr>
            </w:pPr>
            <w:r>
              <w:rPr>
                <w:bCs/>
                <w:iCs/>
                <w:sz w:val="20"/>
                <w:szCs w:val="20"/>
              </w:rPr>
              <w:t xml:space="preserve">от 1000 до 1499 шт.</w:t>
            </w:r>
            <w:r>
              <w:rPr>
                <w:bCs/>
                <w:iCs/>
                <w:sz w:val="20"/>
                <w:szCs w:val="20"/>
              </w:rPr>
            </w:r>
          </w:p>
          <w:p>
            <w:pPr>
              <w:pStyle w:val="754"/>
              <w:ind w:firstLine="567"/>
              <w:jc w:val="both"/>
              <w:keepLines/>
              <w:rPr>
                <w:bCs/>
                <w:iCs/>
                <w:sz w:val="20"/>
                <w:szCs w:val="20"/>
              </w:rPr>
            </w:pPr>
            <w:r>
              <w:rPr>
                <w:bCs/>
                <w:iCs/>
                <w:sz w:val="20"/>
                <w:szCs w:val="20"/>
              </w:rPr>
              <w:t xml:space="preserve">от 1500 и более шт.</w:t>
            </w:r>
            <w:r>
              <w:rPr>
                <w:bCs/>
                <w:iCs/>
                <w:sz w:val="20"/>
                <w:szCs w:val="20"/>
              </w:rPr>
            </w:r>
          </w:p>
          <w:p>
            <w:pPr>
              <w:pStyle w:val="754"/>
              <w:ind w:firstLine="567"/>
              <w:jc w:val="both"/>
              <w:keepLines/>
              <w:rPr>
                <w:bCs/>
                <w:iCs/>
                <w:sz w:val="20"/>
                <w:szCs w:val="20"/>
              </w:rPr>
            </w:pPr>
            <w:r>
              <w:rPr>
                <w:bCs/>
                <w:iCs/>
                <w:sz w:val="20"/>
                <w:szCs w:val="20"/>
              </w:rPr>
              <w:t xml:space="preserve">- серебро, качество чеканки «анциркулейтед», 31,1 г</w:t>
            </w:r>
            <w:r>
              <w:rPr>
                <w:bCs/>
                <w:iCs/>
                <w:sz w:val="20"/>
                <w:szCs w:val="20"/>
              </w:rPr>
              <w:t xml:space="preserve">.</w:t>
            </w:r>
            <w:r>
              <w:rPr>
                <w:bCs/>
                <w:iCs/>
                <w:sz w:val="20"/>
                <w:szCs w:val="20"/>
              </w:rPr>
            </w:r>
            <w:r>
              <w:rPr>
                <w:bCs/>
                <w:iCs/>
                <w:sz w:val="20"/>
                <w:szCs w:val="20"/>
              </w:rPr>
            </w:r>
          </w:p>
          <w:p>
            <w:pPr>
              <w:pStyle w:val="754"/>
              <w:ind w:firstLine="567"/>
              <w:jc w:val="both"/>
              <w:keepLines/>
              <w:rPr>
                <w:bCs/>
                <w:iCs/>
              </w:rPr>
            </w:pPr>
            <w:r>
              <w:rPr>
                <w:bCs/>
                <w:iCs/>
                <w:sz w:val="20"/>
                <w:szCs w:val="20"/>
              </w:rPr>
              <w:t xml:space="preserve">от 500 и более шт.</w:t>
            </w:r>
            <w:r>
              <w:rPr>
                <w:bCs/>
                <w:iCs/>
              </w:rPr>
            </w:r>
            <w:r>
              <w:rPr>
                <w:bCs/>
                <w:iCs/>
              </w:rPr>
            </w:r>
          </w:p>
        </w:tc>
        <w:tc>
          <w:tcPr>
            <w:gridSpan w:val="2"/>
            <w:tcBorders>
              <w:top w:val="single" w:color="000000" w:sz="4" w:space="0"/>
              <w:bottom w:val="single" w:color="000000" w:sz="4" w:space="0"/>
            </w:tcBorders>
            <w:tcW w:w="983" w:type="pct"/>
            <w:vAlign w:val="top"/>
            <w:textDirection w:val="lrTb"/>
            <w:noWrap w:val="false"/>
          </w:tcPr>
          <w:p>
            <w:pPr>
              <w:pStyle w:val="754"/>
              <w:ind w:firstLine="567"/>
              <w:jc w:val="both"/>
              <w:keepLines/>
              <w:rPr>
                <w:bCs/>
                <w:iCs/>
              </w:rPr>
            </w:pPr>
            <w:r>
              <w:rPr>
                <w:bCs/>
                <w:iCs/>
              </w:rPr>
            </w:r>
            <w:r>
              <w:rPr>
                <w:bCs/>
                <w:iCs/>
              </w:rPr>
            </w:r>
          </w:p>
          <w:p>
            <w:pPr>
              <w:pStyle w:val="754"/>
              <w:ind w:firstLine="567"/>
              <w:jc w:val="both"/>
              <w:keepLines/>
              <w:rPr>
                <w:bCs/>
                <w:iCs/>
              </w:rPr>
            </w:pPr>
            <w:r>
              <w:rPr>
                <w:bCs/>
                <w:iCs/>
              </w:rPr>
            </w:r>
            <w:r>
              <w:rPr>
                <w:bCs/>
                <w:iCs/>
              </w:rPr>
            </w:r>
          </w:p>
          <w:p>
            <w:pPr>
              <w:pStyle w:val="754"/>
              <w:ind w:firstLine="567"/>
              <w:jc w:val="both"/>
              <w:keepLines/>
              <w:rPr>
                <w:bCs/>
                <w:iCs/>
              </w:rPr>
            </w:pPr>
            <w:r>
              <w:rPr>
                <w:bCs/>
                <w:iCs/>
              </w:rPr>
            </w:r>
            <w:r>
              <w:rPr>
                <w:bCs/>
                <w:iCs/>
              </w:rPr>
            </w:r>
          </w:p>
          <w:p>
            <w:pPr>
              <w:pStyle w:val="754"/>
              <w:ind w:firstLine="567"/>
              <w:jc w:val="both"/>
              <w:keepLines/>
              <w:rPr>
                <w:bCs/>
                <w:iCs/>
              </w:rPr>
            </w:pPr>
            <w:r>
              <w:rPr>
                <w:bCs/>
                <w:iCs/>
              </w:rPr>
            </w:r>
            <w:r>
              <w:rPr>
                <w:bCs/>
                <w:iCs/>
              </w:rPr>
            </w:r>
          </w:p>
          <w:p>
            <w:pPr>
              <w:pStyle w:val="754"/>
              <w:ind w:firstLine="567"/>
              <w:jc w:val="both"/>
              <w:keepLines/>
              <w:rPr>
                <w:bCs/>
                <w:iCs/>
              </w:rPr>
            </w:pPr>
            <w:r>
              <w:rPr>
                <w:bCs/>
                <w:iCs/>
              </w:rPr>
            </w:r>
            <w:r>
              <w:rPr>
                <w:bCs/>
                <w:iCs/>
              </w:rPr>
            </w:r>
          </w:p>
          <w:p>
            <w:pPr>
              <w:pStyle w:val="754"/>
              <w:ind w:firstLine="567"/>
              <w:jc w:val="both"/>
              <w:keepLines/>
              <w:rPr>
                <w:bCs/>
                <w:iCs/>
              </w:rPr>
            </w:pPr>
            <w:r>
              <w:rPr>
                <w:bCs/>
                <w:iCs/>
              </w:rPr>
            </w:r>
            <w:r>
              <w:rPr>
                <w:bCs/>
                <w:iCs/>
              </w:rPr>
            </w:r>
          </w:p>
          <w:p>
            <w:pPr>
              <w:pStyle w:val="754"/>
              <w:ind w:firstLine="567"/>
              <w:jc w:val="both"/>
              <w:keepLines/>
              <w:rPr>
                <w:bCs/>
                <w:iCs/>
                <w:sz w:val="20"/>
                <w:szCs w:val="20"/>
              </w:rPr>
            </w:pPr>
            <w:r>
              <w:rPr>
                <w:bCs/>
                <w:iCs/>
                <w:sz w:val="20"/>
                <w:szCs w:val="20"/>
              </w:rPr>
              <w:t xml:space="preserve">300 руб./шт.</w:t>
            </w:r>
            <w:r>
              <w:rPr>
                <w:bCs/>
                <w:iCs/>
                <w:sz w:val="20"/>
                <w:szCs w:val="20"/>
              </w:rPr>
            </w:r>
          </w:p>
          <w:p>
            <w:pPr>
              <w:pStyle w:val="754"/>
              <w:ind w:firstLine="567"/>
              <w:jc w:val="both"/>
              <w:keepLines/>
              <w:rPr>
                <w:bCs/>
                <w:iCs/>
                <w:sz w:val="20"/>
                <w:szCs w:val="20"/>
              </w:rPr>
            </w:pPr>
            <w:r>
              <w:rPr>
                <w:bCs/>
                <w:iCs/>
                <w:sz w:val="20"/>
                <w:szCs w:val="20"/>
              </w:rPr>
              <w:t xml:space="preserve">280 руб./шт.</w:t>
            </w:r>
            <w:r>
              <w:rPr>
                <w:bCs/>
                <w:iCs/>
                <w:sz w:val="20"/>
                <w:szCs w:val="20"/>
              </w:rPr>
            </w:r>
          </w:p>
          <w:p>
            <w:pPr>
              <w:pStyle w:val="754"/>
              <w:ind w:firstLine="567"/>
              <w:jc w:val="both"/>
              <w:keepLines/>
              <w:rPr>
                <w:bCs/>
                <w:iCs/>
                <w:sz w:val="20"/>
                <w:szCs w:val="20"/>
              </w:rPr>
            </w:pPr>
            <w:r>
              <w:rPr>
                <w:bCs/>
                <w:iCs/>
                <w:sz w:val="20"/>
                <w:szCs w:val="20"/>
              </w:rPr>
              <w:t xml:space="preserve">260 руб./шт.</w:t>
            </w:r>
            <w:r>
              <w:rPr>
                <w:bCs/>
                <w:iCs/>
                <w:sz w:val="20"/>
                <w:szCs w:val="20"/>
              </w:rPr>
            </w:r>
          </w:p>
          <w:p>
            <w:pPr>
              <w:pStyle w:val="754"/>
              <w:ind w:firstLine="567"/>
              <w:jc w:val="both"/>
              <w:keepLines/>
              <w:rPr>
                <w:bCs/>
                <w:iCs/>
                <w:sz w:val="20"/>
                <w:szCs w:val="20"/>
              </w:rPr>
            </w:pPr>
            <w:r>
              <w:rPr>
                <w:bCs/>
                <w:iCs/>
                <w:sz w:val="20"/>
                <w:szCs w:val="20"/>
              </w:rPr>
              <w:t xml:space="preserve">240 руб./шт.</w:t>
            </w:r>
            <w:r>
              <w:rPr>
                <w:bCs/>
                <w:iCs/>
                <w:sz w:val="20"/>
                <w:szCs w:val="20"/>
              </w:rPr>
            </w:r>
          </w:p>
          <w:p>
            <w:pPr>
              <w:pStyle w:val="754"/>
              <w:ind w:firstLine="567"/>
              <w:jc w:val="both"/>
              <w:keepLines/>
              <w:rPr>
                <w:bCs/>
                <w:iCs/>
                <w:sz w:val="20"/>
                <w:szCs w:val="20"/>
              </w:rPr>
            </w:pPr>
            <w:r>
              <w:rPr>
                <w:bCs/>
                <w:iCs/>
                <w:sz w:val="20"/>
                <w:szCs w:val="20"/>
              </w:rPr>
            </w:r>
            <w:r>
              <w:rPr>
                <w:bCs/>
                <w:iCs/>
                <w:sz w:val="20"/>
                <w:szCs w:val="20"/>
              </w:rPr>
            </w:r>
          </w:p>
          <w:p>
            <w:pPr>
              <w:pStyle w:val="754"/>
              <w:ind w:firstLine="567"/>
              <w:jc w:val="both"/>
              <w:keepLines/>
              <w:rPr>
                <w:bCs/>
                <w:iCs/>
                <w:sz w:val="20"/>
                <w:szCs w:val="20"/>
              </w:rPr>
            </w:pPr>
            <w:r>
              <w:rPr>
                <w:bCs/>
                <w:iCs/>
                <w:sz w:val="20"/>
                <w:szCs w:val="20"/>
              </w:rPr>
            </w:r>
            <w:r>
              <w:rPr>
                <w:bCs/>
                <w:iCs/>
                <w:sz w:val="20"/>
                <w:szCs w:val="20"/>
              </w:rPr>
            </w:r>
          </w:p>
          <w:p>
            <w:pPr>
              <w:pStyle w:val="754"/>
              <w:ind w:firstLine="567"/>
              <w:jc w:val="both"/>
              <w:keepLines/>
              <w:rPr>
                <w:bCs/>
                <w:iCs/>
              </w:rPr>
            </w:pPr>
            <w:r>
              <w:rPr>
                <w:bCs/>
                <w:iCs/>
                <w:sz w:val="20"/>
                <w:szCs w:val="20"/>
              </w:rPr>
              <w:t xml:space="preserve">150 руб./шт.</w:t>
            </w:r>
            <w:r>
              <w:rPr>
                <w:bCs/>
                <w:iCs/>
              </w:rPr>
            </w:r>
            <w:r>
              <w:rPr>
                <w:bCs/>
                <w:iCs/>
              </w:rPr>
            </w:r>
          </w:p>
        </w:tc>
        <w:tc>
          <w:tcPr>
            <w:tcBorders>
              <w:top w:val="single" w:color="000000" w:sz="4" w:space="0"/>
              <w:bottom w:val="single" w:color="000000" w:sz="4" w:space="0"/>
            </w:tcBorders>
            <w:tcW w:w="1287" w:type="pct"/>
            <w:vAlign w:val="top"/>
            <w:textDirection w:val="lrTb"/>
            <w:noWrap w:val="false"/>
          </w:tcPr>
          <w:p>
            <w:pPr>
              <w:pStyle w:val="754"/>
              <w:ind w:firstLine="567"/>
              <w:jc w:val="both"/>
              <w:keepLines/>
              <w:rPr>
                <w:bCs/>
                <w:iCs/>
              </w:rPr>
            </w:pPr>
            <w:r>
              <w:rPr>
                <w:bCs/>
                <w:iCs/>
              </w:rPr>
              <w:t xml:space="preserve">Комиссия включает НДС»</w:t>
            </w:r>
            <w:r>
              <w:rPr>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Borders>
              <w:top w:val="single" w:color="000000" w:sz="4" w:space="0"/>
              <w:bottom w:val="single" w:color="000000" w:sz="4" w:space="0"/>
            </w:tcBorders>
            <w:tcW w:w="5000" w:type="pct"/>
            <w:vAlign w:val="top"/>
            <w:textDirection w:val="lrTb"/>
            <w:noWrap w:val="false"/>
          </w:tcPr>
          <w:p>
            <w:pPr>
              <w:pStyle w:val="754"/>
              <w:ind w:firstLine="567"/>
              <w:jc w:val="center"/>
              <w:keepLines/>
              <w:rPr>
                <w:b/>
                <w:bCs/>
                <w:iCs/>
              </w:rPr>
            </w:pPr>
            <w:r>
              <w:rPr>
                <w:b/>
                <w:bCs/>
                <w:iCs/>
              </w:rPr>
              <w:t xml:space="preserve">12. Услуги перевозки денежной наличности, других ценностей и обслуживания банкоматов, информационно-платежных терминалов (услуги предоставляются при наличии службы инкассации в соответствующем региональном филиале)  </w:t>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top"/>
            <w:textDirection w:val="lrTb"/>
            <w:noWrap w:val="false"/>
          </w:tcPr>
          <w:p>
            <w:pPr>
              <w:pStyle w:val="754"/>
              <w:jc w:val="both"/>
              <w:spacing w:before="40" w:after="40"/>
              <w:tabs>
                <w:tab w:val="center" w:pos="1260" w:leader="none"/>
                <w:tab w:val="right" w:pos="9355" w:leader="none"/>
              </w:tabs>
              <w:rPr>
                <w:sz w:val="20"/>
                <w:szCs w:val="20"/>
              </w:rPr>
            </w:pPr>
            <w:r>
              <w:rPr>
                <w:sz w:val="20"/>
                <w:szCs w:val="20"/>
              </w:rPr>
              <w:t xml:space="preserve">12.1.</w:t>
            </w:r>
            <w:r>
              <w:rPr>
                <w:sz w:val="20"/>
                <w:szCs w:val="20"/>
              </w:rPr>
            </w:r>
          </w:p>
        </w:tc>
        <w:tc>
          <w:tcPr>
            <w:gridSpan w:val="3"/>
            <w:tcBorders>
              <w:top w:val="single" w:color="000000" w:sz="4" w:space="0"/>
              <w:bottom w:val="single" w:color="000000" w:sz="4" w:space="0"/>
            </w:tcBorders>
            <w:tcW w:w="2210" w:type="pct"/>
            <w:vAlign w:val="top"/>
            <w:textDirection w:val="lrTb"/>
            <w:noWrap w:val="false"/>
          </w:tcPr>
          <w:p>
            <w:pPr>
              <w:pStyle w:val="754"/>
              <w:spacing w:before="40" w:after="40"/>
              <w:tabs>
                <w:tab w:val="center" w:pos="1260" w:leader="none"/>
                <w:tab w:val="right" w:pos="9355" w:leader="none"/>
              </w:tabs>
              <w:rPr>
                <w:sz w:val="20"/>
                <w:szCs w:val="20"/>
              </w:rPr>
            </w:pPr>
            <w:r>
              <w:rPr>
                <w:sz w:val="20"/>
                <w:szCs w:val="20"/>
              </w:rPr>
              <w:t xml:space="preserve">Доставка денежной наличности из учреждения Банка России в кредитную организацию</w:t>
            </w:r>
            <w:r>
              <w:rPr>
                <w:sz w:val="20"/>
                <w:szCs w:val="20"/>
              </w:rPr>
            </w:r>
          </w:p>
        </w:tc>
        <w:tc>
          <w:tcPr>
            <w:gridSpan w:val="2"/>
            <w:tcBorders>
              <w:top w:val="single" w:color="000000" w:sz="4" w:space="0"/>
              <w:bottom w:val="single" w:color="000000" w:sz="4" w:space="0"/>
            </w:tcBorders>
            <w:tcW w:w="983" w:type="pct"/>
            <w:vAlign w:val="top"/>
            <w:textDirection w:val="lrTb"/>
            <w:noWrap w:val="false"/>
          </w:tcPr>
          <w:p>
            <w:pPr>
              <w:pStyle w:val="754"/>
              <w:ind w:hanging="108"/>
              <w:jc w:val="center"/>
              <w:spacing w:before="40" w:after="40"/>
              <w:tabs>
                <w:tab w:val="center" w:pos="1260" w:leader="none"/>
                <w:tab w:val="right" w:pos="9355" w:leader="none"/>
              </w:tabs>
              <w:rPr>
                <w:sz w:val="20"/>
                <w:szCs w:val="20"/>
              </w:rPr>
            </w:pPr>
            <w:r>
              <w:rPr>
                <w:sz w:val="20"/>
                <w:szCs w:val="20"/>
              </w:rPr>
              <w:t xml:space="preserve">Не менее 1200 руб.</w:t>
            </w:r>
            <w:r>
              <w:rPr>
                <w:sz w:val="20"/>
                <w:szCs w:val="20"/>
              </w:rPr>
            </w:r>
          </w:p>
        </w:tc>
        <w:tc>
          <w:tcPr>
            <w:tcBorders>
              <w:top w:val="single" w:color="000000" w:sz="4" w:space="0"/>
              <w:bottom w:val="single" w:color="000000" w:sz="4" w:space="0"/>
            </w:tcBorders>
            <w:tcW w:w="1287" w:type="pct"/>
            <w:vAlign w:val="top"/>
            <w:textDirection w:val="lrTb"/>
            <w:noWrap w:val="false"/>
          </w:tcPr>
          <w:p>
            <w:pPr>
              <w:pStyle w:val="754"/>
              <w:jc w:val="both"/>
              <w:spacing w:before="40" w:after="40"/>
              <w:tabs>
                <w:tab w:val="center" w:pos="1260" w:leader="none"/>
                <w:tab w:val="right" w:pos="9355" w:leader="none"/>
              </w:tabs>
              <w:rPr>
                <w:bCs/>
                <w:sz w:val="20"/>
                <w:szCs w:val="20"/>
              </w:rPr>
            </w:pPr>
            <w:r>
              <w:rPr>
                <w:bCs/>
                <w:sz w:val="20"/>
                <w:szCs w:val="20"/>
              </w:rPr>
              <w:t xml:space="preserve">Комиссия взимается за одну доставку. </w:t>
            </w:r>
            <w:r>
              <w:rPr>
                <w:bCs/>
                <w:sz w:val="20"/>
                <w:szCs w:val="20"/>
              </w:rPr>
            </w:r>
          </w:p>
          <w:p>
            <w:pPr>
              <w:pStyle w:val="754"/>
              <w:jc w:val="both"/>
              <w:spacing w:before="40" w:after="40"/>
              <w:tabs>
                <w:tab w:val="center" w:pos="1260" w:leader="none"/>
                <w:tab w:val="right" w:pos="9355" w:leader="none"/>
              </w:tabs>
              <w:rPr>
                <w:bCs/>
                <w:sz w:val="20"/>
                <w:szCs w:val="20"/>
              </w:rPr>
            </w:pPr>
            <w:r>
              <w:rPr>
                <w:bCs/>
                <w:sz w:val="20"/>
                <w:szCs w:val="20"/>
              </w:rPr>
              <w:t xml:space="preserve">Комиссия включает НДС.</w:t>
            </w:r>
            <w:r>
              <w:rPr>
                <w:bCs/>
                <w:sz w:val="20"/>
                <w:szCs w:val="20"/>
              </w:rPr>
            </w:r>
          </w:p>
          <w:p>
            <w:pPr>
              <w:pStyle w:val="754"/>
              <w:jc w:val="both"/>
              <w:spacing w:before="40" w:after="40"/>
              <w:tabs>
                <w:tab w:val="center" w:pos="1260" w:leader="none"/>
                <w:tab w:val="right" w:pos="9355" w:leader="none"/>
              </w:tabs>
              <w:rPr>
                <w:b/>
                <w:sz w:val="20"/>
                <w:szCs w:val="20"/>
              </w:rPr>
            </w:pPr>
            <w:r>
              <w:rPr>
                <w:b/>
                <w:sz w:val="20"/>
                <w:szCs w:val="20"/>
              </w:rPr>
              <w:t xml:space="preserve">Услуга не предоставляется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top"/>
            <w:textDirection w:val="lrTb"/>
            <w:noWrap w:val="false"/>
          </w:tcPr>
          <w:p>
            <w:pPr>
              <w:pStyle w:val="754"/>
              <w:jc w:val="both"/>
              <w:spacing w:before="40" w:after="40"/>
              <w:tabs>
                <w:tab w:val="center" w:pos="1260" w:leader="none"/>
                <w:tab w:val="right" w:pos="9355" w:leader="none"/>
              </w:tabs>
              <w:rPr>
                <w:sz w:val="20"/>
                <w:szCs w:val="20"/>
              </w:rPr>
            </w:pPr>
            <w:r>
              <w:rPr>
                <w:sz w:val="20"/>
                <w:szCs w:val="20"/>
              </w:rPr>
              <w:t xml:space="preserve">12.2.</w:t>
            </w:r>
            <w:r>
              <w:rPr>
                <w:sz w:val="20"/>
                <w:szCs w:val="20"/>
              </w:rPr>
            </w:r>
          </w:p>
        </w:tc>
        <w:tc>
          <w:tcPr>
            <w:gridSpan w:val="3"/>
            <w:tcBorders>
              <w:top w:val="single" w:color="000000" w:sz="4" w:space="0"/>
              <w:bottom w:val="single" w:color="000000" w:sz="4" w:space="0"/>
            </w:tcBorders>
            <w:tcW w:w="2210" w:type="pct"/>
            <w:vAlign w:val="top"/>
            <w:textDirection w:val="lrTb"/>
            <w:noWrap w:val="false"/>
          </w:tcPr>
          <w:p>
            <w:pPr>
              <w:pStyle w:val="754"/>
              <w:spacing w:before="40" w:after="40"/>
              <w:tabs>
                <w:tab w:val="center" w:pos="1260" w:leader="none"/>
                <w:tab w:val="right" w:pos="9355" w:leader="none"/>
              </w:tabs>
              <w:rPr>
                <w:sz w:val="20"/>
                <w:szCs w:val="20"/>
              </w:rPr>
            </w:pPr>
            <w:r>
              <w:rPr>
                <w:sz w:val="20"/>
                <w:szCs w:val="20"/>
              </w:rPr>
              <w:t xml:space="preserve">Доставка денежной наличности в учреждение Банка России из кредитной организации</w:t>
            </w:r>
            <w:r>
              <w:rPr>
                <w:sz w:val="20"/>
                <w:szCs w:val="20"/>
              </w:rPr>
            </w:r>
          </w:p>
        </w:tc>
        <w:tc>
          <w:tcPr>
            <w:gridSpan w:val="2"/>
            <w:tcBorders>
              <w:top w:val="single" w:color="000000" w:sz="4" w:space="0"/>
              <w:bottom w:val="single" w:color="000000" w:sz="4" w:space="0"/>
            </w:tcBorders>
            <w:tcW w:w="983" w:type="pct"/>
            <w:vAlign w:val="top"/>
            <w:textDirection w:val="lrTb"/>
            <w:noWrap w:val="false"/>
          </w:tcPr>
          <w:p>
            <w:pPr>
              <w:pStyle w:val="754"/>
              <w:jc w:val="center"/>
              <w:spacing w:before="40" w:after="40"/>
              <w:tabs>
                <w:tab w:val="center" w:pos="1260" w:leader="none"/>
                <w:tab w:val="right" w:pos="9355" w:leader="none"/>
              </w:tabs>
              <w:rPr>
                <w:sz w:val="20"/>
                <w:szCs w:val="20"/>
              </w:rPr>
            </w:pPr>
            <w:r>
              <w:rPr>
                <w:sz w:val="20"/>
                <w:szCs w:val="20"/>
              </w:rPr>
              <w:t xml:space="preserve">Не менее 1200 руб.</w:t>
            </w:r>
            <w:r>
              <w:rPr>
                <w:sz w:val="20"/>
                <w:szCs w:val="20"/>
              </w:rPr>
            </w:r>
          </w:p>
        </w:tc>
        <w:tc>
          <w:tcPr>
            <w:tcBorders>
              <w:top w:val="single" w:color="000000" w:sz="4" w:space="0"/>
              <w:bottom w:val="single" w:color="000000" w:sz="4" w:space="0"/>
            </w:tcBorders>
            <w:tcW w:w="1287" w:type="pct"/>
            <w:vAlign w:val="top"/>
            <w:textDirection w:val="lrTb"/>
            <w:noWrap w:val="false"/>
          </w:tcPr>
          <w:p>
            <w:pPr>
              <w:pStyle w:val="754"/>
              <w:ind w:left="-52" w:firstLine="52"/>
              <w:jc w:val="both"/>
              <w:spacing w:before="40" w:after="40"/>
              <w:rPr>
                <w:bCs/>
                <w:sz w:val="20"/>
                <w:szCs w:val="20"/>
              </w:rPr>
            </w:pPr>
            <w:r>
              <w:rPr>
                <w:bCs/>
                <w:sz w:val="20"/>
                <w:szCs w:val="20"/>
              </w:rPr>
              <w:t xml:space="preserve">Комиссия взимается за одну доставку. </w:t>
            </w:r>
            <w:r>
              <w:rPr>
                <w:bCs/>
                <w:sz w:val="20"/>
                <w:szCs w:val="20"/>
              </w:rPr>
            </w:r>
          </w:p>
          <w:p>
            <w:pPr>
              <w:pStyle w:val="754"/>
              <w:ind w:left="-52" w:firstLine="52"/>
              <w:jc w:val="both"/>
              <w:spacing w:before="40" w:after="40"/>
              <w:rPr>
                <w:bCs/>
                <w:sz w:val="20"/>
                <w:szCs w:val="20"/>
              </w:rPr>
            </w:pPr>
            <w:r>
              <w:rPr>
                <w:bCs/>
                <w:sz w:val="20"/>
                <w:szCs w:val="20"/>
              </w:rPr>
              <w:t xml:space="preserve">Комиссия включает НДС.</w:t>
            </w:r>
            <w:r>
              <w:rPr>
                <w:bCs/>
                <w:sz w:val="20"/>
                <w:szCs w:val="20"/>
              </w:rPr>
            </w:r>
          </w:p>
          <w:p>
            <w:pPr>
              <w:pStyle w:val="754"/>
              <w:ind w:left="-52" w:firstLine="52"/>
              <w:jc w:val="both"/>
              <w:spacing w:before="40" w:after="40"/>
              <w:rPr>
                <w:sz w:val="20"/>
                <w:szCs w:val="20"/>
              </w:rPr>
            </w:pPr>
            <w:r>
              <w:rPr>
                <w:b/>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top"/>
            <w:textDirection w:val="lrTb"/>
            <w:noWrap w:val="false"/>
          </w:tcPr>
          <w:p>
            <w:pPr>
              <w:pStyle w:val="754"/>
              <w:jc w:val="both"/>
              <w:spacing w:before="40" w:after="40"/>
              <w:tabs>
                <w:tab w:val="center" w:pos="1260" w:leader="none"/>
                <w:tab w:val="right" w:pos="9355" w:leader="none"/>
              </w:tabs>
              <w:rPr>
                <w:sz w:val="20"/>
                <w:szCs w:val="20"/>
              </w:rPr>
            </w:pPr>
            <w:r>
              <w:rPr>
                <w:sz w:val="20"/>
                <w:szCs w:val="20"/>
              </w:rPr>
              <w:t xml:space="preserve">12.3.</w:t>
            </w:r>
            <w:r>
              <w:rPr>
                <w:sz w:val="20"/>
                <w:szCs w:val="20"/>
              </w:rPr>
            </w:r>
          </w:p>
        </w:tc>
        <w:tc>
          <w:tcPr>
            <w:gridSpan w:val="3"/>
            <w:tcBorders>
              <w:top w:val="single" w:color="000000" w:sz="4" w:space="0"/>
              <w:bottom w:val="single" w:color="000000" w:sz="4" w:space="0"/>
            </w:tcBorders>
            <w:tcW w:w="2210" w:type="pct"/>
            <w:vAlign w:val="top"/>
            <w:textDirection w:val="lrTb"/>
            <w:noWrap w:val="false"/>
          </w:tcPr>
          <w:p>
            <w:pPr>
              <w:pStyle w:val="754"/>
              <w:spacing w:before="40" w:after="40"/>
              <w:tabs>
                <w:tab w:val="center" w:pos="1260" w:leader="none"/>
                <w:tab w:val="right" w:pos="9355" w:leader="none"/>
              </w:tabs>
              <w:rPr>
                <w:sz w:val="20"/>
                <w:szCs w:val="20"/>
              </w:rPr>
            </w:pPr>
            <w:r>
              <w:rPr>
                <w:sz w:val="20"/>
                <w:szCs w:val="20"/>
              </w:rPr>
              <w:t xml:space="preserve">Перевозка денежной наличности и других ценностей между подразделениями кредитной организации </w:t>
            </w:r>
            <w:r>
              <w:rPr>
                <w:sz w:val="20"/>
                <w:szCs w:val="20"/>
              </w:rPr>
            </w:r>
          </w:p>
        </w:tc>
        <w:tc>
          <w:tcPr>
            <w:gridSpan w:val="2"/>
            <w:tcBorders>
              <w:top w:val="single" w:color="000000" w:sz="4" w:space="0"/>
              <w:bottom w:val="single" w:color="000000" w:sz="4" w:space="0"/>
            </w:tcBorders>
            <w:tcW w:w="983" w:type="pct"/>
            <w:vAlign w:val="top"/>
            <w:textDirection w:val="lrTb"/>
            <w:noWrap w:val="false"/>
          </w:tcPr>
          <w:p>
            <w:pPr>
              <w:pStyle w:val="754"/>
              <w:jc w:val="center"/>
              <w:spacing w:before="40" w:after="40"/>
              <w:tabs>
                <w:tab w:val="center" w:pos="1260" w:leader="none"/>
                <w:tab w:val="right" w:pos="9355" w:leader="none"/>
              </w:tabs>
              <w:rPr>
                <w:sz w:val="20"/>
                <w:szCs w:val="20"/>
              </w:rPr>
            </w:pPr>
            <w:r>
              <w:rPr>
                <w:sz w:val="20"/>
                <w:szCs w:val="20"/>
              </w:rPr>
              <w:t xml:space="preserve">Не менее 0,015% от суммы, </w:t>
            </w:r>
            <w:r>
              <w:rPr>
                <w:sz w:val="20"/>
                <w:szCs w:val="20"/>
              </w:rPr>
            </w:r>
          </w:p>
          <w:p>
            <w:pPr>
              <w:pStyle w:val="754"/>
              <w:jc w:val="center"/>
              <w:spacing w:before="40" w:after="40"/>
              <w:tabs>
                <w:tab w:val="center" w:pos="1260" w:leader="none"/>
                <w:tab w:val="right" w:pos="9355" w:leader="none"/>
              </w:tabs>
              <w:rPr>
                <w:sz w:val="20"/>
                <w:szCs w:val="20"/>
              </w:rPr>
            </w:pPr>
            <w:r>
              <w:rPr>
                <w:sz w:val="20"/>
                <w:szCs w:val="20"/>
              </w:rPr>
              <w:t xml:space="preserve">минимум 1200 руб.</w:t>
            </w:r>
            <w:r>
              <w:rPr>
                <w:sz w:val="20"/>
                <w:szCs w:val="20"/>
              </w:rPr>
            </w:r>
          </w:p>
        </w:tc>
        <w:tc>
          <w:tcPr>
            <w:tcBorders>
              <w:top w:val="single" w:color="000000" w:sz="4" w:space="0"/>
              <w:bottom w:val="single" w:color="000000" w:sz="4" w:space="0"/>
            </w:tcBorders>
            <w:tcW w:w="1287" w:type="pct"/>
            <w:vAlign w:val="top"/>
            <w:textDirection w:val="lrTb"/>
            <w:noWrap w:val="false"/>
          </w:tcPr>
          <w:p>
            <w:pPr>
              <w:pStyle w:val="754"/>
              <w:ind w:left="-52" w:firstLine="52"/>
              <w:jc w:val="both"/>
              <w:spacing w:before="40" w:after="40"/>
              <w:rPr>
                <w:bCs/>
                <w:sz w:val="20"/>
                <w:szCs w:val="20"/>
              </w:rPr>
            </w:pPr>
            <w:r>
              <w:rPr>
                <w:bCs/>
                <w:sz w:val="20"/>
                <w:szCs w:val="20"/>
              </w:rPr>
              <w:t xml:space="preserve">Комиссия взимается от суммы перевозимой денежной наличности за один заезд*.</w:t>
            </w:r>
            <w:r>
              <w:rPr>
                <w:bCs/>
                <w:sz w:val="20"/>
                <w:szCs w:val="20"/>
              </w:rPr>
            </w:r>
          </w:p>
          <w:p>
            <w:pPr>
              <w:pStyle w:val="754"/>
              <w:ind w:left="-52" w:firstLine="52"/>
              <w:jc w:val="both"/>
              <w:spacing w:before="40" w:after="40"/>
              <w:rPr>
                <w:bCs/>
                <w:sz w:val="20"/>
                <w:szCs w:val="20"/>
              </w:rPr>
            </w:pPr>
            <w:r>
              <w:rPr>
                <w:bCs/>
                <w:sz w:val="20"/>
                <w:szCs w:val="20"/>
              </w:rPr>
              <w:t xml:space="preserve">Комиссия включает НДС.</w:t>
            </w:r>
            <w:r>
              <w:rPr>
                <w:bCs/>
                <w:sz w:val="20"/>
                <w:szCs w:val="20"/>
              </w:rPr>
            </w:r>
          </w:p>
          <w:p>
            <w:pPr>
              <w:pStyle w:val="754"/>
              <w:ind w:left="-52" w:firstLine="52"/>
              <w:jc w:val="both"/>
              <w:spacing w:before="40" w:after="40"/>
              <w:rPr>
                <w:sz w:val="20"/>
                <w:szCs w:val="20"/>
              </w:rPr>
            </w:pPr>
            <w:r>
              <w:rPr>
                <w:b/>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top"/>
            <w:textDirection w:val="lrTb"/>
            <w:noWrap w:val="false"/>
          </w:tcPr>
          <w:p>
            <w:pPr>
              <w:pStyle w:val="754"/>
              <w:jc w:val="both"/>
              <w:spacing w:before="40" w:after="40"/>
              <w:tabs>
                <w:tab w:val="center" w:pos="1260" w:leader="none"/>
                <w:tab w:val="right" w:pos="9355" w:leader="none"/>
              </w:tabs>
              <w:rPr>
                <w:sz w:val="20"/>
                <w:szCs w:val="20"/>
              </w:rPr>
            </w:pPr>
            <w:r>
              <w:rPr>
                <w:sz w:val="20"/>
                <w:szCs w:val="20"/>
              </w:rPr>
              <w:t xml:space="preserve">12.4.</w:t>
            </w:r>
            <w:r>
              <w:rPr>
                <w:sz w:val="20"/>
                <w:szCs w:val="20"/>
              </w:rPr>
            </w:r>
          </w:p>
        </w:tc>
        <w:tc>
          <w:tcPr>
            <w:gridSpan w:val="3"/>
            <w:tcBorders>
              <w:top w:val="single" w:color="000000" w:sz="4" w:space="0"/>
              <w:bottom w:val="single" w:color="000000" w:sz="4" w:space="0"/>
            </w:tcBorders>
            <w:tcW w:w="2210" w:type="pct"/>
            <w:vAlign w:val="top"/>
            <w:textDirection w:val="lrTb"/>
            <w:noWrap w:val="false"/>
          </w:tcPr>
          <w:p>
            <w:pPr>
              <w:pStyle w:val="754"/>
              <w:spacing w:before="40" w:after="40"/>
              <w:tabs>
                <w:tab w:val="center" w:pos="1260" w:leader="none"/>
                <w:tab w:val="right" w:pos="9355" w:leader="none"/>
              </w:tabs>
              <w:rPr>
                <w:sz w:val="20"/>
                <w:szCs w:val="20"/>
              </w:rPr>
            </w:pPr>
            <w:r>
              <w:rPr>
                <w:sz w:val="20"/>
                <w:szCs w:val="20"/>
              </w:rPr>
              <w:t xml:space="preserve">Обслуживание банкоматов кредитной организации</w:t>
            </w:r>
            <w:r>
              <w:rPr>
                <w:sz w:val="20"/>
                <w:szCs w:val="20"/>
              </w:rPr>
            </w:r>
          </w:p>
        </w:tc>
        <w:tc>
          <w:tcPr>
            <w:gridSpan w:val="2"/>
            <w:tcBorders>
              <w:top w:val="single" w:color="000000" w:sz="4" w:space="0"/>
              <w:bottom w:val="single" w:color="000000" w:sz="4" w:space="0"/>
            </w:tcBorders>
            <w:tcW w:w="983" w:type="pct"/>
            <w:vAlign w:val="top"/>
            <w:textDirection w:val="lrTb"/>
            <w:noWrap w:val="false"/>
          </w:tcPr>
          <w:p>
            <w:pPr>
              <w:pStyle w:val="754"/>
              <w:jc w:val="center"/>
              <w:spacing w:before="40" w:after="40"/>
              <w:tabs>
                <w:tab w:val="center" w:pos="1260" w:leader="none"/>
                <w:tab w:val="right" w:pos="9355" w:leader="none"/>
              </w:tabs>
              <w:rPr>
                <w:sz w:val="20"/>
                <w:szCs w:val="20"/>
              </w:rPr>
            </w:pPr>
            <w:r>
              <w:rPr>
                <w:sz w:val="20"/>
                <w:szCs w:val="20"/>
              </w:rPr>
              <w:t xml:space="preserve">Не менее 900 руб.</w:t>
            </w:r>
            <w:r>
              <w:rPr>
                <w:sz w:val="20"/>
                <w:szCs w:val="20"/>
              </w:rPr>
            </w:r>
          </w:p>
        </w:tc>
        <w:tc>
          <w:tcPr>
            <w:tcBorders>
              <w:top w:val="single" w:color="000000" w:sz="4" w:space="0"/>
              <w:bottom w:val="single" w:color="000000" w:sz="4" w:space="0"/>
            </w:tcBorders>
            <w:tcW w:w="1287" w:type="pct"/>
            <w:vAlign w:val="top"/>
            <w:textDirection w:val="lrTb"/>
            <w:noWrap w:val="false"/>
          </w:tcPr>
          <w:p>
            <w:pPr>
              <w:pStyle w:val="754"/>
              <w:ind w:left="-52" w:firstLine="52"/>
              <w:jc w:val="both"/>
              <w:spacing w:before="40" w:after="40"/>
              <w:rPr>
                <w:bCs/>
                <w:sz w:val="20"/>
                <w:szCs w:val="20"/>
              </w:rPr>
            </w:pPr>
            <w:r>
              <w:rPr>
                <w:bCs/>
                <w:sz w:val="20"/>
                <w:szCs w:val="20"/>
              </w:rPr>
              <w:t xml:space="preserve">Комиссия взимается за обслуживание одного банкомата**. </w:t>
            </w:r>
            <w:r>
              <w:rPr>
                <w:bCs/>
                <w:sz w:val="20"/>
                <w:szCs w:val="20"/>
              </w:rPr>
            </w:r>
          </w:p>
          <w:p>
            <w:pPr>
              <w:pStyle w:val="754"/>
              <w:ind w:left="-52" w:firstLine="52"/>
              <w:jc w:val="both"/>
              <w:spacing w:before="40" w:after="40"/>
              <w:rPr>
                <w:bCs/>
                <w:sz w:val="20"/>
                <w:szCs w:val="20"/>
              </w:rPr>
            </w:pPr>
            <w:r>
              <w:rPr>
                <w:bCs/>
                <w:sz w:val="20"/>
                <w:szCs w:val="20"/>
              </w:rPr>
              <w:t xml:space="preserve">Комиссия включает НДС.</w:t>
            </w:r>
            <w:r>
              <w:rPr>
                <w:bCs/>
                <w:sz w:val="20"/>
                <w:szCs w:val="20"/>
              </w:rPr>
            </w:r>
          </w:p>
          <w:p>
            <w:pPr>
              <w:pStyle w:val="754"/>
              <w:ind w:left="-52" w:firstLine="52"/>
              <w:jc w:val="both"/>
              <w:spacing w:before="40" w:after="40"/>
              <w:rPr>
                <w:sz w:val="20"/>
                <w:szCs w:val="20"/>
              </w:rPr>
            </w:pPr>
            <w:r>
              <w:rPr>
                <w:b/>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top"/>
            <w:textDirection w:val="lrTb"/>
            <w:noWrap w:val="false"/>
          </w:tcPr>
          <w:p>
            <w:pPr>
              <w:pStyle w:val="754"/>
              <w:jc w:val="both"/>
              <w:spacing w:before="40" w:after="40"/>
              <w:tabs>
                <w:tab w:val="center" w:pos="1260" w:leader="none"/>
                <w:tab w:val="right" w:pos="9355" w:leader="none"/>
              </w:tabs>
              <w:rPr>
                <w:sz w:val="20"/>
                <w:szCs w:val="20"/>
              </w:rPr>
            </w:pPr>
            <w:r>
              <w:rPr>
                <w:sz w:val="20"/>
                <w:szCs w:val="20"/>
              </w:rPr>
              <w:t xml:space="preserve">12.5.</w:t>
            </w:r>
            <w:r>
              <w:rPr>
                <w:sz w:val="20"/>
                <w:szCs w:val="20"/>
              </w:rPr>
            </w:r>
          </w:p>
        </w:tc>
        <w:tc>
          <w:tcPr>
            <w:gridSpan w:val="3"/>
            <w:tcBorders>
              <w:top w:val="single" w:color="000000" w:sz="4" w:space="0"/>
              <w:bottom w:val="single" w:color="000000" w:sz="4" w:space="0"/>
            </w:tcBorders>
            <w:tcW w:w="2210" w:type="pct"/>
            <w:vAlign w:val="top"/>
            <w:textDirection w:val="lrTb"/>
            <w:noWrap w:val="false"/>
          </w:tcPr>
          <w:p>
            <w:pPr>
              <w:pStyle w:val="754"/>
              <w:spacing w:before="40" w:after="40"/>
              <w:tabs>
                <w:tab w:val="center" w:pos="1260" w:leader="none"/>
                <w:tab w:val="right" w:pos="9355" w:leader="none"/>
              </w:tabs>
              <w:rPr>
                <w:sz w:val="20"/>
                <w:szCs w:val="20"/>
              </w:rPr>
            </w:pPr>
            <w:r>
              <w:rPr>
                <w:sz w:val="20"/>
                <w:szCs w:val="20"/>
              </w:rPr>
              <w:t xml:space="preserve">Обслуживание информационно-платежных терминалов кредитной организации</w:t>
            </w:r>
            <w:r>
              <w:rPr>
                <w:sz w:val="20"/>
                <w:szCs w:val="20"/>
              </w:rPr>
            </w:r>
          </w:p>
        </w:tc>
        <w:tc>
          <w:tcPr>
            <w:gridSpan w:val="2"/>
            <w:tcBorders>
              <w:top w:val="single" w:color="000000" w:sz="4" w:space="0"/>
              <w:bottom w:val="single" w:color="000000" w:sz="4" w:space="0"/>
            </w:tcBorders>
            <w:tcW w:w="983" w:type="pct"/>
            <w:vAlign w:val="top"/>
            <w:textDirection w:val="lrTb"/>
            <w:noWrap w:val="false"/>
          </w:tcPr>
          <w:p>
            <w:pPr>
              <w:pStyle w:val="754"/>
              <w:ind w:firstLine="34"/>
              <w:jc w:val="center"/>
              <w:spacing w:before="40" w:after="40"/>
              <w:tabs>
                <w:tab w:val="center" w:pos="1260" w:leader="none"/>
                <w:tab w:val="right" w:pos="9355" w:leader="none"/>
              </w:tabs>
              <w:rPr>
                <w:sz w:val="20"/>
                <w:szCs w:val="20"/>
              </w:rPr>
            </w:pPr>
            <w:r>
              <w:rPr>
                <w:sz w:val="20"/>
                <w:szCs w:val="20"/>
              </w:rPr>
              <w:t xml:space="preserve">Не менее 500 руб.</w:t>
            </w:r>
            <w:r>
              <w:rPr>
                <w:sz w:val="20"/>
                <w:szCs w:val="20"/>
              </w:rPr>
            </w:r>
          </w:p>
        </w:tc>
        <w:tc>
          <w:tcPr>
            <w:tcBorders>
              <w:top w:val="single" w:color="000000" w:sz="4" w:space="0"/>
              <w:bottom w:val="single" w:color="000000" w:sz="4" w:space="0"/>
            </w:tcBorders>
            <w:tcW w:w="1287" w:type="pct"/>
            <w:vAlign w:val="top"/>
            <w:textDirection w:val="lrTb"/>
            <w:noWrap w:val="false"/>
          </w:tcPr>
          <w:p>
            <w:pPr>
              <w:pStyle w:val="754"/>
              <w:ind w:left="-52" w:firstLine="52"/>
              <w:jc w:val="both"/>
              <w:spacing w:before="40" w:after="40"/>
              <w:rPr>
                <w:bCs/>
                <w:sz w:val="20"/>
                <w:szCs w:val="20"/>
              </w:rPr>
            </w:pPr>
            <w:r>
              <w:rPr>
                <w:bCs/>
                <w:sz w:val="20"/>
                <w:szCs w:val="20"/>
              </w:rPr>
              <w:t xml:space="preserve">Комиссия взимается за обслуживание одного информационно-платежного терминала**. </w:t>
            </w:r>
            <w:r>
              <w:rPr>
                <w:bCs/>
                <w:sz w:val="20"/>
                <w:szCs w:val="20"/>
              </w:rPr>
            </w:r>
          </w:p>
          <w:p>
            <w:pPr>
              <w:pStyle w:val="754"/>
              <w:ind w:left="-52" w:firstLine="52"/>
              <w:jc w:val="both"/>
              <w:spacing w:before="40" w:after="40"/>
              <w:rPr>
                <w:bCs/>
                <w:sz w:val="20"/>
                <w:szCs w:val="20"/>
              </w:rPr>
            </w:pPr>
            <w:r>
              <w:rPr>
                <w:bCs/>
                <w:sz w:val="20"/>
                <w:szCs w:val="20"/>
              </w:rPr>
              <w:t xml:space="preserve">Комиссия включает НДС.</w:t>
            </w:r>
            <w:r>
              <w:rPr>
                <w:bCs/>
                <w:sz w:val="20"/>
                <w:szCs w:val="20"/>
              </w:rPr>
            </w:r>
          </w:p>
          <w:p>
            <w:pPr>
              <w:pStyle w:val="754"/>
              <w:ind w:left="-52" w:firstLine="52"/>
              <w:jc w:val="both"/>
              <w:spacing w:before="40" w:after="40"/>
              <w:rPr>
                <w:sz w:val="20"/>
                <w:szCs w:val="20"/>
              </w:rPr>
            </w:pPr>
            <w:r>
              <w:rPr>
                <w:b/>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Borders>
              <w:top w:val="single" w:color="000000" w:sz="4" w:space="0"/>
              <w:bottom w:val="single" w:color="000000" w:sz="4" w:space="0"/>
            </w:tcBorders>
            <w:tcW w:w="5000" w:type="pct"/>
            <w:vAlign w:val="center"/>
            <w:textDirection w:val="lrTb"/>
            <w:noWrap w:val="false"/>
          </w:tcPr>
          <w:p>
            <w:pPr>
              <w:pStyle w:val="754"/>
              <w:jc w:val="center"/>
              <w:rPr>
                <w:b/>
                <w:bCs/>
              </w:rPr>
            </w:pPr>
            <w:r>
              <w:rPr>
                <w:b/>
                <w:bCs/>
              </w:rPr>
            </w:r>
            <w:r>
              <w:rPr>
                <w:b/>
                <w:bCs/>
              </w:rPr>
            </w:r>
          </w:p>
          <w:p>
            <w:pPr>
              <w:pStyle w:val="754"/>
              <w:jc w:val="center"/>
              <w:rPr>
                <w:b/>
                <w:bCs/>
              </w:rPr>
            </w:pPr>
            <w:r>
              <w:rPr>
                <w:b/>
                <w:bCs/>
              </w:rPr>
              <w:t xml:space="preserve">13. </w:t>
            </w:r>
            <w:r>
              <w:rPr>
                <w:b/>
                <w:bCs/>
              </w:rPr>
              <w:t xml:space="preserve">Сделки</w:t>
            </w:r>
            <w:r>
              <w:rPr>
                <w:b/>
                <w:bCs/>
              </w:rPr>
              <w:t xml:space="preserve"> на Монетной площадке Банка России</w:t>
            </w:r>
            <w:r>
              <w:rPr>
                <w:b/>
                <w:bCs/>
              </w:rPr>
            </w:r>
            <w:r>
              <w:rPr>
                <w:b/>
                <w:bCs/>
              </w:rPr>
            </w:r>
          </w:p>
          <w:p>
            <w:pPr>
              <w:pStyle w:val="754"/>
              <w:jc w:val="center"/>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top"/>
            <w:textDirection w:val="lrTb"/>
            <w:noWrap w:val="false"/>
          </w:tcPr>
          <w:p>
            <w:pPr>
              <w:pStyle w:val="754"/>
              <w:rPr>
                <w:bCs/>
                <w:sz w:val="20"/>
                <w:szCs w:val="20"/>
              </w:rPr>
            </w:pPr>
            <w:r>
              <w:rPr>
                <w:bCs/>
                <w:sz w:val="20"/>
                <w:szCs w:val="20"/>
              </w:rPr>
              <w:t xml:space="preserve">13.1.</w:t>
            </w:r>
            <w:r>
              <w:rPr>
                <w:bCs/>
                <w:sz w:val="20"/>
                <w:szCs w:val="20"/>
              </w:rPr>
            </w:r>
          </w:p>
        </w:tc>
        <w:tc>
          <w:tcPr>
            <w:gridSpan w:val="3"/>
            <w:tcBorders>
              <w:top w:val="single" w:color="000000" w:sz="4" w:space="0"/>
              <w:bottom w:val="single" w:color="000000" w:sz="4" w:space="0"/>
            </w:tcBorders>
            <w:tcW w:w="2210" w:type="pct"/>
            <w:vAlign w:val="top"/>
            <w:textDirection w:val="lrTb"/>
            <w:noWrap w:val="false"/>
          </w:tcPr>
          <w:p>
            <w:pPr>
              <w:pStyle w:val="754"/>
              <w:rPr>
                <w:bCs/>
                <w:sz w:val="20"/>
                <w:szCs w:val="20"/>
              </w:rPr>
            </w:pPr>
            <w:r>
              <w:rPr>
                <w:bCs/>
                <w:sz w:val="20"/>
                <w:szCs w:val="20"/>
              </w:rPr>
              <w:t xml:space="preserve">Выдача монеты Банка России в рамках сделок, заключенных на Монетной площадке Банка России</w:t>
            </w:r>
            <w:r>
              <w:rPr>
                <w:bCs/>
                <w:sz w:val="20"/>
                <w:szCs w:val="20"/>
              </w:rPr>
            </w:r>
          </w:p>
        </w:tc>
        <w:tc>
          <w:tcPr>
            <w:gridSpan w:val="2"/>
            <w:tcBorders>
              <w:top w:val="single" w:color="000000" w:sz="4" w:space="0"/>
              <w:bottom w:val="single" w:color="000000" w:sz="4" w:space="0"/>
            </w:tcBorders>
            <w:tcW w:w="983" w:type="pct"/>
            <w:vAlign w:val="top"/>
            <w:textDirection w:val="lrTb"/>
            <w:noWrap w:val="false"/>
          </w:tcPr>
          <w:p>
            <w:pPr>
              <w:pStyle w:val="754"/>
              <w:spacing w:before="120" w:after="120"/>
              <w:rPr>
                <w:bCs/>
                <w:sz w:val="20"/>
                <w:szCs w:val="20"/>
              </w:rPr>
            </w:pPr>
            <w:r>
              <w:rPr>
                <w:bCs/>
                <w:sz w:val="20"/>
                <w:szCs w:val="20"/>
              </w:rPr>
              <w:t xml:space="preserve">0-1% от суммы сделки</w:t>
            </w:r>
            <w:r>
              <w:rPr>
                <w:bCs/>
                <w:sz w:val="20"/>
                <w:szCs w:val="20"/>
              </w:rPr>
            </w:r>
          </w:p>
        </w:tc>
        <w:tc>
          <w:tcPr>
            <w:tcBorders>
              <w:top w:val="single" w:color="000000" w:sz="4" w:space="0"/>
              <w:bottom w:val="single" w:color="000000" w:sz="4" w:space="0"/>
            </w:tcBorders>
            <w:tcW w:w="1287" w:type="pct"/>
            <w:vAlign w:val="top"/>
            <w:textDirection w:val="lrTb"/>
            <w:noWrap w:val="false"/>
          </w:tcPr>
          <w:p>
            <w:pPr>
              <w:pStyle w:val="754"/>
              <w:rPr>
                <w:bCs/>
                <w:sz w:val="20"/>
                <w:szCs w:val="20"/>
              </w:rPr>
            </w:pPr>
            <w:r>
              <w:rPr>
                <w:bCs/>
                <w:sz w:val="20"/>
                <w:szCs w:val="20"/>
              </w:rPr>
              <w:t xml:space="preserve">Услуга предоставляется при наличии заключенного с                     АО «Россельхозбанк» Договора на получение (сдачу) монеты Банка России в рамках сделок, согласованных на Монетной площадке Банка России.</w:t>
            </w:r>
            <w:r>
              <w:rPr>
                <w:bCs/>
                <w:sz w:val="20"/>
                <w:szCs w:val="20"/>
              </w:rPr>
            </w:r>
          </w:p>
          <w:p>
            <w:pPr>
              <w:pStyle w:val="754"/>
              <w:spacing w:before="120" w:after="120"/>
              <w:rPr>
                <w:bCs/>
                <w:sz w:val="20"/>
                <w:szCs w:val="20"/>
              </w:rPr>
            </w:pPr>
            <w:r>
              <w:rPr>
                <w:bCs/>
                <w:sz w:val="20"/>
                <w:szCs w:val="20"/>
              </w:rPr>
              <w:t xml:space="preserve">Комиссия указана за одну сделку, взимается в дату, указанную в Заявке на получение монеты Банка России.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bottom w:val="single" w:color="000000" w:sz="4" w:space="0"/>
            </w:tcBorders>
            <w:tcW w:w="520" w:type="pct"/>
            <w:vAlign w:val="top"/>
            <w:textDirection w:val="lrTb"/>
            <w:noWrap w:val="false"/>
          </w:tcPr>
          <w:p>
            <w:pPr>
              <w:pStyle w:val="754"/>
              <w:rPr>
                <w:bCs/>
                <w:sz w:val="20"/>
                <w:szCs w:val="20"/>
              </w:rPr>
            </w:pPr>
            <w:r>
              <w:rPr>
                <w:bCs/>
                <w:sz w:val="20"/>
                <w:szCs w:val="20"/>
              </w:rPr>
              <w:t xml:space="preserve">13.2.</w:t>
            </w:r>
            <w:r>
              <w:rPr>
                <w:bCs/>
                <w:sz w:val="20"/>
                <w:szCs w:val="20"/>
              </w:rPr>
            </w:r>
          </w:p>
        </w:tc>
        <w:tc>
          <w:tcPr>
            <w:gridSpan w:val="3"/>
            <w:tcBorders>
              <w:top w:val="single" w:color="000000" w:sz="4" w:space="0"/>
              <w:bottom w:val="single" w:color="000000" w:sz="4" w:space="0"/>
            </w:tcBorders>
            <w:tcW w:w="2210" w:type="pct"/>
            <w:vAlign w:val="top"/>
            <w:textDirection w:val="lrTb"/>
            <w:noWrap w:val="false"/>
          </w:tcPr>
          <w:p>
            <w:pPr>
              <w:pStyle w:val="754"/>
              <w:rPr>
                <w:bCs/>
                <w:sz w:val="20"/>
                <w:szCs w:val="20"/>
              </w:rPr>
            </w:pPr>
            <w:r>
              <w:rPr>
                <w:bCs/>
                <w:sz w:val="20"/>
                <w:szCs w:val="20"/>
              </w:rPr>
              <w:t xml:space="preserve">Размен банкнот на монеты Банка России в рамках сделок, заключенных на Монетной площадке Банка России</w:t>
            </w:r>
            <w:r>
              <w:rPr>
                <w:bCs/>
                <w:sz w:val="20"/>
                <w:szCs w:val="20"/>
              </w:rPr>
            </w:r>
          </w:p>
        </w:tc>
        <w:tc>
          <w:tcPr>
            <w:gridSpan w:val="2"/>
            <w:tcBorders>
              <w:top w:val="single" w:color="000000" w:sz="4" w:space="0"/>
              <w:bottom w:val="single" w:color="000000" w:sz="4" w:space="0"/>
            </w:tcBorders>
            <w:tcW w:w="983" w:type="pct"/>
            <w:vAlign w:val="top"/>
            <w:textDirection w:val="lrTb"/>
            <w:noWrap w:val="false"/>
          </w:tcPr>
          <w:p>
            <w:pPr>
              <w:pStyle w:val="754"/>
              <w:rPr>
                <w:bCs/>
                <w:sz w:val="20"/>
                <w:szCs w:val="20"/>
              </w:rPr>
            </w:pPr>
            <w:r>
              <w:rPr>
                <w:bCs/>
                <w:sz w:val="20"/>
                <w:szCs w:val="20"/>
              </w:rPr>
              <w:t xml:space="preserve">0-1% от суммы сделки</w:t>
            </w:r>
            <w:r>
              <w:rPr>
                <w:bCs/>
                <w:sz w:val="20"/>
                <w:szCs w:val="20"/>
              </w:rPr>
            </w:r>
          </w:p>
        </w:tc>
        <w:tc>
          <w:tcPr>
            <w:tcBorders>
              <w:top w:val="single" w:color="000000" w:sz="4" w:space="0"/>
              <w:bottom w:val="single" w:color="000000" w:sz="4" w:space="0"/>
            </w:tcBorders>
            <w:tcW w:w="1287" w:type="pct"/>
            <w:vAlign w:val="top"/>
            <w:textDirection w:val="lrTb"/>
            <w:noWrap w:val="false"/>
          </w:tcPr>
          <w:p>
            <w:pPr>
              <w:pStyle w:val="754"/>
              <w:jc w:val="both"/>
              <w:rPr>
                <w:bCs/>
                <w:sz w:val="20"/>
                <w:szCs w:val="20"/>
              </w:rPr>
            </w:pPr>
            <w:r>
              <w:rPr>
                <w:bCs/>
                <w:sz w:val="20"/>
                <w:szCs w:val="20"/>
              </w:rPr>
              <w:t xml:space="preserve">Услуга предоставляется при наличии заключенного с                           АО «Россельхозбанк» Договора на получение (сдачу) монеты Банка России в рамках сделок, </w:t>
            </w:r>
            <w:r>
              <w:rPr>
                <w:bCs/>
                <w:sz w:val="20"/>
                <w:szCs w:val="20"/>
              </w:rPr>
            </w:r>
          </w:p>
          <w:p>
            <w:pPr>
              <w:pStyle w:val="754"/>
              <w:jc w:val="both"/>
              <w:rPr>
                <w:bCs/>
                <w:sz w:val="20"/>
                <w:szCs w:val="20"/>
              </w:rPr>
            </w:pPr>
            <w:r>
              <w:rPr>
                <w:bCs/>
                <w:sz w:val="20"/>
                <w:szCs w:val="20"/>
              </w:rPr>
              <w:t xml:space="preserve">согласованных на Монетной площадке Банка России. </w:t>
            </w:r>
            <w:r>
              <w:rPr>
                <w:bCs/>
                <w:sz w:val="20"/>
                <w:szCs w:val="20"/>
              </w:rPr>
            </w:r>
          </w:p>
          <w:p>
            <w:pPr>
              <w:pStyle w:val="754"/>
              <w:jc w:val="both"/>
              <w:rPr>
                <w:bCs/>
                <w:sz w:val="20"/>
                <w:szCs w:val="20"/>
              </w:rPr>
            </w:pPr>
            <w:r>
              <w:rPr>
                <w:bCs/>
                <w:sz w:val="20"/>
                <w:szCs w:val="20"/>
              </w:rPr>
              <w:t xml:space="preserve">Комиссия указана за одну сделку, взимается в дату, указанную в Заявке о размене банкнот Банка России на монету Банка России.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Borders>
              <w:top w:val="single" w:color="000000" w:sz="4" w:space="0"/>
              <w:bottom w:val="single" w:color="000000" w:sz="4" w:space="0"/>
            </w:tcBorders>
            <w:tcW w:w="5000" w:type="pct"/>
            <w:vAlign w:val="top"/>
            <w:textDirection w:val="lrTb"/>
            <w:noWrap w:val="false"/>
          </w:tcPr>
          <w:p>
            <w:pPr>
              <w:pStyle w:val="754"/>
              <w:ind w:left="-52" w:firstLine="52"/>
              <w:jc w:val="both"/>
              <w:spacing w:before="40" w:after="40"/>
              <w:rPr>
                <w:bCs/>
                <w:sz w:val="20"/>
                <w:szCs w:val="20"/>
              </w:rPr>
            </w:pPr>
            <w:r>
              <w:rPr>
                <w:bCs/>
                <w:sz w:val="20"/>
                <w:szCs w:val="20"/>
              </w:rPr>
              <w:t xml:space="preserve">*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w:t>
            </w:r>
            <w:r>
              <w:rPr>
                <w:bCs/>
                <w:sz w:val="20"/>
                <w:szCs w:val="20"/>
              </w:rPr>
            </w:r>
          </w:p>
          <w:p>
            <w:pPr>
              <w:pStyle w:val="754"/>
              <w:ind w:left="-52" w:firstLine="52"/>
              <w:jc w:val="both"/>
              <w:spacing w:before="40" w:after="40"/>
              <w:rPr>
                <w:bCs/>
                <w:sz w:val="20"/>
                <w:szCs w:val="20"/>
              </w:rPr>
            </w:pPr>
            <w:r>
              <w:rPr>
                <w:bCs/>
                <w:sz w:val="20"/>
                <w:szCs w:val="20"/>
              </w:rPr>
              <w:t xml:space="preserve">** Обслуживание банкомата/информационно-платежного терминала – прибытие бригады инкассаторских работников в кассу клиента для </w:t>
            </w:r>
            <w:r>
              <w:rPr>
                <w:bCs/>
                <w:sz w:val="20"/>
                <w:szCs w:val="20"/>
              </w:rPr>
              <w:t xml:space="preserve">получения кассет, подлежащих загрузке в банкомат/информационно-платежный терминал, загрузка/изъятие кассет в/из банкомат(а)/информационно-платежный(ого) терминал(а) и доставка кассет, изъятых из банкомата/информационно-платежного терминала в кассу клиента.</w:t>
            </w:r>
            <w:r>
              <w:rPr>
                <w:bCs/>
                <w:sz w:val="20"/>
                <w:szCs w:val="20"/>
              </w:rPr>
            </w:r>
          </w:p>
        </w:tc>
      </w:tr>
    </w:tbl>
    <w:p>
      <w:pPr>
        <w:pStyle w:val="754"/>
        <w:keepNext/>
        <w:rPr>
          <w:iCs/>
          <w:sz w:val="20"/>
          <w:szCs w:val="20"/>
        </w:rPr>
        <w:outlineLvl w:val="1"/>
      </w:pPr>
      <w:r>
        <w:rPr>
          <w:iCs/>
          <w:sz w:val="20"/>
          <w:szCs w:val="20"/>
        </w:rPr>
      </w:r>
      <w:r>
        <w:rPr>
          <w:iCs/>
          <w:sz w:val="20"/>
          <w:szCs w:val="20"/>
        </w:rPr>
      </w:r>
    </w:p>
    <w:p>
      <w:pPr>
        <w:pStyle w:val="754"/>
        <w:keepNext/>
        <w:rPr>
          <w:iCs/>
          <w:sz w:val="20"/>
          <w:szCs w:val="20"/>
          <w:lang w:val="en-US"/>
        </w:rPr>
        <w:outlineLvl w:val="1"/>
      </w:pPr>
      <w:r>
        <w:rPr>
          <w:iCs/>
          <w:sz w:val="20"/>
          <w:szCs w:val="20"/>
          <w:lang w:val="en-US"/>
        </w:rPr>
      </w:r>
      <w:r>
        <w:rPr>
          <w:iCs/>
          <w:sz w:val="20"/>
          <w:szCs w:val="20"/>
          <w:lang w:val="en-US"/>
        </w:rPr>
      </w:r>
    </w:p>
    <w:p>
      <w:pPr>
        <w:pStyle w:val="754"/>
        <w:keepNext/>
        <w:rPr>
          <w:iCs/>
          <w:sz w:val="20"/>
          <w:szCs w:val="20"/>
          <w:lang w:val="en-US"/>
        </w:rPr>
        <w:outlineLvl w:val="1"/>
      </w:pPr>
      <w:r>
        <w:rPr>
          <w:iCs/>
          <w:sz w:val="20"/>
          <w:szCs w:val="20"/>
          <w:lang w:val="en-US"/>
        </w:rPr>
      </w:r>
      <w:r>
        <w:rPr>
          <w:iCs/>
          <w:sz w:val="20"/>
          <w:szCs w:val="20"/>
          <w:lang w:val="en-US"/>
        </w:rPr>
      </w:r>
    </w:p>
    <w:p>
      <w:pPr>
        <w:pStyle w:val="754"/>
        <w:keepNext/>
        <w:rPr>
          <w:iCs/>
          <w:sz w:val="20"/>
          <w:szCs w:val="20"/>
        </w:rPr>
        <w:outlineLvl w:val="1"/>
      </w:pPr>
      <w:r>
        <w:rPr>
          <w:iCs/>
          <w:sz w:val="20"/>
          <w:szCs w:val="20"/>
        </w:rPr>
        <w:t xml:space="preserve">Справочно:</w:t>
      </w:r>
      <w:r>
        <w:rPr>
          <w:iCs/>
          <w:sz w:val="20"/>
          <w:szCs w:val="20"/>
        </w:rPr>
      </w:r>
    </w:p>
    <w:p>
      <w:pPr>
        <w:pStyle w:val="754"/>
        <w:keepNext/>
        <w:rPr>
          <w:sz w:val="20"/>
          <w:szCs w:val="20"/>
        </w:rPr>
        <w:outlineLvl w:val="1"/>
      </w:pPr>
      <w:r>
        <w:rPr>
          <w:iCs/>
          <w:sz w:val="20"/>
          <w:szCs w:val="20"/>
        </w:rPr>
        <w:t xml:space="preserve">Облигации</w:t>
      </w:r>
      <w:r>
        <w:rPr>
          <w:sz w:val="20"/>
          <w:szCs w:val="20"/>
        </w:rPr>
        <w:t xml:space="preserve">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r>
        <w:rPr>
          <w:sz w:val="20"/>
          <w:szCs w:val="20"/>
        </w:rPr>
      </w:r>
    </w:p>
    <w:p>
      <w:pPr>
        <w:pStyle w:val="754"/>
        <w:jc w:val="both"/>
        <w:rPr>
          <w:sz w:val="20"/>
          <w:szCs w:val="20"/>
        </w:rPr>
        <w:pBdr>
          <w:bottom w:val="single" w:color="000000" w:sz="4" w:space="1"/>
        </w:pBdr>
      </w:pPr>
      <w:r>
        <w:rPr>
          <w:sz w:val="20"/>
          <w:szCs w:val="20"/>
        </w:rPr>
      </w:r>
      <w:r>
        <w:rPr>
          <w:sz w:val="20"/>
          <w:szCs w:val="20"/>
        </w:rPr>
      </w:r>
    </w:p>
    <w:p>
      <w:pPr>
        <w:pStyle w:val="754"/>
        <w:jc w:val="both"/>
        <w:rPr>
          <w:sz w:val="20"/>
          <w:szCs w:val="20"/>
        </w:rPr>
        <w:pBdr>
          <w:bottom w:val="single" w:color="000000" w:sz="4" w:space="1"/>
        </w:pBdr>
      </w:pPr>
      <w:r>
        <w:rPr>
          <w:sz w:val="20"/>
          <w:szCs w:val="20"/>
        </w:rPr>
      </w:r>
      <w:r>
        <w:rPr>
          <w:sz w:val="20"/>
          <w:szCs w:val="20"/>
        </w:rPr>
      </w:r>
    </w:p>
    <w:p>
      <w:pPr>
        <w:pStyle w:val="754"/>
        <w:ind w:right="-17"/>
        <w:jc w:val="both"/>
        <w:rPr>
          <w:sz w:val="20"/>
          <w:szCs w:val="20"/>
        </w:rPr>
      </w:pPr>
      <w:r>
        <w:rPr>
          <w:sz w:val="20"/>
          <w:szCs w:val="20"/>
          <w:vertAlign w:val="superscript"/>
        </w:rPr>
        <w:t xml:space="preserve">1</w:t>
      </w:r>
      <w:r>
        <w:rPr>
          <w:sz w:val="20"/>
          <w:szCs w:val="20"/>
        </w:rPr>
        <w:t xml:space="preserve"> Под начисленным периодом понимается трехмесячный период или его часть, за который клиентом оплачена соответствующая комиссия по аккредитиву.</w:t>
      </w:r>
      <w:r>
        <w:rPr>
          <w:sz w:val="20"/>
          <w:szCs w:val="20"/>
        </w:rPr>
      </w:r>
    </w:p>
    <w:p>
      <w:pPr>
        <w:pStyle w:val="754"/>
        <w:ind w:right="-17"/>
        <w:jc w:val="both"/>
        <w:rPr>
          <w:sz w:val="20"/>
          <w:szCs w:val="20"/>
        </w:rPr>
      </w:pPr>
      <w:r>
        <w:rPr>
          <w:sz w:val="20"/>
          <w:szCs w:val="20"/>
          <w:vertAlign w:val="superscript"/>
        </w:rPr>
        <w:t xml:space="preserve">2</w:t>
      </w:r>
      <w:r>
        <w:rPr>
          <w:sz w:val="20"/>
          <w:szCs w:val="20"/>
        </w:rPr>
        <w:t xml:space="preserve">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r>
        <w:rPr>
          <w:sz w:val="20"/>
          <w:szCs w:val="20"/>
        </w:rPr>
      </w:r>
    </w:p>
    <w:p>
      <w:pPr>
        <w:pStyle w:val="754"/>
        <w:ind w:right="-17"/>
        <w:jc w:val="both"/>
        <w:rPr>
          <w:bCs/>
          <w:sz w:val="20"/>
          <w:szCs w:val="20"/>
        </w:rPr>
      </w:pPr>
      <w:r>
        <w:rPr>
          <w:sz w:val="20"/>
          <w:szCs w:val="20"/>
          <w:vertAlign w:val="superscript"/>
        </w:rPr>
        <w:t xml:space="preserve">3</w:t>
      </w:r>
      <w:r>
        <w:rPr>
          <w:sz w:val="20"/>
          <w:szCs w:val="20"/>
        </w:rPr>
        <w:t xml:space="preserve"> </w:t>
      </w:r>
      <w:r>
        <w:rPr>
          <w:bCs/>
          <w:sz w:val="20"/>
          <w:szCs w:val="20"/>
        </w:rPr>
        <w:t xml:space="preserve">Р</w:t>
      </w:r>
      <w:r>
        <w:rPr>
          <w:sz w:val="20"/>
          <w:szCs w:val="20"/>
        </w:rPr>
        <w:t xml:space="preserve">асчет производится исходя из действующей суммы обязательства по состоянию на </w:t>
      </w:r>
      <w:r>
        <w:rPr>
          <w:sz w:val="20"/>
          <w:szCs w:val="20"/>
        </w:rPr>
        <w:t xml:space="preserve">первый день квартала; отсчет кварталов производится с даты выдачи обязательства включителдьно</w:t>
      </w:r>
      <w:r>
        <w:rPr>
          <w:bCs/>
          <w:sz w:val="20"/>
          <w:szCs w:val="20"/>
        </w:rPr>
        <w:t xml:space="preserve">.</w:t>
      </w:r>
      <w:r>
        <w:rPr>
          <w:bCs/>
          <w:sz w:val="20"/>
          <w:szCs w:val="20"/>
        </w:rPr>
      </w:r>
    </w:p>
    <w:p>
      <w:pPr>
        <w:pStyle w:val="754"/>
        <w:ind w:right="-17"/>
        <w:jc w:val="both"/>
        <w:rPr>
          <w:bCs/>
          <w:sz w:val="20"/>
          <w:szCs w:val="20"/>
        </w:rPr>
      </w:pPr>
      <w:r>
        <w:rPr>
          <w:sz w:val="20"/>
          <w:szCs w:val="20"/>
          <w:vertAlign w:val="superscript"/>
        </w:rPr>
        <w:t xml:space="preserve">4</w:t>
      </w:r>
      <w:r>
        <w:rPr>
          <w:sz w:val="20"/>
          <w:szCs w:val="20"/>
        </w:rPr>
        <w:t xml:space="preserve"> Порядок расчета и взимания комиссии осуществляется на основании Условий осуществления депозитарной деятельности. </w:t>
      </w:r>
      <w:r>
        <w:rPr>
          <w:bCs/>
          <w:sz w:val="20"/>
          <w:szCs w:val="20"/>
        </w:rPr>
      </w:r>
      <w:r>
        <w:rPr>
          <w:bCs/>
          <w:sz w:val="20"/>
          <w:szCs w:val="20"/>
        </w:rPr>
      </w:r>
    </w:p>
    <w:p>
      <w:pPr>
        <w:pStyle w:val="754"/>
        <w:ind w:right="-17"/>
        <w:jc w:val="both"/>
        <w:rPr>
          <w:sz w:val="20"/>
          <w:szCs w:val="20"/>
        </w:rPr>
      </w:pPr>
      <w:r>
        <w:rPr>
          <w:sz w:val="20"/>
          <w:szCs w:val="20"/>
          <w:vertAlign w:val="superscript"/>
        </w:rPr>
        <w:t xml:space="preserve">5 </w:t>
      </w:r>
      <w:r>
        <w:rPr>
          <w:sz w:val="20"/>
          <w:szCs w:val="20"/>
        </w:rPr>
        <w:t xml:space="preserve">Сумма к распределению - сумма денежных средств, поступивших от эмитента облигаций для перечисления депонентам уполномоченного депозитария</w:t>
      </w:r>
      <w:r>
        <w:rPr>
          <w:b/>
          <w:bCs/>
          <w:iCs/>
          <w:sz w:val="20"/>
          <w:szCs w:val="20"/>
        </w:rPr>
        <w:t xml:space="preserve">.</w:t>
      </w:r>
      <w:r>
        <w:rPr>
          <w:sz w:val="20"/>
          <w:szCs w:val="20"/>
        </w:rPr>
      </w:r>
      <w:r>
        <w:rPr>
          <w:sz w:val="20"/>
          <w:szCs w:val="20"/>
        </w:rPr>
      </w:r>
    </w:p>
    <w:sectPr>
      <w:headerReference w:type="default" r:id="rId9"/>
      <w:footnotePr/>
      <w:endnotePr/>
      <w:type w:val="nextPage"/>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Wingdings">
    <w:panose1 w:val="05000000000000000000"/>
  </w:font>
  <w:font w:name="Courier New">
    <w:panose1 w:val="02070309020205020404"/>
  </w:font>
  <w:font w:name="Symbol">
    <w:panose1 w:val="05050102010706020507"/>
  </w:font>
  <w:font w:name="Calibri">
    <w:panose1 w:val="020F0502020204030204"/>
  </w:font>
  <w:font w:name="Times New Roman CYR">
    <w:panose1 w:val="02020603050405020304"/>
  </w:font>
  <w:font w:name="Times New Roman">
    <w:panose1 w:val="02020603050405020304"/>
  </w:font>
  <w:font w:name="Tahoma">
    <w:panose1 w:val="020B0604030504040204"/>
  </w:font>
  <w:font w:name="Verdana">
    <w:panose1 w:val="020B060403050404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754"/>
        <w:jc w:val="both"/>
        <w:rPr>
          <w:bCs/>
          <w:sz w:val="20"/>
          <w:szCs w:val="20"/>
        </w:rPr>
      </w:pPr>
      <w:r>
        <w:rPr>
          <w:rStyle w:val="820"/>
          <w:sz w:val="20"/>
          <w:szCs w:val="20"/>
        </w:rPr>
        <w:footnoteRef/>
      </w:r>
      <w:r>
        <w:rPr>
          <w:sz w:val="20"/>
          <w:szCs w:val="20"/>
        </w:rPr>
        <w:t xml:space="preserve"> [номер сноски указывается в соответствии с нумерацией сносок в </w:t>
      </w:r>
      <w:r>
        <w:rPr>
          <w:bCs/>
          <w:sz w:val="20"/>
          <w:szCs w:val="20"/>
        </w:rPr>
        <w:t xml:space="preserve">Тарифы комиссионного вознаграждения </w:t>
      </w:r>
      <w:r>
        <w:rPr>
          <w:bCs/>
          <w:sz w:val="20"/>
          <w:szCs w:val="20"/>
        </w:rPr>
      </w:r>
    </w:p>
    <w:p>
      <w:pPr>
        <w:pStyle w:val="818"/>
        <w:jc w:val="both"/>
      </w:pPr>
      <w:r>
        <w:rPr>
          <w:bCs/>
        </w:rPr>
        <w:t xml:space="preserve">АО «Россельхозбанк» на услуги кредитным организациям</w:t>
      </w:r>
      <w:r>
        <w:t xml:space="preserve">]</w:t>
      </w:r>
      <w:r/>
    </w:p>
    <w:p>
      <w:pPr>
        <w:pStyle w:val="818"/>
        <w:jc w:val="both"/>
      </w:pPr>
      <w:r>
        <w:t xml:space="preserve">Пункт не распространяется на корреспондентские счета в драгоценных металлах. </w:t>
      </w:r>
      <w:r/>
    </w:p>
  </w:footnote>
  <w:footnote w:id="3">
    <w:p>
      <w:pPr>
        <w:pStyle w:val="754"/>
        <w:ind w:left="-2" w:right="-18"/>
        <w:jc w:val="both"/>
        <w:spacing w:before="40" w:after="40"/>
        <w:tabs>
          <w:tab w:val="left" w:pos="4464" w:leader="none"/>
          <w:tab w:val="left" w:pos="5760" w:leader="none"/>
        </w:tabs>
        <w:rPr>
          <w:sz w:val="18"/>
          <w:szCs w:val="18"/>
        </w:rPr>
      </w:pPr>
      <w:r>
        <w:rPr>
          <w:rStyle w:val="820"/>
        </w:rPr>
        <w:footnoteRef/>
      </w:r>
      <w:r>
        <w:t xml:space="preserve"> </w:t>
      </w:r>
      <w:r>
        <w:rPr>
          <w:sz w:val="18"/>
          <w:szCs w:val="18"/>
        </w:rPr>
        <w:t xml:space="preserve">Средневзвешенн</w:t>
      </w:r>
      <w:r>
        <w:rPr>
          <w:sz w:val="18"/>
          <w:szCs w:val="18"/>
        </w:rPr>
        <w:t xml:space="preserve">ая</w:t>
      </w:r>
      <w:r>
        <w:rPr>
          <w:sz w:val="18"/>
          <w:szCs w:val="18"/>
        </w:rPr>
        <w:t xml:space="preserve"> стоимост</w:t>
      </w:r>
      <w:r>
        <w:rPr>
          <w:sz w:val="18"/>
          <w:szCs w:val="18"/>
        </w:rPr>
        <w:t xml:space="preserve">ь</w:t>
      </w:r>
      <w:r>
        <w:rPr>
          <w:sz w:val="18"/>
          <w:szCs w:val="18"/>
        </w:rPr>
        <w:t xml:space="preserve"> рассчитывае</w:t>
      </w:r>
      <w:r>
        <w:rPr>
          <w:sz w:val="18"/>
          <w:szCs w:val="18"/>
        </w:rPr>
        <w:t xml:space="preserve">тся</w:t>
      </w:r>
      <w:r>
        <w:rPr>
          <w:sz w:val="18"/>
          <w:szCs w:val="18"/>
        </w:rPr>
        <w:t xml:space="preserve"> как сумма остатков ценных бумаг</w:t>
      </w:r>
      <w:r>
        <w:rPr>
          <w:sz w:val="18"/>
          <w:szCs w:val="18"/>
        </w:rPr>
        <w:t xml:space="preserve"> </w:t>
      </w:r>
      <w:r>
        <w:rPr>
          <w:sz w:val="18"/>
          <w:szCs w:val="18"/>
        </w:rPr>
        <w:t xml:space="preserve">по календарным дням месяца</w:t>
      </w:r>
      <w:r>
        <w:rPr>
          <w:sz w:val="18"/>
          <w:szCs w:val="18"/>
        </w:rPr>
        <w:t xml:space="preserve"> деленная на количество дней в соответствующем месяце</w:t>
      </w:r>
      <w:r>
        <w:rPr>
          <w:sz w:val="18"/>
          <w:szCs w:val="18"/>
        </w:rPr>
        <w:t xml:space="preserve">.</w:t>
      </w:r>
      <w:r>
        <w:rPr>
          <w:sz w:val="18"/>
          <w:szCs w:val="18"/>
        </w:rPr>
        <w:t xml:space="preserve"> Стоимость остатка</w:t>
      </w:r>
      <w:r>
        <w:rPr>
          <w:bCs/>
          <w:sz w:val="18"/>
          <w:szCs w:val="18"/>
        </w:rPr>
        <w:t xml:space="preserve"> </w:t>
      </w:r>
      <w:r>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 xml:space="preserve">стоимость (для акций и депозитарных расписок) или номинальную стоимость (для облигаций и ценных бумаг, не имеющих рыночной стоимости)</w:t>
      </w:r>
      <w:r>
        <w:rPr>
          <w:bCs/>
          <w:sz w:val="18"/>
        </w:rPr>
        <w:t xml:space="preserve"> ценных бумаг этого выпуска. </w:t>
      </w:r>
      <w:r>
        <w:rPr>
          <w:bCs/>
          <w:sz w:val="18"/>
          <w:szCs w:val="18"/>
        </w:rPr>
        <w:t xml:space="preserve">Для выходных и праздничных дней значени</w:t>
      </w:r>
      <w:r>
        <w:rPr>
          <w:bCs/>
          <w:sz w:val="18"/>
          <w:szCs w:val="18"/>
        </w:rPr>
        <w:t xml:space="preserve">е</w:t>
      </w:r>
      <w:r>
        <w:rPr>
          <w:bCs/>
          <w:sz w:val="18"/>
          <w:szCs w:val="18"/>
        </w:rPr>
        <w:t xml:space="preserve"> остатка</w:t>
      </w:r>
      <w:r>
        <w:rPr>
          <w:bCs/>
          <w:sz w:val="18"/>
          <w:szCs w:val="18"/>
        </w:rPr>
        <w:t xml:space="preserve"> ценных бумаг</w:t>
      </w:r>
      <w:r>
        <w:rPr>
          <w:bCs/>
          <w:sz w:val="18"/>
          <w:szCs w:val="18"/>
        </w:rPr>
        <w:t xml:space="preserve"> принима</w:t>
      </w:r>
      <w:r>
        <w:rPr>
          <w:bCs/>
          <w:sz w:val="18"/>
          <w:szCs w:val="18"/>
        </w:rPr>
        <w:t xml:space="preserve">е</w:t>
      </w:r>
      <w:r>
        <w:rPr>
          <w:bCs/>
          <w:sz w:val="18"/>
          <w:szCs w:val="18"/>
        </w:rPr>
        <w:t xml:space="preserve">тся равным</w:t>
      </w:r>
      <w:r>
        <w:rPr>
          <w:bCs/>
          <w:sz w:val="18"/>
          <w:szCs w:val="18"/>
        </w:rPr>
        <w:t xml:space="preserve"> </w:t>
      </w:r>
      <w:r>
        <w:rPr>
          <w:bCs/>
          <w:sz w:val="18"/>
          <w:szCs w:val="18"/>
        </w:rPr>
        <w:t xml:space="preserve">значени</w:t>
      </w:r>
      <w:r>
        <w:rPr>
          <w:bCs/>
          <w:sz w:val="18"/>
          <w:szCs w:val="18"/>
        </w:rPr>
        <w:t xml:space="preserve">ю</w:t>
      </w:r>
      <w:r>
        <w:rPr>
          <w:bCs/>
          <w:sz w:val="18"/>
          <w:szCs w:val="18"/>
        </w:rPr>
        <w:t xml:space="preserve"> за предшествующий рабочий день.</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4"/>
      <w:rPr>
        <w:sz w:val="20"/>
      </w:rPr>
      <w:framePr w:wrap="around" w:vAnchor="text" w:hAnchor="margin" w:xAlign="center" w:y="1"/>
    </w:pPr>
    <w:r>
      <w:rPr>
        <w:sz w:val="20"/>
      </w:rPr>
      <w:fldChar w:fldCharType="begin"/>
    </w:r>
    <w:r>
      <w:rPr>
        <w:sz w:val="20"/>
      </w:rPr>
      <w:instrText xml:space="preserve">PAGE  </w:instrText>
    </w:r>
    <w:r>
      <w:rPr>
        <w:sz w:val="20"/>
      </w:rPr>
      <w:fldChar w:fldCharType="separate"/>
    </w:r>
    <w:r>
      <w:rPr>
        <w:sz w:val="20"/>
      </w:rPr>
      <w:t xml:space="preserve">12</w:t>
    </w:r>
    <w:r>
      <w:rPr>
        <w:sz w:val="20"/>
      </w:rPr>
      <w:fldChar w:fldCharType="end"/>
    </w:r>
    <w:r>
      <w:rPr>
        <w:sz w:val="20"/>
      </w:rPr>
    </w:r>
    <w:r>
      <w:rPr>
        <w:sz w:val="20"/>
      </w:rPr>
    </w:r>
  </w:p>
  <w:p>
    <w:pPr>
      <w:pStyle w:val="80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832"/>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7"/>
      <w:numFmt w:val="bullet"/>
      <w:isLgl w:val="false"/>
      <w:suff w:val="tab"/>
      <w:lvlText w:val=""/>
      <w:lvlJc w:val="left"/>
      <w:pPr>
        <w:ind w:left="720" w:hanging="360"/>
      </w:pPr>
      <w:rPr>
        <w:rFonts w:ascii="Symbol" w:hAnsi="Symbol" w:eastAsia="Times New Roman" w:cs="Times New Roman"/>
        <w:b w:val="0"/>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nothing"/>
      <w:lvlText w:val="%1."/>
      <w:lvlJc w:val="left"/>
      <w:pPr>
        <w:ind w:left="0" w:firstLine="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8">
    <w:multiLevelType w:val="hybridMultilevel"/>
    <w:lvl w:ilvl="0">
      <w:start w:val="1"/>
      <w:numFmt w:val="decimal"/>
      <w:isLgl w:val="false"/>
      <w:suff w:val="nothing"/>
      <w:lvlText w:val="%1."/>
      <w:lvlJc w:val="left"/>
      <w:pPr>
        <w:ind w:left="0" w:firstLine="0"/>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9">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1584" w:hanging="360"/>
      </w:pPr>
    </w:lvl>
    <w:lvl w:ilvl="1">
      <w:start w:val="1"/>
      <w:numFmt w:val="lowerLetter"/>
      <w:isLgl w:val="false"/>
      <w:suff w:val="tab"/>
      <w:lvlText w:val="%2."/>
      <w:lvlJc w:val="left"/>
      <w:pPr>
        <w:ind w:left="2304" w:hanging="360"/>
      </w:pPr>
    </w:lvl>
    <w:lvl w:ilvl="2">
      <w:start w:val="1"/>
      <w:numFmt w:val="lowerRoman"/>
      <w:isLgl w:val="false"/>
      <w:suff w:val="tab"/>
      <w:lvlText w:val="%3."/>
      <w:lvlJc w:val="right"/>
      <w:pPr>
        <w:ind w:left="3024" w:hanging="180"/>
      </w:pPr>
    </w:lvl>
    <w:lvl w:ilvl="3">
      <w:start w:val="1"/>
      <w:numFmt w:val="decimal"/>
      <w:isLgl w:val="false"/>
      <w:suff w:val="tab"/>
      <w:lvlText w:val="%4."/>
      <w:lvlJc w:val="left"/>
      <w:pPr>
        <w:ind w:left="3744" w:hanging="360"/>
      </w:pPr>
    </w:lvl>
    <w:lvl w:ilvl="4">
      <w:start w:val="1"/>
      <w:numFmt w:val="lowerLetter"/>
      <w:isLgl w:val="false"/>
      <w:suff w:val="tab"/>
      <w:lvlText w:val="%5."/>
      <w:lvlJc w:val="left"/>
      <w:pPr>
        <w:ind w:left="4464" w:hanging="360"/>
      </w:pPr>
    </w:lvl>
    <w:lvl w:ilvl="5">
      <w:start w:val="1"/>
      <w:numFmt w:val="lowerRoman"/>
      <w:isLgl w:val="false"/>
      <w:suff w:val="tab"/>
      <w:lvlText w:val="%6."/>
      <w:lvlJc w:val="right"/>
      <w:pPr>
        <w:ind w:left="5184" w:hanging="180"/>
      </w:pPr>
    </w:lvl>
    <w:lvl w:ilvl="6">
      <w:start w:val="1"/>
      <w:numFmt w:val="decimal"/>
      <w:isLgl w:val="false"/>
      <w:suff w:val="tab"/>
      <w:lvlText w:val="%7."/>
      <w:lvlJc w:val="left"/>
      <w:pPr>
        <w:ind w:left="5904" w:hanging="360"/>
      </w:pPr>
    </w:lvl>
    <w:lvl w:ilvl="7">
      <w:start w:val="1"/>
      <w:numFmt w:val="lowerLetter"/>
      <w:isLgl w:val="false"/>
      <w:suff w:val="tab"/>
      <w:lvlText w:val="%8."/>
      <w:lvlJc w:val="left"/>
      <w:pPr>
        <w:ind w:left="6624" w:hanging="360"/>
      </w:pPr>
    </w:lvl>
    <w:lvl w:ilvl="8">
      <w:start w:val="1"/>
      <w:numFmt w:val="lowerRoman"/>
      <w:isLgl w:val="false"/>
      <w:suff w:val="tab"/>
      <w:lvlText w:val="%9."/>
      <w:lvlJc w:val="right"/>
      <w:pPr>
        <w:ind w:left="7344" w:hanging="180"/>
      </w:pPr>
    </w:lvl>
  </w:abstractNum>
  <w:abstractNum w:abstractNumId="24">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25">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8">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num w:numId="1">
    <w:abstractNumId w:val="20"/>
  </w:num>
  <w:num w:numId="2">
    <w:abstractNumId w:val="4"/>
  </w:num>
  <w:num w:numId="3">
    <w:abstractNumId w:val="10"/>
  </w:num>
  <w:num w:numId="4">
    <w:abstractNumId w:val="29"/>
  </w:num>
  <w:num w:numId="5">
    <w:abstractNumId w:val="6"/>
  </w:num>
  <w:num w:numId="6">
    <w:abstractNumId w:val="9"/>
  </w:num>
  <w:num w:numId="7">
    <w:abstractNumId w:val="27"/>
  </w:num>
  <w:num w:numId="8">
    <w:abstractNumId w:val="14"/>
  </w:num>
  <w:num w:numId="9">
    <w:abstractNumId w:val="18"/>
  </w:num>
  <w:num w:numId="10">
    <w:abstractNumId w:val="25"/>
  </w:num>
  <w:num w:numId="11">
    <w:abstractNumId w:val="19"/>
  </w:num>
  <w:num w:numId="12">
    <w:abstractNumId w:val="24"/>
  </w:num>
  <w:num w:numId="13">
    <w:abstractNumId w:val="1"/>
  </w:num>
  <w:num w:numId="14">
    <w:abstractNumId w:val="17"/>
  </w:num>
  <w:num w:numId="15">
    <w:abstractNumId w:val="22"/>
  </w:num>
  <w:num w:numId="16">
    <w:abstractNumId w:val="15"/>
  </w:num>
  <w:num w:numId="17">
    <w:abstractNumId w:val="28"/>
  </w:num>
  <w:num w:numId="18">
    <w:abstractNumId w:val="8"/>
  </w:num>
  <w:num w:numId="19">
    <w:abstractNumId w:val="3"/>
  </w:num>
  <w:num w:numId="20">
    <w:abstractNumId w:val="2"/>
  </w:num>
  <w:num w:numId="21">
    <w:abstractNumId w:val="12"/>
  </w:num>
  <w:num w:numId="22">
    <w:abstractNumId w:val="0"/>
  </w:num>
  <w:num w:numId="23">
    <w:abstractNumId w:val="23"/>
  </w:num>
  <w:num w:numId="24">
    <w:abstractNumId w:val="13"/>
  </w:num>
  <w:num w:numId="25">
    <w:abstractNumId w:val="26"/>
  </w:num>
  <w:num w:numId="26">
    <w:abstractNumId w:val="11"/>
  </w:num>
  <w:num w:numId="27">
    <w:abstractNumId w:val="5"/>
  </w:num>
  <w:num w:numId="28">
    <w:abstractNumId w:val="16"/>
  </w:num>
  <w:num w:numId="29">
    <w:abstractNumId w:val="21"/>
  </w:num>
  <w:num w:numId="30">
    <w:abstractNumId w:val="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54"/>
    <w:next w:val="754"/>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754"/>
    <w:next w:val="754"/>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754"/>
    <w:next w:val="754"/>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754"/>
    <w:next w:val="754"/>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754"/>
    <w:next w:val="754"/>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754"/>
    <w:next w:val="75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754"/>
    <w:next w:val="75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754"/>
    <w:next w:val="75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754"/>
    <w:next w:val="75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754"/>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754"/>
    <w:next w:val="754"/>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754"/>
    <w:next w:val="754"/>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754"/>
    <w:next w:val="754"/>
    <w:link w:val="39"/>
    <w:uiPriority w:val="29"/>
    <w:qFormat/>
    <w:pPr>
      <w:ind w:left="720" w:right="720"/>
    </w:pPr>
    <w:rPr>
      <w:i/>
    </w:rPr>
  </w:style>
  <w:style w:type="character" w:styleId="39">
    <w:name w:val="Quote Char"/>
    <w:link w:val="38"/>
    <w:uiPriority w:val="29"/>
    <w:rPr>
      <w:i/>
    </w:rPr>
  </w:style>
  <w:style w:type="paragraph" w:styleId="40">
    <w:name w:val="Intense Quote"/>
    <w:basedOn w:val="754"/>
    <w:next w:val="75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54"/>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754"/>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754"/>
    <w:next w:val="754"/>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54"/>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75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754"/>
    <w:next w:val="754"/>
    <w:uiPriority w:val="39"/>
    <w:unhideWhenUsed/>
    <w:pPr>
      <w:ind w:left="0" w:right="0" w:firstLine="0"/>
      <w:spacing w:after="57"/>
    </w:pPr>
  </w:style>
  <w:style w:type="paragraph" w:styleId="182">
    <w:name w:val="toc 2"/>
    <w:basedOn w:val="754"/>
    <w:next w:val="754"/>
    <w:uiPriority w:val="39"/>
    <w:unhideWhenUsed/>
    <w:pPr>
      <w:ind w:left="283" w:right="0" w:firstLine="0"/>
      <w:spacing w:after="57"/>
    </w:pPr>
  </w:style>
  <w:style w:type="paragraph" w:styleId="183">
    <w:name w:val="toc 3"/>
    <w:basedOn w:val="754"/>
    <w:next w:val="754"/>
    <w:uiPriority w:val="39"/>
    <w:unhideWhenUsed/>
    <w:pPr>
      <w:ind w:left="567" w:right="0" w:firstLine="0"/>
      <w:spacing w:after="57"/>
    </w:pPr>
  </w:style>
  <w:style w:type="paragraph" w:styleId="184">
    <w:name w:val="toc 4"/>
    <w:basedOn w:val="754"/>
    <w:next w:val="754"/>
    <w:uiPriority w:val="39"/>
    <w:unhideWhenUsed/>
    <w:pPr>
      <w:ind w:left="850" w:right="0" w:firstLine="0"/>
      <w:spacing w:after="57"/>
    </w:pPr>
  </w:style>
  <w:style w:type="paragraph" w:styleId="185">
    <w:name w:val="toc 5"/>
    <w:basedOn w:val="754"/>
    <w:next w:val="754"/>
    <w:uiPriority w:val="39"/>
    <w:unhideWhenUsed/>
    <w:pPr>
      <w:ind w:left="1134" w:right="0" w:firstLine="0"/>
      <w:spacing w:after="57"/>
    </w:pPr>
  </w:style>
  <w:style w:type="paragraph" w:styleId="186">
    <w:name w:val="toc 6"/>
    <w:basedOn w:val="754"/>
    <w:next w:val="754"/>
    <w:uiPriority w:val="39"/>
    <w:unhideWhenUsed/>
    <w:pPr>
      <w:ind w:left="1417" w:right="0" w:firstLine="0"/>
      <w:spacing w:after="57"/>
    </w:pPr>
  </w:style>
  <w:style w:type="paragraph" w:styleId="187">
    <w:name w:val="toc 7"/>
    <w:basedOn w:val="754"/>
    <w:next w:val="754"/>
    <w:uiPriority w:val="39"/>
    <w:unhideWhenUsed/>
    <w:pPr>
      <w:ind w:left="1701" w:right="0" w:firstLine="0"/>
      <w:spacing w:after="57"/>
    </w:pPr>
  </w:style>
  <w:style w:type="paragraph" w:styleId="188">
    <w:name w:val="toc 8"/>
    <w:basedOn w:val="754"/>
    <w:next w:val="754"/>
    <w:uiPriority w:val="39"/>
    <w:unhideWhenUsed/>
    <w:pPr>
      <w:ind w:left="1984" w:right="0" w:firstLine="0"/>
      <w:spacing w:after="57"/>
    </w:pPr>
  </w:style>
  <w:style w:type="paragraph" w:styleId="189">
    <w:name w:val="toc 9"/>
    <w:basedOn w:val="754"/>
    <w:next w:val="754"/>
    <w:uiPriority w:val="39"/>
    <w:unhideWhenUsed/>
    <w:pPr>
      <w:ind w:left="2268" w:right="0" w:firstLine="0"/>
      <w:spacing w:after="57"/>
    </w:pPr>
  </w:style>
  <w:style w:type="paragraph" w:styleId="190">
    <w:name w:val="TOC Heading"/>
    <w:uiPriority w:val="39"/>
    <w:unhideWhenUsed/>
  </w:style>
  <w:style w:type="paragraph" w:styleId="191">
    <w:name w:val="table of figures"/>
    <w:basedOn w:val="754"/>
    <w:next w:val="754"/>
    <w:uiPriority w:val="99"/>
    <w:unhideWhenUsed/>
    <w:pPr>
      <w:spacing w:after="0" w:afterAutospacing="0"/>
    </w:pPr>
  </w:style>
  <w:style w:type="paragraph" w:styleId="754" w:default="1">
    <w:name w:val="Normal"/>
    <w:next w:val="754"/>
    <w:link w:val="754"/>
    <w:qFormat/>
    <w:rPr>
      <w:sz w:val="24"/>
      <w:szCs w:val="24"/>
      <w:lang w:val="ru-RU" w:eastAsia="ru-RU" w:bidi="ar-SA"/>
    </w:rPr>
  </w:style>
  <w:style w:type="paragraph" w:styleId="755">
    <w:name w:val="Заголовок 1"/>
    <w:basedOn w:val="754"/>
    <w:next w:val="754"/>
    <w:link w:val="766"/>
    <w:qFormat/>
    <w:pPr>
      <w:jc w:val="both"/>
      <w:keepNext/>
      <w:outlineLvl w:val="0"/>
    </w:pPr>
    <w:rPr>
      <w:b/>
      <w:bCs/>
      <w:sz w:val="22"/>
      <w:szCs w:val="22"/>
      <w:lang w:val="en-US" w:eastAsia="en-US"/>
    </w:rPr>
  </w:style>
  <w:style w:type="paragraph" w:styleId="756">
    <w:name w:val="Заголовок 2"/>
    <w:basedOn w:val="754"/>
    <w:next w:val="754"/>
    <w:link w:val="767"/>
    <w:qFormat/>
    <w:pPr>
      <w:jc w:val="center"/>
      <w:keepNext/>
      <w:outlineLvl w:val="1"/>
    </w:pPr>
    <w:rPr>
      <w:b/>
      <w:bCs/>
      <w:sz w:val="18"/>
      <w:szCs w:val="18"/>
      <w:lang w:val="en-US" w:eastAsia="en-US"/>
    </w:rPr>
  </w:style>
  <w:style w:type="paragraph" w:styleId="757">
    <w:name w:val="Заголовок 3"/>
    <w:basedOn w:val="754"/>
    <w:next w:val="754"/>
    <w:link w:val="768"/>
    <w:qFormat/>
    <w:pPr>
      <w:ind w:left="-2" w:right="-18"/>
      <w:jc w:val="center"/>
      <w:keepNext/>
      <w:spacing w:line="240" w:lineRule="atLeast"/>
      <w:tabs>
        <w:tab w:val="left" w:pos="4464" w:leader="none"/>
        <w:tab w:val="left" w:pos="5760" w:leader="none"/>
      </w:tabs>
      <w:outlineLvl w:val="2"/>
    </w:pPr>
    <w:rPr>
      <w:b/>
      <w:bCs/>
      <w:sz w:val="18"/>
      <w:szCs w:val="18"/>
      <w:lang w:val="en-US" w:eastAsia="en-US"/>
    </w:rPr>
  </w:style>
  <w:style w:type="paragraph" w:styleId="758">
    <w:name w:val="Заголовок 4"/>
    <w:basedOn w:val="754"/>
    <w:next w:val="754"/>
    <w:link w:val="769"/>
    <w:qFormat/>
    <w:pPr>
      <w:ind w:left="421" w:right="-18" w:hanging="529"/>
      <w:jc w:val="center"/>
      <w:keepNext/>
      <w:spacing w:line="240" w:lineRule="atLeast"/>
      <w:tabs>
        <w:tab w:val="left" w:pos="4464" w:leader="none"/>
        <w:tab w:val="left" w:pos="5760" w:leader="none"/>
      </w:tabs>
      <w:outlineLvl w:val="3"/>
    </w:pPr>
    <w:rPr>
      <w:b/>
      <w:bCs/>
      <w:sz w:val="22"/>
      <w:szCs w:val="18"/>
      <w:lang w:val="en-US" w:eastAsia="en-US"/>
    </w:rPr>
  </w:style>
  <w:style w:type="paragraph" w:styleId="759">
    <w:name w:val="Заголовок 5"/>
    <w:basedOn w:val="754"/>
    <w:next w:val="754"/>
    <w:link w:val="770"/>
    <w:qFormat/>
    <w:pPr>
      <w:ind w:left="567" w:right="567"/>
      <w:jc w:val="center"/>
      <w:keepNext/>
      <w:spacing w:line="240" w:lineRule="atLeast"/>
      <w:tabs>
        <w:tab w:val="left" w:pos="4464" w:leader="none"/>
        <w:tab w:val="left" w:pos="5760" w:leader="none"/>
      </w:tabs>
      <w:outlineLvl w:val="4"/>
    </w:pPr>
    <w:rPr>
      <w:b/>
      <w:bCs/>
      <w:sz w:val="22"/>
      <w:szCs w:val="22"/>
      <w:lang w:val="en-US" w:eastAsia="en-US"/>
    </w:rPr>
  </w:style>
  <w:style w:type="paragraph" w:styleId="760">
    <w:name w:val="Заголовок 6"/>
    <w:basedOn w:val="754"/>
    <w:next w:val="754"/>
    <w:link w:val="771"/>
    <w:qFormat/>
    <w:pPr>
      <w:ind w:left="-108" w:right="-18"/>
      <w:jc w:val="both"/>
      <w:keepNext/>
      <w:spacing w:line="240" w:lineRule="atLeast"/>
      <w:tabs>
        <w:tab w:val="left" w:pos="4464" w:leader="none"/>
        <w:tab w:val="left" w:pos="5760" w:leader="none"/>
      </w:tabs>
      <w:outlineLvl w:val="5"/>
    </w:pPr>
    <w:rPr>
      <w:b/>
      <w:bCs/>
      <w:sz w:val="20"/>
      <w:szCs w:val="20"/>
      <w:lang w:val="en-US" w:eastAsia="en-US"/>
    </w:rPr>
  </w:style>
  <w:style w:type="paragraph" w:styleId="761">
    <w:name w:val="Заголовок 7"/>
    <w:basedOn w:val="754"/>
    <w:next w:val="754"/>
    <w:link w:val="772"/>
    <w:qFormat/>
    <w:pPr>
      <w:ind w:left="-108"/>
      <w:keepNext/>
      <w:outlineLvl w:val="6"/>
    </w:pPr>
    <w:rPr>
      <w:b/>
      <w:bCs/>
      <w:sz w:val="20"/>
      <w:szCs w:val="20"/>
      <w:lang w:val="en-US" w:eastAsia="en-US"/>
    </w:rPr>
  </w:style>
  <w:style w:type="paragraph" w:styleId="762">
    <w:name w:val="Заголовок 8"/>
    <w:basedOn w:val="754"/>
    <w:next w:val="754"/>
    <w:link w:val="773"/>
    <w:qFormat/>
    <w:pPr>
      <w:ind w:left="540" w:right="-18" w:hanging="540"/>
      <w:jc w:val="center"/>
      <w:keepNext/>
      <w:spacing w:line="240" w:lineRule="atLeast"/>
      <w:tabs>
        <w:tab w:val="left" w:pos="4464" w:leader="none"/>
        <w:tab w:val="left" w:pos="5760" w:leader="none"/>
      </w:tabs>
      <w:outlineLvl w:val="7"/>
    </w:pPr>
    <w:rPr>
      <w:i/>
      <w:iCs/>
      <w:lang w:val="en-US" w:eastAsia="en-US"/>
    </w:rPr>
  </w:style>
  <w:style w:type="character" w:styleId="763">
    <w:name w:val="Основной шрифт абзаца"/>
    <w:next w:val="763"/>
    <w:link w:val="754"/>
    <w:uiPriority w:val="1"/>
    <w:semiHidden/>
    <w:unhideWhenUsed/>
  </w:style>
  <w:style w:type="table" w:styleId="764">
    <w:name w:val="Обычная таблица"/>
    <w:next w:val="764"/>
    <w:link w:val="754"/>
    <w:uiPriority w:val="99"/>
    <w:semiHidden/>
    <w:unhideWhenUsed/>
    <w:qFormat/>
    <w:tblPr/>
  </w:style>
  <w:style w:type="numbering" w:styleId="765">
    <w:name w:val="Нет списка"/>
    <w:next w:val="765"/>
    <w:link w:val="754"/>
    <w:semiHidden/>
    <w:unhideWhenUsed/>
  </w:style>
  <w:style w:type="character" w:styleId="766">
    <w:name w:val="Заголовок 1 Знак"/>
    <w:next w:val="766"/>
    <w:link w:val="755"/>
    <w:rPr>
      <w:b/>
      <w:bCs/>
      <w:sz w:val="22"/>
      <w:szCs w:val="22"/>
    </w:rPr>
  </w:style>
  <w:style w:type="character" w:styleId="767">
    <w:name w:val="Заголовок 2 Знак"/>
    <w:next w:val="767"/>
    <w:link w:val="756"/>
    <w:rPr>
      <w:b/>
      <w:bCs/>
      <w:sz w:val="18"/>
      <w:szCs w:val="18"/>
    </w:rPr>
  </w:style>
  <w:style w:type="character" w:styleId="768">
    <w:name w:val="Заголовок 3 Знак"/>
    <w:next w:val="768"/>
    <w:link w:val="757"/>
    <w:rPr>
      <w:b/>
      <w:bCs/>
      <w:sz w:val="18"/>
      <w:szCs w:val="18"/>
    </w:rPr>
  </w:style>
  <w:style w:type="character" w:styleId="769">
    <w:name w:val="Заголовок 4 Знак"/>
    <w:next w:val="769"/>
    <w:link w:val="758"/>
    <w:rPr>
      <w:b/>
      <w:bCs/>
      <w:sz w:val="22"/>
      <w:szCs w:val="18"/>
      <w:lang w:val="en-US" w:eastAsia="en-US"/>
    </w:rPr>
  </w:style>
  <w:style w:type="character" w:styleId="770">
    <w:name w:val="Заголовок 5 Знак"/>
    <w:next w:val="770"/>
    <w:link w:val="759"/>
    <w:rPr>
      <w:b/>
      <w:bCs/>
      <w:sz w:val="22"/>
      <w:szCs w:val="22"/>
    </w:rPr>
  </w:style>
  <w:style w:type="character" w:styleId="771">
    <w:name w:val="Заголовок 6 Знак"/>
    <w:next w:val="771"/>
    <w:link w:val="760"/>
    <w:rPr>
      <w:b/>
      <w:bCs/>
    </w:rPr>
  </w:style>
  <w:style w:type="character" w:styleId="772">
    <w:name w:val="Заголовок 7 Знак"/>
    <w:next w:val="772"/>
    <w:link w:val="761"/>
    <w:rPr>
      <w:b/>
      <w:bCs/>
    </w:rPr>
  </w:style>
  <w:style w:type="character" w:styleId="773">
    <w:name w:val="Заголовок 8 Знак"/>
    <w:next w:val="773"/>
    <w:link w:val="762"/>
    <w:rPr>
      <w:i/>
      <w:iCs/>
      <w:sz w:val="24"/>
      <w:szCs w:val="24"/>
    </w:rPr>
  </w:style>
  <w:style w:type="character" w:styleId="774">
    <w:name w:val="Гиперссылка"/>
    <w:next w:val="774"/>
    <w:link w:val="754"/>
    <w:uiPriority w:val="99"/>
    <w:unhideWhenUsed/>
    <w:rPr>
      <w:color w:val="0000ff"/>
      <w:u w:val="single"/>
    </w:rPr>
  </w:style>
  <w:style w:type="character" w:styleId="775">
    <w:name w:val="Просмотренная гиперссылка"/>
    <w:next w:val="775"/>
    <w:link w:val="754"/>
    <w:uiPriority w:val="99"/>
    <w:semiHidden/>
    <w:unhideWhenUsed/>
    <w:rPr>
      <w:color w:val="800080"/>
      <w:u w:val="single"/>
    </w:rPr>
  </w:style>
  <w:style w:type="paragraph" w:styleId="776">
    <w:name w:val="bx-core-waitwindow"/>
    <w:basedOn w:val="754"/>
    <w:next w:val="776"/>
    <w:link w:val="754"/>
    <w:pPr>
      <w:jc w:val="center"/>
      <w:shd w:val="clear" w:color="auto" w:fill="fcf7d1"/>
      <w:pBdr>
        <w:top w:val="single" w:color="E1B52D" w:sz="6" w:space="8"/>
        <w:left w:val="single" w:color="E1B52D" w:sz="6" w:space="28"/>
        <w:bottom w:val="single" w:color="E1B52D" w:sz="6" w:space="8"/>
        <w:right w:val="single" w:color="E1B52D" w:sz="6" w:space="23"/>
      </w:pBdr>
    </w:pPr>
    <w:rPr>
      <w:rFonts w:ascii="Verdana" w:hAnsi="Verdana"/>
      <w:color w:val="000000"/>
      <w:sz w:val="17"/>
      <w:szCs w:val="17"/>
    </w:rPr>
  </w:style>
  <w:style w:type="paragraph" w:styleId="777">
    <w:name w:val="bx-session-message"/>
    <w:basedOn w:val="754"/>
    <w:next w:val="777"/>
    <w:link w:val="754"/>
    <w:pPr>
      <w:jc w:val="center"/>
      <w:shd w:val="clear" w:color="auto" w:fill="ffeb41"/>
      <w:pBdr>
        <w:top w:val="single" w:color="EDDA3C" w:sz="6" w:space="8"/>
        <w:left w:val="single" w:color="EDDA3C" w:sz="6" w:space="8"/>
        <w:bottom w:val="single" w:color="EDDA3C" w:sz="6" w:space="8"/>
        <w:right w:val="single" w:color="EDDA3C" w:sz="6" w:space="8"/>
      </w:pBdr>
    </w:pPr>
    <w:rPr>
      <w:rFonts w:ascii="Arial" w:hAnsi="Arial" w:cs="Arial"/>
      <w:b/>
      <w:bCs/>
      <w:color w:val="000000"/>
      <w:sz w:val="20"/>
      <w:szCs w:val="20"/>
    </w:rPr>
  </w:style>
  <w:style w:type="paragraph" w:styleId="778">
    <w:name w:val="bx-panel-tooltip"/>
    <w:basedOn w:val="754"/>
    <w:next w:val="778"/>
    <w:link w:val="754"/>
    <w:pPr>
      <w:shd w:val="clear" w:color="auto" w:fill="ffffff"/>
    </w:pPr>
    <w:rPr>
      <w:color w:val="000000"/>
      <w:sz w:val="20"/>
      <w:szCs w:val="20"/>
    </w:rPr>
  </w:style>
  <w:style w:type="paragraph" w:styleId="779">
    <w:name w:val="bx-panel-tooltip-corner"/>
    <w:basedOn w:val="754"/>
    <w:next w:val="779"/>
    <w:link w:val="754"/>
    <w:pPr>
      <w:shd w:val="clear" w:color="auto" w:fill="ffffff"/>
    </w:pPr>
    <w:rPr>
      <w:color w:val="000000"/>
      <w:sz w:val="20"/>
      <w:szCs w:val="20"/>
    </w:rPr>
  </w:style>
  <w:style w:type="paragraph" w:styleId="780">
    <w:name w:val="bx-panel-tooltip-border"/>
    <w:basedOn w:val="754"/>
    <w:next w:val="780"/>
    <w:link w:val="754"/>
    <w:pPr>
      <w:ind w:left="30" w:right="30"/>
      <w:shd w:val="clear" w:color="auto" w:fill="fcfcfb"/>
      <w:pBdr>
        <w:top w:val="single" w:color="C8C8C6" w:sz="6" w:space="0"/>
      </w:pBdr>
    </w:pPr>
    <w:rPr>
      <w:color w:val="000000"/>
      <w:sz w:val="2"/>
      <w:szCs w:val="2"/>
    </w:rPr>
  </w:style>
  <w:style w:type="paragraph" w:styleId="781">
    <w:name w:val="bx-panel-tooltip-content"/>
    <w:basedOn w:val="754"/>
    <w:next w:val="781"/>
    <w:link w:val="754"/>
    <w:pPr>
      <w:shd w:val="clear" w:color="auto" w:fill="f2f2eb"/>
      <w:pBdr>
        <w:left w:val="single" w:color="C8C8C6" w:sz="6" w:space="0"/>
        <w:right w:val="single" w:color="C8C8C6" w:sz="6" w:space="0"/>
      </w:pBdr>
    </w:pPr>
    <w:rPr>
      <w:color w:val="000000"/>
      <w:sz w:val="20"/>
      <w:szCs w:val="20"/>
    </w:rPr>
  </w:style>
  <w:style w:type="paragraph" w:styleId="782">
    <w:name w:val="bx-panel-tooltip-title"/>
    <w:basedOn w:val="754"/>
    <w:next w:val="782"/>
    <w:link w:val="754"/>
    <w:pPr>
      <w:shd w:val="clear" w:color="auto" w:fill="ffffff"/>
    </w:pPr>
    <w:rPr>
      <w:rFonts w:ascii="Tahoma" w:hAnsi="Tahoma" w:cs="Tahoma"/>
      <w:b/>
      <w:bCs/>
      <w:color w:val="000000"/>
      <w:sz w:val="17"/>
      <w:szCs w:val="17"/>
    </w:rPr>
  </w:style>
  <w:style w:type="paragraph" w:styleId="783">
    <w:name w:val="bx-panel-tooltip-text"/>
    <w:basedOn w:val="754"/>
    <w:next w:val="783"/>
    <w:link w:val="754"/>
    <w:pPr>
      <w:shd w:val="clear" w:color="auto" w:fill="ffffff"/>
    </w:pPr>
    <w:rPr>
      <w:rFonts w:ascii="Verdana" w:hAnsi="Verdana"/>
      <w:color w:val="000000"/>
      <w:sz w:val="17"/>
      <w:szCs w:val="17"/>
    </w:rPr>
  </w:style>
  <w:style w:type="paragraph" w:styleId="784">
    <w:name w:val="bx-panel-tooltip-underlay"/>
    <w:basedOn w:val="754"/>
    <w:next w:val="784"/>
    <w:link w:val="754"/>
    <w:pPr>
      <w:shd w:val="clear" w:color="auto" w:fill="f2f2eb"/>
    </w:pPr>
    <w:rPr>
      <w:color w:val="000000"/>
      <w:sz w:val="20"/>
      <w:szCs w:val="20"/>
    </w:rPr>
  </w:style>
  <w:style w:type="paragraph" w:styleId="785">
    <w:name w:val="bx-panel-tooltip-close"/>
    <w:basedOn w:val="754"/>
    <w:next w:val="785"/>
    <w:link w:val="754"/>
    <w:pPr>
      <w:shd w:val="clear" w:color="auto" w:fill="ffffff"/>
    </w:pPr>
    <w:rPr>
      <w:color w:val="000000"/>
      <w:sz w:val="20"/>
      <w:szCs w:val="20"/>
    </w:rPr>
  </w:style>
  <w:style w:type="paragraph" w:styleId="786">
    <w:name w:val="bx-core-autosave-ready"/>
    <w:basedOn w:val="754"/>
    <w:next w:val="786"/>
    <w:link w:val="754"/>
    <w:pPr>
      <w:shd w:val="clear" w:color="auto" w:fill="ffffff"/>
    </w:pPr>
    <w:rPr>
      <w:color w:val="000000"/>
      <w:sz w:val="20"/>
      <w:szCs w:val="20"/>
    </w:rPr>
  </w:style>
  <w:style w:type="paragraph" w:styleId="787">
    <w:name w:val="bx-core-autosave-edited"/>
    <w:basedOn w:val="754"/>
    <w:next w:val="787"/>
    <w:link w:val="754"/>
    <w:pPr>
      <w:shd w:val="clear" w:color="auto" w:fill="ffffff"/>
    </w:pPr>
    <w:rPr>
      <w:color w:val="000000"/>
      <w:sz w:val="20"/>
      <w:szCs w:val="20"/>
    </w:rPr>
  </w:style>
  <w:style w:type="paragraph" w:styleId="788">
    <w:name w:val="bx-core-autosave-saving"/>
    <w:basedOn w:val="754"/>
    <w:next w:val="788"/>
    <w:link w:val="754"/>
    <w:pPr>
      <w:shd w:val="clear" w:color="auto" w:fill="ffffff"/>
    </w:pPr>
    <w:rPr>
      <w:color w:val="000000"/>
      <w:sz w:val="20"/>
      <w:szCs w:val="20"/>
    </w:rPr>
  </w:style>
  <w:style w:type="paragraph" w:styleId="789">
    <w:name w:val="bx-clear"/>
    <w:basedOn w:val="754"/>
    <w:next w:val="789"/>
    <w:link w:val="754"/>
    <w:pPr>
      <w:shd w:val="clear" w:color="auto" w:fill="ffffff"/>
    </w:pPr>
    <w:rPr>
      <w:color w:val="000000"/>
      <w:sz w:val="20"/>
      <w:szCs w:val="20"/>
    </w:rPr>
  </w:style>
  <w:style w:type="paragraph" w:styleId="790">
    <w:name w:val="bx-panel-tooltip-top-border"/>
    <w:basedOn w:val="754"/>
    <w:next w:val="790"/>
    <w:link w:val="754"/>
    <w:pPr>
      <w:shd w:val="clear" w:color="auto" w:fill="ffffff"/>
    </w:pPr>
    <w:rPr>
      <w:color w:val="000000"/>
      <w:sz w:val="2"/>
      <w:szCs w:val="2"/>
    </w:rPr>
  </w:style>
  <w:style w:type="paragraph" w:styleId="791">
    <w:name w:val="bx-panel-tooltip-bottom-border"/>
    <w:basedOn w:val="754"/>
    <w:next w:val="791"/>
    <w:link w:val="754"/>
    <w:pPr>
      <w:shd w:val="clear" w:color="auto" w:fill="ffffff"/>
    </w:pPr>
    <w:rPr>
      <w:color w:val="000000"/>
      <w:sz w:val="2"/>
      <w:szCs w:val="2"/>
    </w:rPr>
  </w:style>
  <w:style w:type="paragraph" w:styleId="792">
    <w:name w:val="bx-panel-tooltip-right-corner"/>
    <w:basedOn w:val="754"/>
    <w:next w:val="792"/>
    <w:link w:val="754"/>
    <w:pPr>
      <w:ind w:left="11906"/>
      <w:shd w:val="clear" w:color="auto" w:fill="ffffff"/>
    </w:pPr>
    <w:rPr>
      <w:color w:val="000000"/>
      <w:sz w:val="20"/>
      <w:szCs w:val="20"/>
    </w:rPr>
  </w:style>
  <w:style w:type="paragraph" w:styleId="793">
    <w:name w:val="bx-panel-tooltip-border1"/>
    <w:basedOn w:val="754"/>
    <w:next w:val="793"/>
    <w:link w:val="754"/>
    <w:pPr>
      <w:ind w:left="30" w:right="30"/>
      <w:shd w:val="clear" w:color="auto" w:fill="c8c8c6"/>
      <w:pBdr>
        <w:top w:val="single" w:color="F2F2EB" w:sz="6" w:space="0"/>
      </w:pBdr>
    </w:pPr>
    <w:rPr>
      <w:sz w:val="2"/>
      <w:szCs w:val="2"/>
    </w:rPr>
  </w:style>
  <w:style w:type="paragraph" w:styleId="794">
    <w:name w:val="bx-panel-tooltip-corner1"/>
    <w:basedOn w:val="754"/>
    <w:next w:val="794"/>
    <w:link w:val="754"/>
    <w:pPr>
      <w:spacing w:after="100" w:afterAutospacing="1"/>
    </w:pPr>
  </w:style>
  <w:style w:type="paragraph" w:styleId="795">
    <w:name w:val="Обычный (веб)"/>
    <w:basedOn w:val="754"/>
    <w:next w:val="795"/>
    <w:link w:val="754"/>
    <w:uiPriority w:val="99"/>
    <w:unhideWhenUsed/>
    <w:pPr>
      <w:shd w:val="clear" w:color="auto" w:fill="ffffff"/>
    </w:pPr>
    <w:rPr>
      <w:color w:val="000000"/>
      <w:sz w:val="20"/>
      <w:szCs w:val="20"/>
    </w:rPr>
  </w:style>
  <w:style w:type="paragraph" w:styleId="796">
    <w:name w:val="bx-panel-tooltip-border2"/>
    <w:basedOn w:val="754"/>
    <w:next w:val="796"/>
    <w:link w:val="754"/>
    <w:pPr>
      <w:ind w:left="30" w:right="30"/>
      <w:shd w:val="clear" w:color="auto" w:fill="c8c8c6"/>
      <w:pBdr>
        <w:top w:val="single" w:color="F2F2EB" w:sz="6" w:space="0"/>
      </w:pBdr>
    </w:pPr>
    <w:rPr>
      <w:color w:val="000000"/>
      <w:sz w:val="2"/>
      <w:szCs w:val="2"/>
    </w:rPr>
  </w:style>
  <w:style w:type="paragraph" w:styleId="797">
    <w:name w:val="bx-panel-tooltip-corner2"/>
    <w:basedOn w:val="754"/>
    <w:next w:val="797"/>
    <w:link w:val="754"/>
    <w:pPr>
      <w:shd w:val="clear" w:color="auto" w:fill="ffffff"/>
    </w:pPr>
    <w:rPr>
      <w:color w:val="000000"/>
      <w:sz w:val="20"/>
      <w:szCs w:val="20"/>
    </w:rPr>
  </w:style>
  <w:style w:type="paragraph" w:styleId="798">
    <w:name w:val="Текст выноски"/>
    <w:basedOn w:val="754"/>
    <w:next w:val="798"/>
    <w:link w:val="799"/>
    <w:semiHidden/>
    <w:unhideWhenUsed/>
    <w:rPr>
      <w:rFonts w:ascii="Tahoma" w:hAnsi="Tahoma"/>
      <w:sz w:val="16"/>
      <w:szCs w:val="16"/>
      <w:lang w:val="en-US" w:eastAsia="en-US"/>
    </w:rPr>
  </w:style>
  <w:style w:type="character" w:styleId="799">
    <w:name w:val="Текст выноски Знак"/>
    <w:next w:val="799"/>
    <w:link w:val="798"/>
    <w:semiHidden/>
    <w:rPr>
      <w:rFonts w:ascii="Tahoma" w:hAnsi="Tahoma" w:eastAsia="Times New Roman" w:cs="Tahoma"/>
      <w:sz w:val="16"/>
      <w:szCs w:val="16"/>
    </w:rPr>
  </w:style>
  <w:style w:type="paragraph" w:styleId="800">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754"/>
    <w:next w:val="800"/>
    <w:link w:val="801"/>
    <w:unhideWhenUsed/>
    <w:pPr>
      <w:tabs>
        <w:tab w:val="center" w:pos="4677" w:leader="none"/>
        <w:tab w:val="right" w:pos="9355" w:leader="none"/>
      </w:tabs>
    </w:pPr>
    <w:rPr>
      <w:lang w:val="en-US" w:eastAsia="en-US"/>
    </w:rPr>
  </w:style>
  <w:style w:type="character" w:styleId="801">
    <w:name w:val="Верхний колонтитул Знак,ВерхКолонтитул Знак,Верхний колонтитул Знак1,Linie Знак,ree.subs Знак,Even Знак,Верхний колонтитул Знак Знак1 Знак,Верхний колонтитул Знак Знак Знак Знак,Знак5 Знак Знак Знак Знак,Знак5 Знак Знак1 Знак"/>
    <w:next w:val="801"/>
    <w:link w:val="800"/>
    <w:rPr>
      <w:rFonts w:eastAsia="Times New Roman"/>
      <w:sz w:val="24"/>
      <w:szCs w:val="24"/>
    </w:rPr>
  </w:style>
  <w:style w:type="paragraph" w:styleId="802">
    <w:name w:val="Нижний колонтитул"/>
    <w:basedOn w:val="754"/>
    <w:next w:val="802"/>
    <w:link w:val="803"/>
    <w:unhideWhenUsed/>
    <w:pPr>
      <w:tabs>
        <w:tab w:val="center" w:pos="4677" w:leader="none"/>
        <w:tab w:val="right" w:pos="9355" w:leader="none"/>
      </w:tabs>
    </w:pPr>
    <w:rPr>
      <w:lang w:val="en-US" w:eastAsia="en-US"/>
    </w:rPr>
  </w:style>
  <w:style w:type="character" w:styleId="803">
    <w:name w:val="Нижний колонтитул Знак"/>
    <w:next w:val="803"/>
    <w:link w:val="802"/>
    <w:rPr>
      <w:rFonts w:eastAsia="Times New Roman"/>
      <w:sz w:val="24"/>
      <w:szCs w:val="24"/>
    </w:rPr>
  </w:style>
  <w:style w:type="paragraph" w:styleId="804">
    <w:name w:val="Default"/>
    <w:next w:val="804"/>
    <w:link w:val="754"/>
    <w:rPr>
      <w:color w:val="000000"/>
      <w:sz w:val="24"/>
      <w:szCs w:val="24"/>
      <w:lang w:val="ru-RU" w:eastAsia="ru-RU" w:bidi="ar-SA"/>
    </w:rPr>
  </w:style>
  <w:style w:type="paragraph" w:styleId="805">
    <w:name w:val="Название объекта"/>
    <w:basedOn w:val="754"/>
    <w:next w:val="754"/>
    <w:link w:val="754"/>
    <w:uiPriority w:val="35"/>
    <w:unhideWhenUsed/>
    <w:qFormat/>
    <w:rPr>
      <w:b/>
      <w:bCs/>
      <w:sz w:val="20"/>
      <w:szCs w:val="20"/>
    </w:rPr>
  </w:style>
  <w:style w:type="paragraph" w:styleId="806">
    <w:name w:val="Цитата"/>
    <w:basedOn w:val="754"/>
    <w:next w:val="806"/>
    <w:link w:val="754"/>
    <w:pPr>
      <w:ind w:left="780" w:right="626"/>
      <w:jc w:val="both"/>
    </w:pPr>
  </w:style>
  <w:style w:type="paragraph" w:styleId="807">
    <w:name w:val="Основной текст 2"/>
    <w:basedOn w:val="754"/>
    <w:next w:val="807"/>
    <w:link w:val="808"/>
    <w:pPr>
      <w:jc w:val="both"/>
    </w:pPr>
    <w:rPr>
      <w:i/>
      <w:iCs/>
      <w:sz w:val="20"/>
      <w:szCs w:val="20"/>
      <w:lang w:val="en-US" w:eastAsia="en-US"/>
    </w:rPr>
  </w:style>
  <w:style w:type="character" w:styleId="808">
    <w:name w:val="Основной текст 2 Знак"/>
    <w:next w:val="808"/>
    <w:link w:val="807"/>
    <w:rPr>
      <w:i/>
      <w:iCs/>
    </w:rPr>
  </w:style>
  <w:style w:type="paragraph" w:styleId="809">
    <w:name w:val="Основной текст с отступом 2"/>
    <w:basedOn w:val="754"/>
    <w:next w:val="809"/>
    <w:link w:val="810"/>
    <w:pPr>
      <w:ind w:left="-108"/>
      <w:jc w:val="both"/>
    </w:pPr>
    <w:rPr>
      <w:b/>
      <w:bCs/>
      <w:sz w:val="20"/>
      <w:szCs w:val="20"/>
      <w:lang w:val="en-US" w:eastAsia="en-US"/>
    </w:rPr>
  </w:style>
  <w:style w:type="character" w:styleId="810">
    <w:name w:val="Основной текст с отступом 2 Знак"/>
    <w:next w:val="810"/>
    <w:link w:val="809"/>
    <w:rPr>
      <w:b/>
      <w:bCs/>
    </w:rPr>
  </w:style>
  <w:style w:type="paragraph" w:styleId="811">
    <w:name w:val="Основной текст"/>
    <w:basedOn w:val="754"/>
    <w:next w:val="811"/>
    <w:link w:val="812"/>
    <w:pPr>
      <w:jc w:val="both"/>
      <w:spacing w:line="312" w:lineRule="atLeast"/>
    </w:pPr>
    <w:rPr>
      <w:rFonts w:ascii="Times New Roman CYR" w:hAnsi="Times New Roman CYR"/>
      <w:sz w:val="22"/>
      <w:szCs w:val="22"/>
      <w:lang w:val="en-US" w:eastAsia="en-US"/>
    </w:rPr>
  </w:style>
  <w:style w:type="character" w:styleId="812">
    <w:name w:val="Основной текст Знак"/>
    <w:next w:val="812"/>
    <w:link w:val="811"/>
    <w:rPr>
      <w:rFonts w:ascii="Times New Roman CYR" w:hAnsi="Times New Roman CYR" w:cs="Times New Roman CYR"/>
      <w:sz w:val="22"/>
      <w:szCs w:val="22"/>
    </w:rPr>
  </w:style>
  <w:style w:type="paragraph" w:styleId="813">
    <w:name w:val="Основной текст с отступом 3"/>
    <w:basedOn w:val="754"/>
    <w:next w:val="813"/>
    <w:link w:val="814"/>
    <w:pPr>
      <w:ind w:right="624" w:firstLine="709"/>
      <w:jc w:val="both"/>
      <w:spacing w:before="120"/>
    </w:pPr>
    <w:rPr>
      <w:sz w:val="22"/>
      <w:szCs w:val="22"/>
      <w:lang w:val="en-US" w:eastAsia="en-US"/>
    </w:rPr>
  </w:style>
  <w:style w:type="character" w:styleId="814">
    <w:name w:val="Основной текст с отступом 3 Знак"/>
    <w:next w:val="814"/>
    <w:link w:val="813"/>
    <w:rPr>
      <w:sz w:val="22"/>
      <w:szCs w:val="22"/>
    </w:rPr>
  </w:style>
  <w:style w:type="character" w:styleId="815">
    <w:name w:val="Номер страницы"/>
    <w:next w:val="815"/>
    <w:link w:val="754"/>
    <w:rPr>
      <w:rFonts w:cs="Times New Roman"/>
    </w:rPr>
  </w:style>
  <w:style w:type="paragraph" w:styleId="816">
    <w:name w:val="Основной текст с отступом"/>
    <w:basedOn w:val="754"/>
    <w:next w:val="816"/>
    <w:link w:val="817"/>
    <w:pPr>
      <w:ind w:left="283"/>
      <w:spacing w:after="120"/>
    </w:pPr>
    <w:rPr>
      <w:sz w:val="20"/>
      <w:szCs w:val="20"/>
    </w:rPr>
  </w:style>
  <w:style w:type="character" w:styleId="817">
    <w:name w:val="Основной текст с отступом Знак"/>
    <w:basedOn w:val="763"/>
    <w:next w:val="817"/>
    <w:link w:val="816"/>
  </w:style>
  <w:style w:type="paragraph" w:styleId="81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754"/>
    <w:next w:val="818"/>
    <w:link w:val="819"/>
    <w:uiPriority w:val="99"/>
    <w:rPr>
      <w:sz w:val="20"/>
      <w:szCs w:val="20"/>
    </w:rPr>
  </w:style>
  <w:style w:type="character" w:styleId="81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763"/>
    <w:next w:val="819"/>
    <w:link w:val="818"/>
    <w:uiPriority w:val="99"/>
  </w:style>
  <w:style w:type="character" w:styleId="82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
    <w:next w:val="820"/>
    <w:link w:val="754"/>
    <w:qFormat/>
    <w:rPr>
      <w:rFonts w:cs="Times New Roman"/>
      <w:vertAlign w:val="superscript"/>
    </w:rPr>
  </w:style>
  <w:style w:type="paragraph" w:styleId="821">
    <w:name w:val="Без интервала"/>
    <w:next w:val="821"/>
    <w:link w:val="822"/>
    <w:qFormat/>
    <w:rPr>
      <w:rFonts w:ascii="Calibri" w:hAnsi="Calibri"/>
      <w:sz w:val="22"/>
      <w:szCs w:val="22"/>
      <w:lang w:val="ru-RU" w:eastAsia="en-US" w:bidi="ar-SA"/>
    </w:rPr>
  </w:style>
  <w:style w:type="character" w:styleId="822">
    <w:name w:val="Без интервала Знак"/>
    <w:next w:val="822"/>
    <w:link w:val="821"/>
    <w:rPr>
      <w:rFonts w:ascii="Calibri" w:hAnsi="Calibri"/>
      <w:sz w:val="22"/>
      <w:szCs w:val="22"/>
      <w:lang w:eastAsia="en-US" w:bidi="ar-SA"/>
    </w:rPr>
  </w:style>
  <w:style w:type="paragraph" w:styleId="823">
    <w:name w:val="Оглавление 1"/>
    <w:basedOn w:val="754"/>
    <w:next w:val="754"/>
    <w:link w:val="754"/>
    <w:uiPriority w:val="39"/>
    <w:unhideWhenUsed/>
    <w:pPr>
      <w:spacing w:line="360" w:lineRule="auto"/>
      <w:tabs>
        <w:tab w:val="right" w:pos="9889" w:leader="dot"/>
      </w:tabs>
    </w:pPr>
  </w:style>
  <w:style w:type="numbering" w:styleId="824">
    <w:name w:val="Нет списка1"/>
    <w:next w:val="765"/>
    <w:link w:val="754"/>
    <w:semiHidden/>
    <w:unhideWhenUsed/>
  </w:style>
  <w:style w:type="table" w:styleId="825">
    <w:name w:val="Сетка таблицы"/>
    <w:basedOn w:val="764"/>
    <w:next w:val="825"/>
    <w:link w:val="754"/>
    <w:tblPr/>
  </w:style>
  <w:style w:type="character" w:styleId="826">
    <w:name w:val="Знак концевой сноски"/>
    <w:next w:val="826"/>
    <w:link w:val="754"/>
    <w:rPr>
      <w:vertAlign w:val="superscript"/>
    </w:rPr>
  </w:style>
  <w:style w:type="character" w:styleId="827">
    <w:name w:val="Знак примечания"/>
    <w:next w:val="827"/>
    <w:link w:val="754"/>
    <w:rPr>
      <w:sz w:val="16"/>
      <w:szCs w:val="16"/>
    </w:rPr>
  </w:style>
  <w:style w:type="paragraph" w:styleId="828">
    <w:name w:val="Текст примечания"/>
    <w:basedOn w:val="754"/>
    <w:next w:val="828"/>
    <w:link w:val="829"/>
    <w:rPr>
      <w:sz w:val="20"/>
      <w:szCs w:val="20"/>
    </w:rPr>
  </w:style>
  <w:style w:type="character" w:styleId="829">
    <w:name w:val="Текст примечания Знак"/>
    <w:basedOn w:val="763"/>
    <w:next w:val="829"/>
    <w:link w:val="828"/>
  </w:style>
  <w:style w:type="paragraph" w:styleId="830">
    <w:name w:val="Тема примечания"/>
    <w:basedOn w:val="828"/>
    <w:next w:val="828"/>
    <w:link w:val="831"/>
    <w:rPr>
      <w:b/>
      <w:bCs/>
      <w:lang w:val="en-US" w:eastAsia="en-US"/>
    </w:rPr>
  </w:style>
  <w:style w:type="character" w:styleId="831">
    <w:name w:val="Тема примечания Знак"/>
    <w:next w:val="831"/>
    <w:link w:val="830"/>
    <w:rPr>
      <w:b/>
      <w:bCs/>
      <w:lang w:val="en-US" w:eastAsia="en-US"/>
    </w:rPr>
  </w:style>
  <w:style w:type="paragraph" w:styleId="832">
    <w:name w:val="Маркированный список"/>
    <w:basedOn w:val="754"/>
    <w:next w:val="832"/>
    <w:link w:val="754"/>
    <w:pPr>
      <w:numPr>
        <w:ilvl w:val="0"/>
        <w:numId w:val="22"/>
      </w:numPr>
      <w:contextualSpacing/>
    </w:pPr>
    <w:rPr>
      <w:sz w:val="20"/>
      <w:szCs w:val="20"/>
    </w:rPr>
  </w:style>
  <w:style w:type="paragraph" w:styleId="833">
    <w:name w:val="Текст концевой сноски"/>
    <w:basedOn w:val="754"/>
    <w:next w:val="833"/>
    <w:link w:val="834"/>
    <w:rPr>
      <w:sz w:val="20"/>
      <w:szCs w:val="20"/>
    </w:rPr>
  </w:style>
  <w:style w:type="character" w:styleId="834">
    <w:name w:val="Текст концевой сноски Знак"/>
    <w:basedOn w:val="763"/>
    <w:next w:val="834"/>
    <w:link w:val="833"/>
  </w:style>
  <w:style w:type="paragraph" w:styleId="835">
    <w:name w:val="Рецензия"/>
    <w:next w:val="835"/>
    <w:link w:val="754"/>
    <w:hidden/>
    <w:uiPriority w:val="99"/>
    <w:semiHidden/>
    <w:rPr>
      <w:lang w:val="ru-RU" w:eastAsia="ru-RU" w:bidi="ar-SA"/>
    </w:rPr>
  </w:style>
  <w:style w:type="paragraph" w:styleId="836">
    <w:name w:val="Абзац списка"/>
    <w:basedOn w:val="754"/>
    <w:next w:val="836"/>
    <w:link w:val="754"/>
    <w:uiPriority w:val="34"/>
    <w:qFormat/>
    <w:pPr>
      <w:contextualSpacing/>
      <w:ind w:left="720"/>
      <w:spacing w:after="160" w:line="259" w:lineRule="auto"/>
    </w:pPr>
    <w:rPr>
      <w:rFonts w:ascii="Calibri" w:hAnsi="Calibri" w:eastAsia="Calibri"/>
      <w:sz w:val="22"/>
      <w:szCs w:val="22"/>
      <w:lang w:eastAsia="en-US"/>
    </w:rPr>
  </w:style>
  <w:style w:type="character" w:styleId="12203" w:default="1">
    <w:name w:val="Default Paragraph Font"/>
    <w:uiPriority w:val="1"/>
    <w:semiHidden/>
    <w:unhideWhenUsed/>
  </w:style>
  <w:style w:type="numbering" w:styleId="12204" w:default="1">
    <w:name w:val="No List"/>
    <w:uiPriority w:val="99"/>
    <w:semiHidden/>
    <w:unhideWhenUsed/>
  </w:style>
  <w:style w:type="table" w:styleId="1220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rshb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Kuzmina-ES</dc:creator>
  <cp:revision>11</cp:revision>
  <dcterms:created xsi:type="dcterms:W3CDTF">2021-12-30T13:59:00Z</dcterms:created>
  <dcterms:modified xsi:type="dcterms:W3CDTF">2025-11-21T09:18:23Z</dcterms:modified>
  <cp:version>1048576</cp:version>
</cp:coreProperties>
</file>