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contextualSpacing/>
        <w:ind w:left="4961" w:right="-283" w:firstLine="4252"/>
        <w:jc w:val="left"/>
        <w:spacing w:after="0" w:afterAutospacing="0" w:line="221" w:lineRule="atLeas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contextualSpacing/>
        <w:ind w:left="4961" w:right="-283" w:firstLine="4252"/>
        <w:jc w:val="left"/>
        <w:spacing w:after="0" w:afterAutospacing="0" w:line="221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к Условиям Программы лояльности для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ind w:left="4961" w:right="-283" w:firstLine="4252"/>
        <w:jc w:val="left"/>
        <w:spacing w:after="0" w:afterAutospacing="0" w:line="221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Клиентов, являющихся держателями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ind w:left="4961" w:right="-283" w:firstLine="4252"/>
        <w:jc w:val="left"/>
        <w:spacing w:after="0" w:afterAutospacing="0" w:line="221" w:lineRule="atLeas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банковских карт АО «Россельхозбанк»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ind w:left="4961" w:right="-283" w:firstLine="4252"/>
        <w:jc w:val="left"/>
        <w:spacing w:after="0" w:afterAutospacing="0" w:line="221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iCs/>
          <w:sz w:val="20"/>
          <w:szCs w:val="20"/>
        </w:rPr>
        <w:t xml:space="preserve">(приказ АО «Россельхозбанк» от 14.04.2025 № 640-ОД)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345"/>
        <w:jc w:val="center"/>
        <w:spacing w:after="2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4"/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sz w:val="24"/>
          <w:szCs w:val="24"/>
        </w:rPr>
        <w:t xml:space="preserve">Парамет</w:t>
      </w:r>
      <w:r>
        <w:rPr>
          <w:rFonts w:ascii="Times New Roman" w:hAnsi="Times New Roman" w:eastAsia="Times New Roman" w:cs="Times New Roman"/>
          <w:b/>
          <w:bCs/>
          <w:i w:val="0"/>
          <w:sz w:val="24"/>
          <w:szCs w:val="24"/>
        </w:rPr>
        <w:t xml:space="preserve">ры Программы лояльности</w:t>
      </w:r>
      <w:r>
        <w:rPr>
          <w:rFonts w:ascii="Times New Roman" w:hAnsi="Times New Roman" w:eastAsia="Times New Roman" w:cs="Times New Roman"/>
          <w:b/>
          <w:bCs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</w:r>
      <w:r>
        <w:rPr>
          <w:rFonts w:ascii="Times New Roman" w:hAnsi="Times New Roman" w:cs="Times New Roman"/>
          <w:i w:val="0"/>
          <w:sz w:val="24"/>
          <w:szCs w:val="24"/>
        </w:rPr>
      </w:r>
    </w:p>
    <w:p>
      <w:pPr>
        <w:contextualSpacing w:val="0"/>
        <w:jc w:val="center"/>
        <w:spacing w:before="57" w:beforeAutospacing="0" w:after="0" w:afterAutospacing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вводятся в действие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с 01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.02.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2026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spacing w:after="0" w:afterAutospacing="0" w:line="240" w:lineRule="auto"/>
      </w:pPr>
      <w:r/>
      <w:r/>
    </w:p>
    <w:tbl>
      <w:tblPr>
        <w:tblW w:w="14024" w:type="dxa"/>
        <w:tblInd w:w="0" w:type="dxa"/>
        <w:tblLayout w:type="fixed"/>
        <w:tblCellMar>
          <w:top w:w="10" w:type="dxa"/>
          <w:right w:w="8" w:type="dxa"/>
        </w:tblCellMar>
        <w:tblLook w:val="04A0" w:firstRow="1" w:lastRow="0" w:firstColumn="1" w:lastColumn="0" w:noHBand="0" w:noVBand="1"/>
      </w:tblPr>
      <w:tblGrid>
        <w:gridCol w:w="810"/>
        <w:gridCol w:w="2024"/>
        <w:gridCol w:w="2693"/>
        <w:gridCol w:w="2693"/>
        <w:gridCol w:w="5804"/>
      </w:tblGrid>
      <w:tr>
        <w:tblPrEx/>
        <w:trPr>
          <w:trHeight w:val="5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vMerge w:val="restart"/>
            <w:textDirection w:val="lrTb"/>
            <w:noWrap w:val="false"/>
          </w:tcPr>
          <w:p>
            <w:pPr>
              <w:ind w:left="4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№ п/п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ind w:right="99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Параметр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ind w:right="99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4" w:type="dxa"/>
            <w:vMerge w:val="restart"/>
            <w:textDirection w:val="lrTb"/>
            <w:noWrap w:val="false"/>
          </w:tcPr>
          <w:p>
            <w:pPr>
              <w:ind w:right="101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Примечание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vMerge w:val="continue"/>
            <w:textDirection w:val="lrTb"/>
            <w:noWrap w:val="false"/>
          </w:tcPr>
          <w:p>
            <w:pPr>
              <w:ind w:left="41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Merge w:val="continue"/>
            <w:textDirection w:val="lrTb"/>
            <w:noWrap w:val="false"/>
          </w:tcPr>
          <w:p>
            <w:pPr>
              <w:ind w:right="99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99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Уровень Программы лояльности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«Стандарт»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99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Уровень Программы лояльности «Престиж»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4" w:type="dxa"/>
            <w:vMerge w:val="continue"/>
            <w:textDirection w:val="lrTb"/>
            <w:noWrap w:val="false"/>
          </w:tcPr>
          <w:p>
            <w:pPr>
              <w:ind w:right="101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35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vMerge w:val="restart"/>
            <w:textDirection w:val="lrTb"/>
            <w:noWrap w:val="false"/>
          </w:tcPr>
          <w:p>
            <w:pPr>
              <w:ind w:right="101"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center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Соответствие критериям отнесения к Уровню Программы лояльности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right="103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Уровень</w:t>
            </w:r>
            <w:r>
              <w:rPr>
                <w:rFonts w:ascii="Times New Roman" w:hAnsi="Times New Roman" w:eastAsia="Times New Roman" w:cs="Times New Roman"/>
              </w:rPr>
              <w:t xml:space="preserve"> Программы </w:t>
            </w:r>
            <w:r>
              <w:rPr>
                <w:rFonts w:ascii="Times New Roman" w:hAnsi="Times New Roman" w:eastAsia="Times New Roman" w:cs="Times New Roman"/>
              </w:rPr>
              <w:t xml:space="preserve">лояльности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«Стандарт»</w:t>
            </w:r>
            <w:r>
              <w:rPr>
                <w:rFonts w:ascii="Times New Roman" w:hAnsi="Times New Roman" w:eastAsia="Times New Roman" w:cs="Times New Roman"/>
              </w:rPr>
              <w:t xml:space="preserve"> предоставляется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Пользовател</w:t>
            </w:r>
            <w:r>
              <w:rPr>
                <w:rFonts w:ascii="Times New Roman" w:hAnsi="Times New Roman" w:eastAsia="Times New Roman" w:cs="Times New Roman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</w:rPr>
              <w:t xml:space="preserve"> Программы лояльности</w:t>
            </w: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</w:rPr>
              <w:t xml:space="preserve"> не отнесенных к Уровню </w:t>
            </w:r>
            <w:r>
              <w:rPr>
                <w:rFonts w:ascii="Times New Roman" w:hAnsi="Times New Roman" w:eastAsia="Times New Roman" w:cs="Times New Roman"/>
              </w:rPr>
              <w:t xml:space="preserve">Программы лояльности </w:t>
            </w:r>
            <w:r>
              <w:rPr>
                <w:rFonts w:ascii="Times New Roman" w:hAnsi="Times New Roman" w:eastAsia="Times New Roman" w:cs="Times New Roman"/>
              </w:rPr>
              <w:t xml:space="preserve">«Престиж»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</w:rPr>
              <w:t xml:space="preserve">ровень </w:t>
            </w:r>
            <w:r>
              <w:rPr>
                <w:rFonts w:ascii="Times New Roman" w:hAnsi="Times New Roman" w:eastAsia="Times New Roman" w:cs="Times New Roman"/>
              </w:rPr>
              <w:t xml:space="preserve">Программы лояльности </w:t>
            </w:r>
            <w:r>
              <w:rPr>
                <w:rFonts w:ascii="Times New Roman" w:hAnsi="Times New Roman" w:eastAsia="Times New Roman" w:cs="Times New Roman"/>
              </w:rPr>
              <w:t xml:space="preserve">«Престиж»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предоставляется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</w:rPr>
              <w:t xml:space="preserve">льзовател</w:t>
            </w:r>
            <w:r>
              <w:rPr>
                <w:rFonts w:ascii="Times New Roman" w:hAnsi="Times New Roman" w:eastAsia="Times New Roman" w:cs="Times New Roman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Программы лояльности</w:t>
            </w: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</w:rPr>
              <w:t xml:space="preserve"> соответствующих одному из следующих </w:t>
            </w:r>
            <w:r>
              <w:rPr>
                <w:rFonts w:ascii="Times New Roman" w:hAnsi="Times New Roman" w:eastAsia="Times New Roman" w:cs="Times New Roman"/>
              </w:rPr>
              <w:t xml:space="preserve">критериев</w:t>
            </w:r>
            <w:r>
              <w:rPr>
                <w:rFonts w:ascii="Times New Roman" w:hAnsi="Times New Roman" w:eastAsia="Times New Roman" w:cs="Times New Roman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 Минимальный текущий баланс</w:t>
            </w:r>
            <w:r>
              <w:rPr>
                <w:rFonts w:ascii="Times New Roman" w:hAnsi="Times New Roman" w:eastAsia="Times New Roman" w:cs="Times New Roman"/>
              </w:rPr>
              <w:t xml:space="preserve"> Пользователя </w:t>
            </w:r>
            <w:r>
              <w:rPr>
                <w:rFonts w:ascii="Times New Roman" w:hAnsi="Times New Roman" w:eastAsia="Times New Roman" w:cs="Times New Roman"/>
              </w:rPr>
              <w:t xml:space="preserve">составляет </w:t>
            </w:r>
            <w:r>
              <w:rPr>
                <w:rFonts w:ascii="Times New Roman" w:hAnsi="Times New Roman" w:eastAsia="Times New Roman" w:cs="Times New Roman"/>
              </w:rPr>
              <w:t xml:space="preserve">не менее </w:t>
            </w:r>
            <w:r>
              <w:rPr>
                <w:rFonts w:ascii="Times New Roman" w:hAnsi="Times New Roman" w:eastAsia="Times New Roman" w:cs="Times New Roman"/>
              </w:rPr>
              <w:t xml:space="preserve">3 000 000,00 рублей </w:t>
            </w:r>
            <w:r>
              <w:rPr>
                <w:rFonts w:ascii="Times New Roman" w:hAnsi="Times New Roman" w:eastAsia="Times New Roman" w:cs="Times New Roman"/>
              </w:rPr>
              <w:t xml:space="preserve">(или эквивалент в иностранной валюте) и </w:t>
            </w:r>
            <w:r>
              <w:rPr>
                <w:rFonts w:ascii="Times New Roman" w:hAnsi="Times New Roman" w:eastAsia="Times New Roman" w:cs="Times New Roman"/>
              </w:rPr>
              <w:t xml:space="preserve">между </w:t>
            </w:r>
            <w:r>
              <w:rPr>
                <w:rFonts w:ascii="Times New Roman" w:hAnsi="Times New Roman" w:eastAsia="Times New Roman" w:cs="Times New Roman"/>
              </w:rPr>
              <w:t xml:space="preserve">Пользовател</w:t>
            </w:r>
            <w:r>
              <w:rPr>
                <w:rFonts w:ascii="Times New Roman" w:hAnsi="Times New Roman" w:eastAsia="Times New Roman" w:cs="Times New Roman"/>
              </w:rPr>
              <w:t xml:space="preserve">ем и Банком заключен и</w:t>
            </w:r>
            <w:r>
              <w:rPr>
                <w:rFonts w:ascii="Times New Roman" w:hAnsi="Times New Roman" w:eastAsia="Times New Roman" w:cs="Times New Roman"/>
              </w:rPr>
              <w:t xml:space="preserve"> действу</w:t>
            </w:r>
            <w:r>
              <w:rPr>
                <w:rFonts w:ascii="Times New Roman" w:hAnsi="Times New Roman" w:eastAsia="Times New Roman" w:cs="Times New Roman"/>
              </w:rPr>
              <w:t xml:space="preserve">ет</w:t>
            </w:r>
            <w:r>
              <w:rPr>
                <w:rFonts w:ascii="Times New Roman" w:hAnsi="Times New Roman" w:eastAsia="Times New Roman" w:cs="Times New Roman"/>
              </w:rPr>
              <w:t xml:space="preserve"> договор по пакету услуг «Ультра»;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</w:rPr>
              <w:t xml:space="preserve">Минимальный текущий бала</w:t>
            </w:r>
            <w:r>
              <w:rPr>
                <w:rFonts w:ascii="Times New Roman" w:hAnsi="Times New Roman" w:eastAsia="Times New Roman" w:cs="Times New Roman"/>
              </w:rPr>
              <w:t xml:space="preserve">нс Пользователя </w:t>
            </w:r>
            <w:r>
              <w:rPr>
                <w:rFonts w:ascii="Times New Roman" w:hAnsi="Times New Roman" w:eastAsia="Times New Roman" w:cs="Times New Roman"/>
              </w:rPr>
              <w:t xml:space="preserve">составляет </w:t>
            </w:r>
            <w:r>
              <w:rPr>
                <w:rFonts w:ascii="Times New Roman" w:hAnsi="Times New Roman" w:eastAsia="Times New Roman" w:cs="Times New Roman"/>
              </w:rPr>
              <w:t xml:space="preserve">не менее 3 000 000,00</w:t>
            </w:r>
            <w:r>
              <w:rPr>
                <w:rFonts w:ascii="Times New Roman" w:hAnsi="Times New Roman" w:eastAsia="Times New Roman" w:cs="Times New Roman"/>
              </w:rPr>
              <w:t xml:space="preserve"> рублей и не </w:t>
            </w:r>
            <w:r>
              <w:rPr>
                <w:rFonts w:ascii="Times New Roman" w:hAnsi="Times New Roman" w:eastAsia="Times New Roman" w:cs="Times New Roman"/>
              </w:rPr>
              <w:t xml:space="preserve">превышает</w:t>
            </w:r>
            <w:r>
              <w:rPr>
                <w:rFonts w:ascii="Times New Roman" w:hAnsi="Times New Roman" w:eastAsia="Times New Roman" w:cs="Times New Roman"/>
              </w:rPr>
              <w:t xml:space="preserve"> 29 999 999,99 рублей </w:t>
            </w:r>
            <w:r>
              <w:rPr>
                <w:rFonts w:ascii="Times New Roman" w:hAnsi="Times New Roman" w:eastAsia="Times New Roman" w:cs="Times New Roman"/>
              </w:rPr>
              <w:t xml:space="preserve">(или эквивалент в иностранной валюте), </w:t>
            </w:r>
            <w:r>
              <w:rPr>
                <w:rFonts w:ascii="Times New Roman" w:hAnsi="Times New Roman" w:eastAsia="Times New Roman" w:cs="Times New Roman"/>
              </w:rPr>
              <w:t xml:space="preserve">за исключением</w:t>
            </w:r>
            <w:r>
              <w:rPr>
                <w:rFonts w:ascii="Times New Roman" w:hAnsi="Times New Roman" w:eastAsia="Times New Roman" w:cs="Times New Roman"/>
              </w:rPr>
              <w:t xml:space="preserve"> Пользователей, соответствующих хотя бы одному из следующих условий: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</w:rPr>
              <w:t xml:space="preserve">между </w:t>
            </w:r>
            <w:r>
              <w:rPr>
                <w:rFonts w:ascii="Times New Roman" w:hAnsi="Times New Roman" w:eastAsia="Times New Roman" w:cs="Times New Roman"/>
              </w:rPr>
              <w:t xml:space="preserve">Пользователе</w:t>
            </w:r>
            <w:r>
              <w:rPr>
                <w:rFonts w:ascii="Times New Roman" w:hAnsi="Times New Roman" w:eastAsia="Times New Roman" w:cs="Times New Roman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</w:rPr>
              <w:t xml:space="preserve"> и Банком заключен и </w:t>
            </w:r>
            <w:r>
              <w:rPr>
                <w:rFonts w:ascii="Times New Roman" w:hAnsi="Times New Roman" w:eastAsia="Times New Roman" w:cs="Times New Roman"/>
              </w:rPr>
              <w:t xml:space="preserve"> действу</w:t>
            </w:r>
            <w:r>
              <w:rPr>
                <w:rFonts w:ascii="Times New Roman" w:hAnsi="Times New Roman" w:eastAsia="Times New Roman" w:cs="Times New Roman"/>
              </w:rPr>
              <w:t xml:space="preserve">ет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договор по </w:t>
            </w:r>
            <w:r>
              <w:rPr>
                <w:rFonts w:ascii="Times New Roman" w:hAnsi="Times New Roman" w:eastAsia="Times New Roman" w:cs="Times New Roman"/>
              </w:rPr>
              <w:t xml:space="preserve">пакет</w:t>
            </w:r>
            <w:r>
              <w:rPr>
                <w:rFonts w:ascii="Times New Roman" w:hAnsi="Times New Roman" w:eastAsia="Times New Roman" w:cs="Times New Roman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</w:rPr>
              <w:t xml:space="preserve"> услуг </w:t>
            </w: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  <w:t xml:space="preserve">Элит</w:t>
            </w: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  <w:t xml:space="preserve">Элит плюс</w:t>
            </w: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  </w:t>
            </w:r>
            <w:r>
              <w:rPr>
                <w:rFonts w:ascii="Times New Roman" w:hAnsi="Times New Roman" w:eastAsia="Times New Roman" w:cs="Times New Roman"/>
              </w:rPr>
              <w:t xml:space="preserve"> Пользователей</w:t>
            </w:r>
            <w:r>
              <w:rPr>
                <w:rFonts w:ascii="Times New Roman" w:hAnsi="Times New Roman" w:eastAsia="Times New Roman" w:cs="Times New Roman"/>
              </w:rPr>
              <w:t xml:space="preserve">, являющихся </w:t>
            </w:r>
            <w:r>
              <w:rPr>
                <w:rFonts w:ascii="Times New Roman" w:hAnsi="Times New Roman" w:eastAsia="Times New Roman" w:cs="Times New Roman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</w:rPr>
              <w:t xml:space="preserve">олучател</w:t>
            </w:r>
            <w:r>
              <w:rPr>
                <w:rFonts w:ascii="Times New Roman" w:hAnsi="Times New Roman" w:eastAsia="Times New Roman" w:cs="Times New Roman"/>
              </w:rPr>
              <w:t xml:space="preserve">ями</w:t>
            </w:r>
            <w:r>
              <w:rPr>
                <w:rFonts w:ascii="Times New Roman" w:hAnsi="Times New Roman" w:eastAsia="Times New Roman" w:cs="Times New Roman"/>
              </w:rPr>
              <w:t xml:space="preserve"> услуги «Семейный досту</w:t>
            </w:r>
            <w:r>
              <w:rPr>
                <w:rFonts w:ascii="Times New Roman" w:hAnsi="Times New Roman" w:eastAsia="Times New Roman" w:cs="Times New Roman"/>
              </w:rPr>
              <w:t xml:space="preserve">п»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80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ind w:right="101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center"/>
            <w:textDirection w:val="lrTb"/>
            <w:noWrap w:val="false"/>
          </w:tcPr>
          <w:p>
            <w:pPr>
              <w:ind w:right="10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Максимальная сумма Бонусных баллов в расчетном периоде, допустимая 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зачислению на Бонусный счет Пользователя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100"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5 000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Бонусных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баллов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right="100"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10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15 000 Бонусных баллов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right="100"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80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ind w:left="0" w:right="0" w:firstLine="0"/>
              <w:jc w:val="both"/>
              <w:spacing w:after="0" w:afterAutospacing="0" w:line="240" w:lineRule="auto"/>
              <w:tabs>
                <w:tab w:val="left" w:pos="42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Если общая сумма Расходных операций, совершенных по Счету в ТСП следующих категорий: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0" w:right="0" w:firstLine="0"/>
              <w:jc w:val="both"/>
              <w:spacing w:after="0" w:afterAutospacing="0" w:line="240" w:lineRule="auto"/>
              <w:tabs>
                <w:tab w:val="left" w:pos="42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провайдеры телекоммуникационных услуг (MCC-коды 4813, 4814, 4815);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0" w:right="0" w:firstLine="0"/>
              <w:jc w:val="both"/>
              <w:spacing w:after="0" w:afterAutospacing="0" w:line="240" w:lineRule="auto"/>
              <w:tabs>
                <w:tab w:val="left" w:pos="42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телекоммуникационное оборудование и сервисы (MCC-код 4812);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0" w:right="0" w:firstLine="0"/>
              <w:jc w:val="both"/>
              <w:spacing w:after="0" w:afterAutospacing="0" w:line="240" w:lineRule="auto"/>
              <w:tabs>
                <w:tab w:val="left" w:pos="42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провайдеры компьютерных сетей, информационных услуг, доступа в сеть Интернет, электронных досок объявлений (MCC-код 4821), в одном Расчетном периоде </w:t>
            </w:r>
            <w:r>
              <w:rPr>
                <w:rFonts w:ascii="Times New Roman" w:hAnsi="Times New Roman" w:eastAsia="Times New Roman" w:cs="Times New Roman"/>
              </w:rPr>
              <w:t xml:space="preserve">превышает 3000 рублей, то на сумму, превышающую данное значение, Бонусные баллы </w:t>
            </w:r>
            <w:r>
              <w:rPr>
                <w:rFonts w:ascii="Times New Roman" w:hAnsi="Times New Roman" w:eastAsia="Times New Roman" w:cs="Times New Roman"/>
              </w:rPr>
              <w:t xml:space="preserve">не начисляются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2"/>
              </w:numPr>
              <w:ind w:left="0" w:right="0" w:firstLine="0"/>
              <w:jc w:val="both"/>
              <w:spacing w:before="62" w:beforeAutospacing="0" w:after="44" w:line="240" w:lineRule="auto"/>
              <w:tabs>
                <w:tab w:val="left" w:pos="425" w:leader="none"/>
              </w:tabs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Если сумма Расходной операции, совершенной в ТСП категорий «Услуги по недвижимости/аренде» (MCC-код 6513), превышает 1 000 000 рублей, то на сумму, превышающую данное значение, Бонусные баллы не </w:t>
            </w:r>
            <w:r>
              <w:rPr>
                <w:rFonts w:ascii="Times New Roman" w:hAnsi="Times New Roman" w:eastAsia="Times New Roman" w:cs="Times New Roman"/>
              </w:rPr>
              <w:t xml:space="preserve">начисляются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numPr>
                <w:ilvl w:val="0"/>
                <w:numId w:val="2"/>
              </w:numPr>
              <w:ind w:left="0" w:right="0" w:firstLine="0"/>
              <w:jc w:val="both"/>
              <w:spacing w:before="62" w:beforeAutospacing="0" w:after="44" w:line="240" w:lineRule="auto"/>
              <w:tabs>
                <w:tab w:val="left" w:pos="425" w:leader="none"/>
              </w:tabs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Если сумма Расходной операции, совершенной в ТСП категорий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«Продажа, лизинг, легковых и грузовых автомобилей, водных транспортных средств, автодомов/обслуживание/ремонт/запасные части» (MCC-коды 5013, 5511, 5521, 5533, 5551, 5592), превышает 850 000 рублей, то на сумму, превышающую данное значение, Бонусные баллы </w:t>
            </w:r>
            <w:r>
              <w:rPr>
                <w:rFonts w:ascii="Times New Roman" w:hAnsi="Times New Roman" w:eastAsia="Times New Roman" w:cs="Times New Roman"/>
              </w:rPr>
              <w:t xml:space="preserve">не начисляются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</w:tr>
      <w:tr>
        <w:tblPrEx/>
        <w:trPr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ind w:right="101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center"/>
            <w:textDirection w:val="lrTb"/>
            <w:noWrap w:val="false"/>
          </w:tcPr>
          <w:p>
            <w:pPr>
              <w:spacing w:after="2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действия Бонусных баллов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right="105"/>
              <w:spacing w:after="38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даты зачисления 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Бонусный счет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ind w:left="1" w:right="5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календарных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4" w:type="dxa"/>
            <w:vAlign w:val="center"/>
            <w:textDirection w:val="lrTb"/>
            <w:noWrap w:val="false"/>
          </w:tcPr>
          <w:p>
            <w:pPr>
              <w:ind w:right="98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ind w:right="101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center"/>
            <w:textDirection w:val="lrTb"/>
            <w:noWrap w:val="false"/>
          </w:tcPr>
          <w:p>
            <w:pPr>
              <w:ind w:right="104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Курс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конвертации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для компенсаци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Бонусными баллами Расходных операций по приобретению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оваров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услуг из Каталога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ind w:right="101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Бонусный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балл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=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1рубл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4" w:type="dxa"/>
            <w:vAlign w:val="center"/>
            <w:textDirection w:val="lrTb"/>
            <w:noWrap w:val="false"/>
          </w:tcPr>
          <w:p>
            <w:pPr>
              <w:spacing w:after="34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Расходная операция, в отношении которой была произведена операция отмены/возврата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для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омпенсации недоступна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vMerge w:val="restart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Курс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конвертации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обмена Бонусных баллов на рубли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РФ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для зачисления на Счет*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Максимальная сумма Конвертации Бонусных 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аллов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течении календарного месяца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составляет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не более 5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000 баллов.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Максимальная сумма Конвертации Бонусных 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аллов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течении календарного месяца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составляет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не более 15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000 баллов.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804" w:type="dxa"/>
            <w:vMerge w:val="restart"/>
            <w:textDirection w:val="lrTb"/>
            <w:noWrap w:val="false"/>
          </w:tcPr>
          <w:p>
            <w:pPr>
              <w:ind w:right="102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Пересчет Бонусных баллов в рубли для зачисления на Счет осуществляется не позднее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рабочего дня, следующего за датой обмена.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right="102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Отмена конвертации недоступна.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right="102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vMerge w:val="restart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.1.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случае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если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актический оборот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чету  за предыдущий календарный месяц составляет до 9999,99 рублей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Конвертация и обмен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недоступн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804" w:type="dxa"/>
            <w:vMerge w:val="continue"/>
            <w:textDirection w:val="lrTb"/>
            <w:noWrap w:val="false"/>
          </w:tcPr>
          <w:p>
            <w:pPr>
              <w:ind w:right="102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vMerge w:val="restart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.2.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случае если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актический оборот по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чету  за предыдущий календарный месяц составляет от 10 000, 00 рублей включительно до 29 999,99 рублей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Бонусный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балл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=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рубл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9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804" w:type="dxa"/>
            <w:vMerge w:val="continue"/>
            <w:textDirection w:val="lrTb"/>
            <w:noWrap w:val="false"/>
          </w:tcPr>
          <w:p>
            <w:pPr>
              <w:ind w:right="102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vMerge w:val="restart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.3.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случае если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актический оборот по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чету за предыдущий календарный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месяц составляет от 30 000, 00 рублей включительно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74 999,99 рублей и выше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 Бонусный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балл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=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0,65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рубл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9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804" w:type="dxa"/>
            <w:vMerge w:val="continue"/>
            <w:textDirection w:val="lrTb"/>
            <w:noWrap w:val="false"/>
          </w:tcPr>
          <w:p>
            <w:pPr>
              <w:ind w:right="102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vMerge w:val="restart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.4.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случае если Фактический оборот по Счету за предыдущий календарный месяц составляет 75 000 рублей и выше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Бонусный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балл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=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0,85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рубл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9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804" w:type="dxa"/>
            <w:vMerge w:val="continue"/>
            <w:textDirection w:val="lrTb"/>
            <w:noWrap w:val="false"/>
          </w:tcPr>
          <w:p>
            <w:pPr>
              <w:ind w:right="102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10" w:type="dxa"/>
            <w:vMerge w:val="restart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5.5.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случае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актический оборот по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чету  за предыдущий календарный месяц составляет от 10 000, 00 рублей включительно до 74 999,99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right="9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Бонусный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балл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=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0,65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рубл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10" w:type="dxa"/>
            <w:vMerge w:val="restart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5.6.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случае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актический оборот по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чету  за предыдущий календарный месяц составляет от 75 000, 00 рублей включительно до 149 999,99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right="9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Бонусный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балл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=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0,85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рубл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10" w:type="dxa"/>
            <w:vMerge w:val="restart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5.7.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Merge w:val="restart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случае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актический оборот по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чету  за предыдущий календарный месяц составляет от  150 000,00 рублей и выше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right="9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Бонусный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балл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=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рубл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ind w:right="101"/>
              <w:jc w:val="center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textDirection w:val="lrTb"/>
            <w:noWrap w:val="false"/>
          </w:tcPr>
          <w:p>
            <w:pPr>
              <w:ind w:right="104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Доступные для активации Категории покупок для начисления Бонусных баллов на Бонусный счет за совершение Расходных операций и Курс начисления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ксимальное количество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атегорий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покупок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для выбора в месяц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ксимальное количество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атегорий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покупок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для выбора в месяц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right="104"/>
              <w:jc w:val="center"/>
              <w:spacing w:before="57" w:beforeAutospacing="0" w:after="57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4" w:type="dxa"/>
            <w:textDirection w:val="lrTb"/>
            <w:noWrap w:val="false"/>
          </w:tcPr>
          <w:p>
            <w:pPr>
              <w:ind w:right="102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2"/>
              <w:jc w:val="both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пределяются ежемесячно для каждого Пользователя и зависят от объема операций по Карте и объема операций покупок товаров из Каталога каждого Пользователя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2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Выбор Категорий покупок производится в ДБО.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right="102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Повторение выбора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атегории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покупок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ДБО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возможно не чаще одного раза в течение 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календарных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месяцев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подряд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1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10" w:type="dxa"/>
            <w:vAlign w:val="center"/>
            <w:vMerge w:val="restart"/>
            <w:textDirection w:val="lrTb"/>
            <w:noWrap w:val="false"/>
          </w:tcPr>
          <w:p>
            <w:pPr>
              <w:ind w:right="101"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4" w:type="dxa"/>
            <w:vAlign w:val="center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Тарифные планы участвующие в Программе лояльности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ind w:right="10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4" w:type="dxa"/>
            <w:vMerge w:val="restart"/>
            <w:textDirection w:val="lrTb"/>
            <w:noWrap w:val="false"/>
          </w:tcPr>
          <w:p>
            <w:pPr>
              <w:spacing w:before="57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Программе лояльности участвуют следующие Тарифные планы: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Персональный»,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«Зарплатный»,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«Зарплатный РСХБ»,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«Капитал»,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«Сервисный»,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«Зарплатный 5+»,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«Путевая карта»,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«Амурский тигр «Премиум»,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«Премиальный»,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«Служу Отечеству!»,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«МИР Премиум»,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«Зарплатный Максимум»,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«Гвардейский»,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«Зарплатный МИР»,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«Зарплатный МИР 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+»,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«Индивидуальный»,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«Зарплатный Статус»,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«Карта «Премиум»,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Карта «МИР-Ультра»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«Россельхозбанк-ВОРДИ»,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«Профсоюзный»,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«Дебетовая карта Хозяина»,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«СВОЯ карта»,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«Социальная карта»,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Аппетитная карта»,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«СВОЯ карта Плюс»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«Кредитная карта с льготным периодом кредитования»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, «Карта Хозяина»,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Путева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я карта – кредитная карта с льготным периодом кредитования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«Премиальная кредитная карта с льготным периодом кредитования»,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«Кредитная карта «Премиум»,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«СВОЯ кредитная карта»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«Карта «Ультра»,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57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«Кредитная карта «Ультра».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fldSimple w:instr="PAGE \* MERGEFORMAT">
      <w:r>
        <w:t xml:space="preserve">1</w:t>
      </w:r>
    </w:fldSimple>
    <w:r/>
    <w:r/>
  </w:p>
  <w:p>
    <w:pPr>
      <w:pStyle w:val="7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360" w:hanging="360"/>
      </w:pPr>
      <w:rPr>
        <w:rFonts w:hint="default" w:ascii="Symbol" w:hAnsi="Symbol" w:eastAsia="Symbol" w:cs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8"/>
    <w:next w:val="878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8"/>
    <w:next w:val="878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4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8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No Spacing"/>
    <w:basedOn w:val="878"/>
    <w:uiPriority w:val="1"/>
    <w:qFormat/>
    <w:pPr>
      <w:spacing w:after="0" w:line="240" w:lineRule="auto"/>
    </w:pPr>
  </w:style>
  <w:style w:type="paragraph" w:styleId="882">
    <w:name w:val="List Paragraph"/>
    <w:basedOn w:val="878"/>
    <w:uiPriority w:val="34"/>
    <w:qFormat/>
    <w:pPr>
      <w:contextualSpacing/>
      <w:ind w:left="720"/>
    </w:pPr>
  </w:style>
  <w:style w:type="character" w:styleId="883" w:default="1">
    <w:name w:val="Default Paragraph Font"/>
    <w:uiPriority w:val="1"/>
    <w:semiHidden/>
    <w:unhideWhenUsed/>
  </w:style>
  <w:style w:type="character" w:styleId="884" w:customStyle="1">
    <w:name w:val="annotation reference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bataeva-nv</cp:lastModifiedBy>
  <cp:revision>59</cp:revision>
  <dcterms:modified xsi:type="dcterms:W3CDTF">2025-12-22T13:25:24Z</dcterms:modified>
</cp:coreProperties>
</file>