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  <w:t xml:space="preserve">Правила проведения маркетинговой акции </w:t>
      </w:r>
      <w:r>
        <w:rPr>
          <w:b/>
        </w:rPr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«Приветственная ставка» для физических лиц </w:t>
      </w:r>
      <w:r>
        <w:rPr>
          <w:b/>
          <w:color w:val="000000" w:themeColor="text1"/>
        </w:rPr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рамках накопительного счета тарифного плана «Мой счет» </w:t>
      </w:r>
      <w:r>
        <w:rPr>
          <w:b/>
          <w:color w:val="000000" w:themeColor="text1"/>
        </w:rPr>
      </w:r>
    </w:p>
    <w:p>
      <w:pPr>
        <w:jc w:val="center"/>
        <w:rPr>
          <w:b/>
        </w:rPr>
      </w:pPr>
      <w:r>
        <w:rPr>
          <w:b/>
        </w:rPr>
        <w:t xml:space="preserve">(далее – Правила проведения Акции)</w:t>
      </w:r>
      <w:r>
        <w:rPr>
          <w:b/>
        </w:rPr>
      </w:r>
    </w:p>
    <w:p>
      <w:pPr>
        <w:jc w:val="center"/>
        <w:spacing w:before="12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1134" w:leader="none"/>
        </w:tabs>
      </w:pPr>
      <w:r>
        <w:t xml:space="preserve">1.</w:t>
      </w:r>
      <w:r>
        <w:rPr>
          <w:b/>
        </w:rPr>
        <w:t xml:space="preserve"> </w:t>
      </w:r>
      <w:r>
        <w:rPr>
          <w:b/>
        </w:rPr>
        <w:t xml:space="preserve">Основная цель</w:t>
      </w:r>
      <w:r>
        <w:t xml:space="preserve"> </w:t>
      </w:r>
      <w:r>
        <w:rPr>
          <w:b/>
        </w:rPr>
        <w:t xml:space="preserve">проведения</w:t>
      </w:r>
      <w:r>
        <w:t xml:space="preserve"> маркетинговой акции </w:t>
      </w:r>
      <w:r>
        <w:rPr>
          <w:color w:val="000000" w:themeColor="text1"/>
        </w:rPr>
        <w:t xml:space="preserve">«Приветственная ставка» для физических лиц в </w:t>
      </w:r>
      <w:r>
        <w:rPr>
          <w:color w:val="000000" w:themeColor="text1"/>
        </w:rPr>
        <w:t xml:space="preserve">рамках накопительного счета тарифного плана «Мой счет»</w:t>
      </w:r>
      <w:r>
        <w:rPr>
          <w:b/>
          <w:color w:val="000000" w:themeColor="text1"/>
        </w:rPr>
        <w:t xml:space="preserve"> </w:t>
      </w:r>
      <w:r>
        <w:t xml:space="preserve">(далее – Акция) – </w:t>
      </w:r>
      <w:r>
        <w:t xml:space="preserve">привлечение средств физических лиц на накопительные счета АО «Россельхозбанк».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2.</w:t>
      </w:r>
      <w:r>
        <w:rPr>
          <w:b/>
        </w:rPr>
        <w:t xml:space="preserve"> Задачи, решаемые в рамках проведения Акции </w:t>
      </w:r>
      <w:r>
        <w:t xml:space="preserve">– увеличение портфеля пассивов, повышение лояльности клиентов. </w:t>
      </w:r>
      <w:r/>
    </w:p>
    <w:p>
      <w:pPr>
        <w:ind w:firstLine="709"/>
        <w:jc w:val="both"/>
        <w:tabs>
          <w:tab w:val="left" w:pos="426" w:leader="none"/>
        </w:tabs>
        <w:rPr>
          <w:b/>
        </w:rPr>
      </w:pPr>
      <w:r>
        <w:t xml:space="preserve">3.</w:t>
      </w:r>
      <w:r>
        <w:rPr>
          <w:b/>
        </w:rPr>
        <w:t xml:space="preserve"> Место проведения Акции</w:t>
      </w:r>
      <w:r>
        <w:t xml:space="preserve"> – </w:t>
      </w:r>
      <w:r>
        <w:t xml:space="preserve">внутренние структурные подразделения </w:t>
      </w:r>
      <w:r>
        <w:br/>
        <w:t xml:space="preserve">АО «Россельхозбанк» (далее – Банк), региональные филиалы Банка и их внутренние структурные подразделения, а также система дистанционного банковского обслуживания «Интернет-банк» и «Мобильный банк» (далее – ДБО).</w:t>
      </w:r>
      <w:r>
        <w:rPr>
          <w:b/>
        </w:rPr>
      </w:r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rPr>
          <w:b/>
        </w:rPr>
        <w:t xml:space="preserve"> Период проведения Акции </w:t>
      </w:r>
      <w:r>
        <w:t xml:space="preserve">– </w:t>
      </w:r>
      <w:r>
        <w:rPr>
          <w:lang w:val="en-US"/>
        </w:rPr>
        <w:t xml:space="preserve">c</w:t>
      </w:r>
      <w:r>
        <w:t xml:space="preserve"> 0</w:t>
      </w:r>
      <w:r>
        <w:t xml:space="preserve">0:00 (по московскому времени) 01.01.2025</w:t>
      </w:r>
      <w:r>
        <w:t xml:space="preserve"> (включительно) по 23:5</w:t>
      </w:r>
      <w:r>
        <w:t xml:space="preserve">9 (по московскому времени) 31.05</w:t>
      </w:r>
      <w:r>
        <w:t xml:space="preserve">.2025 (включительно).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5.</w:t>
      </w:r>
      <w:r>
        <w:rPr>
          <w:b/>
        </w:rPr>
        <w:t xml:space="preserve"> Участник Акции</w:t>
      </w:r>
      <w:r>
        <w:t xml:space="preserve"> – физическое лицо, </w:t>
      </w:r>
      <w:r>
        <w:rPr>
          <w:color w:val="1c1c1c"/>
          <w:shd w:val="clear" w:color="auto" w:fill="ffffff"/>
        </w:rPr>
        <w:t xml:space="preserve">не имеющее накопител</w:t>
      </w:r>
      <w:r>
        <w:rPr>
          <w:color w:val="1c1c1c"/>
          <w:shd w:val="clear" w:color="auto" w:fill="ffffff"/>
        </w:rPr>
        <w:t xml:space="preserve">ьных счетов в Банке в течение 30 (тридцати) календарных дней до даты</w:t>
      </w:r>
      <w:r>
        <w:rPr>
          <w:color w:val="1c1c1c"/>
          <w:shd w:val="clear" w:color="auto" w:fill="ffffff"/>
        </w:rPr>
        <w:t xml:space="preserve"> обращения в Банк (</w:t>
      </w:r>
      <w:r>
        <w:rPr>
          <w:color w:val="1c1c1c"/>
          <w:shd w:val="clear" w:color="auto" w:fill="ffffff"/>
        </w:rPr>
        <w:t xml:space="preserve">включая дату обращения</w:t>
      </w:r>
      <w:r>
        <w:rPr>
          <w:color w:val="1c1c1c"/>
          <w:shd w:val="clear" w:color="auto" w:fill="ffffff"/>
        </w:rPr>
        <w:t xml:space="preserve">) с целью открытия </w:t>
      </w:r>
      <w:r>
        <w:rPr>
          <w:color w:val="1c1c1c"/>
          <w:shd w:val="clear" w:color="auto" w:fill="ffffff"/>
        </w:rPr>
        <w:t xml:space="preserve">накопительного счета</w:t>
      </w:r>
      <w:r>
        <w:rPr>
          <w:color w:val="1c1c1c"/>
          <w:shd w:val="clear" w:color="auto" w:fill="ffffff"/>
        </w:rPr>
        <w:t xml:space="preserve"> в рамках тарифного плана «</w:t>
      </w:r>
      <w:r>
        <w:rPr>
          <w:color w:val="1c1c1c"/>
          <w:shd w:val="clear" w:color="auto" w:fill="ffffff"/>
        </w:rPr>
        <w:t xml:space="preserve">Мой счет</w:t>
      </w:r>
      <w:r>
        <w:rPr>
          <w:color w:val="1c1c1c"/>
          <w:shd w:val="clear" w:color="auto" w:fill="ffffff"/>
        </w:rPr>
        <w:t xml:space="preserve">» в рублях (далее – Счет).</w:t>
      </w:r>
      <w:r/>
    </w:p>
    <w:p>
      <w:pPr>
        <w:ind w:firstLine="709"/>
        <w:jc w:val="both"/>
        <w:tabs>
          <w:tab w:val="left" w:pos="1134" w:leader="none"/>
        </w:tabs>
        <w:rPr>
          <w:b/>
        </w:rPr>
      </w:pPr>
      <w:r>
        <w:t xml:space="preserve">6.</w:t>
      </w:r>
      <w:r>
        <w:rPr>
          <w:b/>
        </w:rPr>
        <w:t xml:space="preserve"> Условия проведения Акции:</w:t>
      </w:r>
      <w:r>
        <w:rPr>
          <w:b/>
        </w:rPr>
      </w:r>
    </w:p>
    <w:p>
      <w:pPr>
        <w:ind w:firstLine="709"/>
        <w:jc w:val="both"/>
        <w:tabs>
          <w:tab w:val="left" w:pos="426" w:leader="none"/>
          <w:tab w:val="left" w:pos="1276" w:leader="none"/>
        </w:tabs>
      </w:pPr>
      <w:r>
        <w:t xml:space="preserve">6.1.</w:t>
      </w:r>
      <w:r>
        <w:rPr>
          <w:b/>
        </w:rPr>
        <w:tab/>
      </w:r>
      <w:r>
        <w:t xml:space="preserve">В период с 0</w:t>
      </w:r>
      <w:r>
        <w:t xml:space="preserve">0:00 (по московскому времени) 01.01</w:t>
      </w:r>
      <w:r>
        <w:t xml:space="preserve">.2025</w:t>
      </w:r>
      <w:r>
        <w:t xml:space="preserve"> (включительно) по 23:5</w:t>
      </w:r>
      <w:r>
        <w:t xml:space="preserve">9 (по московскому времени) 3</w:t>
      </w:r>
      <w:r>
        <w:t xml:space="preserve">1.03</w:t>
      </w:r>
      <w:r>
        <w:t xml:space="preserve">.2025 (включительно) Участник Акции в Месте проведения Акции открывает Счет.</w:t>
      </w:r>
      <w:r/>
    </w:p>
    <w:p>
      <w:pPr>
        <w:ind w:firstLine="709"/>
        <w:jc w:val="both"/>
        <w:tabs>
          <w:tab w:val="left" w:pos="426" w:leader="none"/>
        </w:tabs>
        <w:rPr>
          <w:color w:val="000000" w:themeColor="text1"/>
        </w:rPr>
      </w:pPr>
      <w:r>
        <w:t xml:space="preserve">6.2. </w:t>
      </w:r>
      <w:r>
        <w:t xml:space="preserve">Начисление Участнику Акции дополнительных процентов </w:t>
      </w:r>
      <w:r>
        <w:t xml:space="preserve">в размере </w:t>
      </w:r>
      <w:r>
        <w:br/>
        <w:t xml:space="preserve">11 (одиннадцат</w:t>
      </w:r>
      <w:r>
        <w:t xml:space="preserve">и</w:t>
      </w:r>
      <w:r>
        <w:t xml:space="preserve">) процентов годовых </w:t>
      </w:r>
      <w:r>
        <w:t xml:space="preserve">в рамках настоящих Правил проведения Акции</w:t>
      </w:r>
      <w:r>
        <w:t xml:space="preserve"> осуществляется</w:t>
      </w:r>
      <w:r>
        <w:t xml:space="preserve"> </w:t>
      </w:r>
      <w:r>
        <w:t xml:space="preserve">на фактический остаток денежных сре</w:t>
      </w:r>
      <w:r>
        <w:t xml:space="preserve">дств на Счете</w:t>
      </w:r>
      <w:r>
        <w:t xml:space="preserve">, не превышающий 3 000 000,00 (три) миллиона рублей на начало</w:t>
      </w:r>
      <w:r>
        <w:t xml:space="preserve"> каждого</w:t>
      </w:r>
      <w:r>
        <w:t xml:space="preserve"> операционного дня в течение расчетного периода</w:t>
      </w:r>
      <w:r>
        <w:rPr>
          <w:rStyle w:val="909"/>
        </w:rPr>
        <w:footnoteReference w:id="2"/>
      </w:r>
      <w:r>
        <w:t xml:space="preserve">. Начисленные в соответствии с дополнительными процентами денежные средства причисляются к остатку денежных средств на Счете ежемесячно в последний календарный день месяца либо в день закрытия Счета дополнительно к выплаченным </w:t>
      </w:r>
      <w:r>
        <w:t xml:space="preserve">денежным средствам,</w:t>
      </w:r>
      <w:r>
        <w:t xml:space="preserve"> </w:t>
      </w:r>
      <w:r>
        <w:t xml:space="preserve">начисленным </w:t>
      </w:r>
      <w:r>
        <w:t xml:space="preserve">по процентным ставкам, установленным для Счета в соответствии</w:t>
      </w:r>
      <w:r>
        <w:rPr>
          <w:color w:val="000000" w:themeColor="text1"/>
        </w:rPr>
        <w:t xml:space="preserve"> с Условиями по банковскому счету физических лиц «Накопительный счет» в рамках тарифного плана «</w:t>
      </w:r>
      <w:r>
        <w:rPr>
          <w:color w:val="000000" w:themeColor="text1"/>
        </w:rPr>
        <w:t xml:space="preserve">Мой счет</w:t>
      </w:r>
      <w:r>
        <w:rPr>
          <w:color w:val="000000" w:themeColor="text1"/>
        </w:rPr>
        <w:t xml:space="preserve">» (далее – Условия НС «</w:t>
      </w:r>
      <w:r>
        <w:rPr>
          <w:color w:val="000000" w:themeColor="text1"/>
        </w:rPr>
        <w:t xml:space="preserve">Мой счет</w:t>
      </w:r>
      <w:r>
        <w:rPr>
          <w:color w:val="000000" w:themeColor="text1"/>
        </w:rPr>
        <w:t xml:space="preserve">»)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ind w:firstLine="709"/>
        <w:jc w:val="both"/>
        <w:tabs>
          <w:tab w:val="left" w:pos="426" w:leader="none"/>
        </w:tabs>
      </w:pPr>
      <w:r>
        <w:t xml:space="preserve">Начисление и выплата дополнительных процентов в соответствии с настоящим пунктом Правил </w:t>
      </w:r>
      <w:r>
        <w:t xml:space="preserve">проведения Акции осуществляется</w:t>
      </w:r>
      <w:r>
        <w:t xml:space="preserve"> в следующем порядке:</w:t>
      </w:r>
      <w:r/>
    </w:p>
    <w:p>
      <w:pPr>
        <w:ind w:firstLine="709"/>
        <w:jc w:val="both"/>
        <w:tabs>
          <w:tab w:val="left" w:pos="426" w:leader="none"/>
        </w:tabs>
      </w:pPr>
      <w:r>
        <w:t xml:space="preserve">6.2.1.  Участнику Акции,</w:t>
      </w:r>
      <w:r>
        <w:t xml:space="preserve"> за исключением указанного в п 6.2.2 настоящих Правил проведения Акции и</w:t>
      </w:r>
      <w:r>
        <w:t xml:space="preserve"> выполнившему условия в соответствии с п. 6.1 настоящих Правил проведения Акции, в течение первых 3 (трех) расчетных периодов;</w:t>
      </w:r>
      <w:r/>
    </w:p>
    <w:p>
      <w:pPr>
        <w:ind w:firstLine="709"/>
        <w:jc w:val="both"/>
        <w:tabs>
          <w:tab w:val="left" w:pos="426" w:leader="none"/>
        </w:tabs>
      </w:pPr>
      <w:r>
        <w:t xml:space="preserve">6.2.2. Участнику Акции, открывшему Счет 31.01.2025, 28.02.2025</w:t>
      </w:r>
      <w:r>
        <w:t xml:space="preserve"> или</w:t>
      </w:r>
      <w:r>
        <w:t xml:space="preserve"> 31.03.2025 в соответствии с п. 6.1 настоящих Правил проведения Акции в течение первых 2 (двух) расчетных периодов. </w:t>
      </w:r>
      <w:r/>
    </w:p>
    <w:p>
      <w:pPr>
        <w:ind w:firstLine="709"/>
        <w:jc w:val="both"/>
        <w:tabs>
          <w:tab w:val="left" w:pos="426" w:leader="none"/>
        </w:tabs>
      </w:pPr>
      <w:r>
        <w:t xml:space="preserve">Остальные условия по Счету соответствуют У</w:t>
      </w:r>
      <w:r>
        <w:t xml:space="preserve">словиям НС «Мой счет</w:t>
      </w:r>
      <w:r>
        <w:t xml:space="preserve">».</w:t>
      </w:r>
      <w:r/>
    </w:p>
    <w:p>
      <w:pPr>
        <w:ind w:firstLine="709"/>
        <w:jc w:val="both"/>
        <w:tabs>
          <w:tab w:val="left" w:pos="426" w:leader="none"/>
        </w:tabs>
      </w:pPr>
      <w:r>
        <w:t xml:space="preserve">6.</w:t>
      </w:r>
      <w:r>
        <w:t xml:space="preserve">3</w:t>
      </w:r>
      <w:r>
        <w:t xml:space="preserve">. С 4 (четвертого) расчетного периода для Участников</w:t>
      </w:r>
      <w:r>
        <w:t xml:space="preserve"> Акции</w:t>
      </w:r>
      <w:r>
        <w:t xml:space="preserve">, на которых распространяются положения п. 6.2.1 настоящих Правил проведения Акции, и с 3 (третьего) расчетного периода для Участников</w:t>
      </w:r>
      <w:r>
        <w:t xml:space="preserve"> Акции</w:t>
      </w:r>
      <w:r>
        <w:t xml:space="preserve">, на которых распространяются положения п. 6.2.2 настоящих Правил проведения Акции, действие настоящих Правил проведения Акции прекращается, начисление и выплата процентов по Счету ос</w:t>
      </w:r>
      <w:r>
        <w:t xml:space="preserve">уществляется Банком по процентным ставкам, установленным для Счета в соответствии с Условиями НС «Мой счет», Условиями открытия и обслуживания счетов физических лиц в АО «Россельхозбанк», Условиями открытия, обслуживания и закрытия счетов физических лиц в </w:t>
      </w:r>
      <w:r>
        <w:br/>
        <w:t xml:space="preserve">АО «Россельхозбанк» с использованием системы «Интернет-банк» и «Мобильный банк»</w:t>
      </w:r>
      <w:r>
        <w:rPr>
          <w:vertAlign w:val="superscript"/>
        </w:rPr>
        <w:footnoteReference w:id="3"/>
      </w:r>
      <w:r>
        <w:t xml:space="preserve">.</w:t>
      </w:r>
      <w:r/>
    </w:p>
    <w:p>
      <w:pPr>
        <w:ind w:firstLine="709"/>
        <w:jc w:val="both"/>
        <w:tabs>
          <w:tab w:val="left" w:pos="426" w:leader="none"/>
        </w:tabs>
      </w:pPr>
      <w:r>
        <w:t xml:space="preserve">6.</w:t>
      </w:r>
      <w:r>
        <w:t xml:space="preserve">4</w:t>
      </w:r>
      <w:r>
        <w:t xml:space="preserve">. На фактический остаток денежных средств, превышающий 3 000 000,00 (три) миллиона рублей на Счете, открытом в соответствии с п. 6.1 настоящих Правил проведения Акции</w:t>
      </w:r>
      <w:r>
        <w:t xml:space="preserve">, начисление и выплата процентов осуществляется Банком по процентным ставкам, установленным для Счета в соответствии с Условиями НС «Мой счет», начисление дополнительных процентов в соответствии с п. 6.2 настоящих Правил проведения Акции не осуществляется.</w:t>
      </w:r>
      <w:r/>
    </w:p>
    <w:p>
      <w:pPr>
        <w:ind w:firstLine="709"/>
        <w:jc w:val="both"/>
        <w:tabs>
          <w:tab w:val="left" w:pos="426" w:leader="none"/>
        </w:tabs>
      </w:pPr>
      <w:r>
        <w:t xml:space="preserve">7. </w:t>
      </w:r>
      <w:r>
        <w:rPr>
          <w:b/>
        </w:rPr>
        <w:t xml:space="preserve">Организатор Акции</w:t>
      </w:r>
      <w:r>
        <w:t xml:space="preserve"> – АО «Россельхозбанк» (Генеральная лицензия Банка России № 3349 от 12.08.2015, место нахождения: 119034, Российская Федерация, г. Москва, Гагаринский пер., д. 3).</w:t>
      </w:r>
      <w:r/>
    </w:p>
    <w:p>
      <w:pPr>
        <w:ind w:firstLine="709"/>
        <w:jc w:val="both"/>
        <w:tabs>
          <w:tab w:val="left" w:pos="1134" w:leader="none"/>
        </w:tabs>
        <w:rPr>
          <w:b/>
        </w:rPr>
      </w:pPr>
      <w:r>
        <w:t xml:space="preserve">8.</w:t>
      </w:r>
      <w:r>
        <w:rPr>
          <w:b/>
        </w:rPr>
        <w:t xml:space="preserve"> Порядок информирования об условиях проведения Акции:</w:t>
      </w:r>
      <w:r>
        <w:rPr>
          <w:b/>
        </w:rPr>
      </w:r>
    </w:p>
    <w:p>
      <w:pPr>
        <w:pStyle w:val="897"/>
        <w:numPr>
          <w:ilvl w:val="0"/>
          <w:numId w:val="5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официальном сайте Банка в сети Интернет по адресу: </w:t>
      </w:r>
      <w:hyperlink r:id="rId15" w:tooltip="http://www.rshb.ru" w:history="1">
        <w:r>
          <w:rPr>
            <w:rStyle w:val="918"/>
            <w:rFonts w:ascii="Times New Roman" w:hAnsi="Times New Roman" w:cs="Times New Roman"/>
            <w:sz w:val="24"/>
            <w:szCs w:val="24"/>
            <w:lang w:val="en-US"/>
          </w:rPr>
          <w:t xml:space="preserve">www</w:t>
        </w:r>
        <w:r>
          <w:rPr>
            <w:rStyle w:val="918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918"/>
            <w:rFonts w:ascii="Times New Roman" w:hAnsi="Times New Roman" w:cs="Times New Roman"/>
            <w:sz w:val="24"/>
            <w:szCs w:val="24"/>
            <w:lang w:val="en-US"/>
          </w:rPr>
          <w:t xml:space="preserve">rshb</w:t>
        </w:r>
        <w:r>
          <w:rPr>
            <w:rStyle w:val="918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918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Style w:val="918"/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numPr>
          <w:ilvl w:val="0"/>
          <w:numId w:val="5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в ДБО;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numPr>
          <w:ilvl w:val="0"/>
          <w:numId w:val="5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в социальных сетях в официальных группах </w:t>
      </w:r>
      <w:r>
        <w:rPr>
          <w:rFonts w:ascii="Times New Roman" w:hAnsi="Times New Roman" w:cs="Times New Roman"/>
          <w:sz w:val="24"/>
          <w:szCs w:val="24"/>
        </w:rPr>
        <w:br/>
        <w:t xml:space="preserve">Банка в сети Интернет, разрешенных на территории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b/>
        </w:rPr>
      </w:pPr>
      <w:r>
        <w:t xml:space="preserve">9.</w:t>
      </w:r>
      <w:r>
        <w:rPr>
          <w:b/>
        </w:rPr>
        <w:t xml:space="preserve"> Особые условия проведения Акции:</w:t>
      </w:r>
      <w:r>
        <w:rPr>
          <w:b/>
        </w:rPr>
      </w:r>
    </w:p>
    <w:p>
      <w:pPr>
        <w:ind w:firstLine="709"/>
        <w:jc w:val="both"/>
        <w:tabs>
          <w:tab w:val="left" w:pos="426" w:leader="none"/>
        </w:tabs>
      </w:pPr>
      <w:r>
        <w:t xml:space="preserve">9.1. Участник Акции не может являться одновременно участником иных маркетинговых акций</w:t>
      </w:r>
      <w:r>
        <w:t xml:space="preserve"> по </w:t>
      </w:r>
      <w:r>
        <w:rPr>
          <w:color w:val="000000" w:themeColor="text1"/>
        </w:rPr>
        <w:t xml:space="preserve">Счету</w:t>
      </w:r>
      <w:r>
        <w:rPr>
          <w:color w:val="000000" w:themeColor="text1"/>
        </w:rPr>
        <w:t xml:space="preserve">, </w:t>
      </w:r>
      <w:r>
        <w:t xml:space="preserve">действующих в Банке в </w:t>
      </w:r>
      <w:r>
        <w:t xml:space="preserve">П</w:t>
      </w:r>
      <w:r>
        <w:t xml:space="preserve">ериод проведения настоящей Акции.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9.2. В Период проведения Акции Участник А</w:t>
      </w:r>
      <w:r>
        <w:t xml:space="preserve">кции может открыть любое количество Счетов. При этом специальный порядок начисления и выплаты процентов в соответствии с настоящими Правилами проведения Акции применяется Банком только в отношении первого по дате открытия Счета, открытого Участником Акции.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9.3. Факт участия в Акции означает ознакомление и полное согласие Участника Акции с настоящими Правилами проведения Акции.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9.4. </w:t>
      </w:r>
      <w:r>
        <w:t xml:space="preserve">Организатор Акции</w:t>
      </w:r>
      <w:r>
        <w:t xml:space="preserve"> имеет право внести изменения в настоящие Правила проведения Акции, которые будут распространяться на Участников Акции после вступления соответствующих изменений в си</w:t>
      </w:r>
      <w:r>
        <w:t xml:space="preserve">лу. Банк информирует о вступлении в силу соответствующих изменений не позднее, чем за 15 (пятнадцать) календарных дней до даты введения в действие соответствующих изменений одним или несколькими способами, указанными в п.8 настоящих Правил проведения Акции</w:t>
      </w:r>
      <w:r>
        <w:t xml:space="preserve"> (по выбору Банка)</w:t>
      </w:r>
      <w:r>
        <w:t xml:space="preserve">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9.</w:t>
      </w:r>
      <w:r>
        <w:t xml:space="preserve">5</w:t>
      </w:r>
      <w:r>
        <w:t xml:space="preserve">. Организатор Акции не несет ответственности за перенос сроков проведения Акции и другие изменения, вызванные не</w:t>
      </w:r>
      <w:r>
        <w:t xml:space="preserve"> </w:t>
      </w:r>
      <w:r>
        <w:t xml:space="preserve">зависящими от него обстоятельствами.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9.</w:t>
      </w:r>
      <w:r>
        <w:t xml:space="preserve">6</w:t>
      </w:r>
      <w:r>
        <w:t xml:space="preserve">. Акция не является конкурсом, публичным обещанием награды, стимулирующей лотереей, участие в Акции не основано на риске и случайном выигрыше.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9.</w:t>
      </w:r>
      <w:r>
        <w:t xml:space="preserve">7</w:t>
      </w:r>
      <w:r>
        <w:t xml:space="preserve">. Возможность открытия С</w:t>
      </w:r>
      <w:r>
        <w:t xml:space="preserve">чета посредством ДБО доступна при наличии технической возможности только Участникам Акции, присоединившимся к Условиям дистанционного банковского обслуживания физических лиц в АО «Россельхозбанк» с использованием системы «Интернет-банк» и «Мобильный банк».</w:t>
      </w:r>
      <w:r/>
    </w:p>
    <w:p>
      <w:pPr>
        <w:ind w:firstLine="709"/>
        <w:jc w:val="both"/>
        <w:tabs>
          <w:tab w:val="left" w:pos="1134" w:leader="none"/>
        </w:tabs>
        <w:rPr>
          <w:iCs/>
        </w:rPr>
      </w:pPr>
      <w:r>
        <w:t xml:space="preserve">9.</w:t>
      </w:r>
      <w:r>
        <w:t xml:space="preserve">8</w:t>
      </w:r>
      <w:r>
        <w:t xml:space="preserve">. Во всем ином, что не предусмотрено настоящими Правилами проведения Акции, применяются положения </w:t>
      </w:r>
      <w:r>
        <w:rPr>
          <w:iCs/>
        </w:rPr>
        <w:t xml:space="preserve">Условий открытия и обслуживания счетов физических лиц в </w:t>
      </w:r>
      <w:r>
        <w:rPr>
          <w:iCs/>
        </w:rPr>
        <w:br/>
        <w:t xml:space="preserve">АО «Россельхозбанк».</w:t>
      </w:r>
      <w:r>
        <w:rPr>
          <w:iCs/>
        </w:rPr>
      </w:r>
    </w:p>
    <w:p>
      <w:pPr>
        <w:ind w:firstLine="709"/>
        <w:jc w:val="both"/>
        <w:tabs>
          <w:tab w:val="left" w:pos="1134" w:leader="none"/>
        </w:tabs>
        <w:rPr>
          <w:highlight w:val="yellow"/>
        </w:rPr>
      </w:pPr>
      <w:r>
        <w:rPr>
          <w:iCs/>
        </w:rPr>
        <w:t xml:space="preserve">При открытии Счета посредством ДБО применяются положения Условий открытия, обслуживания и закрытия счетов физических лиц в АО «Россельхозбанк» с использованием системы «Интернет-банк» и «Мобильный банк» (в части открытия и обслуживания Счета).</w:t>
      </w:r>
      <w:r>
        <w:rPr>
          <w:highlight w:val="yellow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TimesET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7"/>
        <w:jc w:val="both"/>
      </w:pPr>
      <w:r>
        <w:rPr>
          <w:rStyle w:val="909"/>
        </w:rPr>
        <w:footnoteRef/>
      </w:r>
      <w:r>
        <w:t xml:space="preserve"> </w:t>
      </w:r>
      <w:r>
        <w:t xml:space="preserve">Под расчетным периодом понимается: календарный месяц; либо период с даты, следующей за датой открытия накопительного счета, до конца соответствующего календарного месяца, в котором открыт накопительный счет; либо период с начала соответствующего ка</w:t>
      </w:r>
      <w:r>
        <w:t xml:space="preserve">лендарного месяца до даты закрытия накопительного счета (включительно); либо период с даты, следующей за датой открытия накопительного счета, до даты закрытия накопительного счета (включительно) в календарном месяце, в котором был открыт накопительный счет</w:t>
      </w:r>
      <w:r>
        <w:t xml:space="preserve">.</w:t>
      </w:r>
      <w:r/>
    </w:p>
  </w:footnote>
  <w:footnote w:id="3">
    <w:p>
      <w:pPr>
        <w:pStyle w:val="907"/>
      </w:pPr>
      <w:r>
        <w:rPr>
          <w:rStyle w:val="909"/>
        </w:rPr>
        <w:footnoteRef/>
      </w:r>
      <w:r>
        <w:t xml:space="preserve"> В случае открытия Счета посредством ДБО.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2663186"/>
      <w:docPartObj>
        <w:docPartGallery w:val="Page Numbers (Top of Page)"/>
        <w:docPartUnique w:val="true"/>
      </w:docPartObj>
      <w:rPr/>
    </w:sdtPr>
    <w:sdtContent>
      <w:p>
        <w:pPr>
          <w:pStyle w:val="90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02"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32" w:hanging="5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6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6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9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63" w:hanging="180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4" w:hanging="495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3"/>
    <w:link w:val="7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3"/>
    <w:link w:val="746"/>
    <w:uiPriority w:val="10"/>
    <w:rPr>
      <w:sz w:val="48"/>
      <w:szCs w:val="48"/>
    </w:rPr>
  </w:style>
  <w:style w:type="character" w:styleId="37">
    <w:name w:val="Subtitle Char"/>
    <w:basedOn w:val="733"/>
    <w:link w:val="748"/>
    <w:uiPriority w:val="11"/>
    <w:rPr>
      <w:sz w:val="24"/>
      <w:szCs w:val="24"/>
    </w:rPr>
  </w:style>
  <w:style w:type="character" w:styleId="39">
    <w:name w:val="Quote Char"/>
    <w:link w:val="750"/>
    <w:uiPriority w:val="29"/>
    <w:rPr>
      <w:i/>
    </w:rPr>
  </w:style>
  <w:style w:type="character" w:styleId="41">
    <w:name w:val="Intense Quote Char"/>
    <w:link w:val="752"/>
    <w:uiPriority w:val="30"/>
    <w:rPr>
      <w:i/>
    </w:rPr>
  </w:style>
  <w:style w:type="paragraph" w:styleId="7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4">
    <w:name w:val="Heading 1"/>
    <w:basedOn w:val="723"/>
    <w:next w:val="72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23"/>
    <w:next w:val="723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23"/>
    <w:next w:val="72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  <w:pPr>
      <w:spacing w:after="0" w:line="240" w:lineRule="auto"/>
    </w:pPr>
  </w:style>
  <w:style w:type="paragraph" w:styleId="746">
    <w:name w:val="Title"/>
    <w:basedOn w:val="723"/>
    <w:next w:val="723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basedOn w:val="733"/>
    <w:link w:val="746"/>
    <w:uiPriority w:val="10"/>
    <w:rPr>
      <w:sz w:val="48"/>
      <w:szCs w:val="48"/>
    </w:rPr>
  </w:style>
  <w:style w:type="paragraph" w:styleId="748">
    <w:name w:val="Subtitle"/>
    <w:basedOn w:val="723"/>
    <w:next w:val="723"/>
    <w:link w:val="749"/>
    <w:uiPriority w:val="11"/>
    <w:qFormat/>
    <w:pPr>
      <w:spacing w:before="200" w:after="200"/>
    </w:pPr>
  </w:style>
  <w:style w:type="character" w:styleId="749" w:customStyle="1">
    <w:name w:val="Подзаголовок Знак"/>
    <w:basedOn w:val="733"/>
    <w:link w:val="748"/>
    <w:uiPriority w:val="11"/>
    <w:rPr>
      <w:sz w:val="24"/>
      <w:szCs w:val="24"/>
    </w:rPr>
  </w:style>
  <w:style w:type="paragraph" w:styleId="750">
    <w:name w:val="Quote"/>
    <w:basedOn w:val="723"/>
    <w:next w:val="723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3"/>
    <w:next w:val="723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33"/>
    <w:uiPriority w:val="99"/>
  </w:style>
  <w:style w:type="character" w:styleId="755" w:customStyle="1">
    <w:name w:val="Footer Char"/>
    <w:basedOn w:val="733"/>
    <w:uiPriority w:val="99"/>
  </w:style>
  <w:style w:type="paragraph" w:styleId="756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uiPriority w:val="99"/>
  </w:style>
  <w:style w:type="table" w:styleId="758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 w:customStyle="1">
    <w:name w:val="Footnote Text Char"/>
    <w:uiPriority w:val="99"/>
    <w:rPr>
      <w:sz w:val="18"/>
    </w:rPr>
  </w:style>
  <w:style w:type="character" w:styleId="884" w:customStyle="1">
    <w:name w:val="Endnote Text Char"/>
    <w:uiPriority w:val="99"/>
    <w:rPr>
      <w:sz w:val="20"/>
    </w:rPr>
  </w:style>
  <w:style w:type="paragraph" w:styleId="885">
    <w:name w:val="toc 1"/>
    <w:basedOn w:val="723"/>
    <w:next w:val="723"/>
    <w:uiPriority w:val="39"/>
    <w:unhideWhenUsed/>
    <w:pPr>
      <w:spacing w:after="57"/>
    </w:pPr>
  </w:style>
  <w:style w:type="paragraph" w:styleId="886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87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88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89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0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1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2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893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3"/>
    <w:next w:val="723"/>
    <w:uiPriority w:val="99"/>
    <w:unhideWhenUsed/>
  </w:style>
  <w:style w:type="paragraph" w:styleId="896" w:customStyle="1">
    <w:name w:val="Нормальный"/>
    <w:pPr>
      <w:spacing w:after="0" w:line="240" w:lineRule="auto"/>
    </w:pPr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897">
    <w:name w:val="List Paragraph"/>
    <w:basedOn w:val="723"/>
    <w:link w:val="922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8">
    <w:name w:val="Body Text Indent"/>
    <w:basedOn w:val="723"/>
    <w:link w:val="899"/>
    <w:pPr>
      <w:ind w:left="283"/>
      <w:spacing w:after="120"/>
      <w:widowControl w:val="off"/>
    </w:pPr>
    <w:rPr>
      <w:sz w:val="20"/>
      <w:szCs w:val="20"/>
    </w:rPr>
  </w:style>
  <w:style w:type="character" w:styleId="899" w:customStyle="1">
    <w:name w:val="Основной текст с отступом Знак"/>
    <w:basedOn w:val="733"/>
    <w:link w:val="89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 w:customStyle="1">
    <w:name w:val="Абзац списка1"/>
    <w:basedOn w:val="723"/>
    <w:link w:val="901"/>
    <w:pPr>
      <w:contextualSpacing/>
      <w:ind w:left="720"/>
    </w:pPr>
    <w:rPr>
      <w:rFonts w:eastAsia="Calibri"/>
    </w:rPr>
  </w:style>
  <w:style w:type="character" w:styleId="901" w:customStyle="1">
    <w:name w:val="List Paragraph Char"/>
    <w:basedOn w:val="733"/>
    <w:link w:val="900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02">
    <w:name w:val="Header"/>
    <w:basedOn w:val="723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733"/>
    <w:link w:val="9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Footer"/>
    <w:basedOn w:val="723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733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6">
    <w:name w:val="Table Grid"/>
    <w:basedOn w:val="7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footnote text"/>
    <w:basedOn w:val="723"/>
    <w:link w:val="908"/>
    <w:unhideWhenUsed/>
    <w:qFormat/>
    <w:rPr>
      <w:sz w:val="20"/>
      <w:szCs w:val="20"/>
    </w:rPr>
  </w:style>
  <w:style w:type="character" w:styleId="908" w:customStyle="1">
    <w:name w:val="Текст сноски Знак"/>
    <w:basedOn w:val="733"/>
    <w:link w:val="907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9">
    <w:name w:val="footnote reference"/>
    <w:basedOn w:val="733"/>
    <w:uiPriority w:val="99"/>
    <w:unhideWhenUsed/>
    <w:qFormat/>
    <w:rPr>
      <w:vertAlign w:val="superscript"/>
    </w:rPr>
  </w:style>
  <w:style w:type="character" w:styleId="910">
    <w:name w:val="annotation reference"/>
    <w:basedOn w:val="733"/>
    <w:uiPriority w:val="99"/>
    <w:semiHidden/>
    <w:unhideWhenUsed/>
    <w:rPr>
      <w:sz w:val="16"/>
      <w:szCs w:val="16"/>
    </w:rPr>
  </w:style>
  <w:style w:type="paragraph" w:styleId="911">
    <w:name w:val="annotation text"/>
    <w:basedOn w:val="723"/>
    <w:link w:val="912"/>
    <w:semiHidden/>
    <w:unhideWhenUsed/>
    <w:rPr>
      <w:sz w:val="20"/>
      <w:szCs w:val="20"/>
    </w:rPr>
  </w:style>
  <w:style w:type="character" w:styleId="912" w:customStyle="1">
    <w:name w:val="Текст примечания Знак"/>
    <w:basedOn w:val="733"/>
    <w:link w:val="911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3">
    <w:name w:val="annotation subject"/>
    <w:basedOn w:val="911"/>
    <w:next w:val="911"/>
    <w:link w:val="914"/>
    <w:uiPriority w:val="99"/>
    <w:semiHidden/>
    <w:unhideWhenUsed/>
    <w:rPr>
      <w:b/>
      <w:bCs/>
    </w:rPr>
  </w:style>
  <w:style w:type="character" w:styleId="914" w:customStyle="1">
    <w:name w:val="Тема примечания Знак"/>
    <w:basedOn w:val="912"/>
    <w:link w:val="91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15">
    <w:name w:val="Balloon Text"/>
    <w:basedOn w:val="723"/>
    <w:link w:val="916"/>
    <w:uiPriority w:val="99"/>
    <w:semiHidden/>
    <w:unhideWhenUsed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733"/>
    <w:link w:val="91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17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Hyperlink"/>
    <w:uiPriority w:val="99"/>
    <w:unhideWhenUsed/>
    <w:rPr>
      <w:color w:val="0563c1"/>
      <w:u w:val="single"/>
    </w:rPr>
  </w:style>
  <w:style w:type="paragraph" w:styleId="919">
    <w:name w:val="endnote text"/>
    <w:basedOn w:val="723"/>
    <w:link w:val="920"/>
    <w:uiPriority w:val="99"/>
    <w:semiHidden/>
    <w:unhideWhenUsed/>
    <w:rPr>
      <w:sz w:val="20"/>
      <w:szCs w:val="20"/>
    </w:rPr>
  </w:style>
  <w:style w:type="character" w:styleId="920" w:customStyle="1">
    <w:name w:val="Текст концевой сноски Знак"/>
    <w:basedOn w:val="733"/>
    <w:link w:val="91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1">
    <w:name w:val="endnote reference"/>
    <w:basedOn w:val="733"/>
    <w:uiPriority w:val="99"/>
    <w:semiHidden/>
    <w:unhideWhenUsed/>
    <w:rPr>
      <w:vertAlign w:val="superscript"/>
    </w:rPr>
  </w:style>
  <w:style w:type="character" w:styleId="922" w:customStyle="1">
    <w:name w:val="Абзац списка Знак"/>
    <w:link w:val="897"/>
    <w:uiPriority w:val="34"/>
  </w:style>
  <w:style w:type="paragraph" w:styleId="923" w:customStyle="1">
    <w:name w:val="Style10"/>
    <w:basedOn w:val="723"/>
    <w:uiPriority w:val="99"/>
    <w:pPr>
      <w:ind w:firstLine="720"/>
      <w:jc w:val="both"/>
      <w:spacing w:line="230" w:lineRule="exact"/>
      <w:widowControl w:val="off"/>
    </w:pPr>
    <w:rPr>
      <w:rFonts w:ascii="Calibri" w:hAnsi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Relationship Id="rId15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709A5C0893B0459CBFF80D1843246B" ma:contentTypeVersion="0" ma:contentTypeDescription="Создание документа." ma:contentTypeScope="" ma:versionID="381077070c4e2cda3686c9ba680e12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E08F4-2D6C-48B1-B79F-F76DC9A2F9B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E9DCB2D-2C9F-4607-9C2E-78FD37B0C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742CA4-709E-4C6A-B871-C08CEC3765CC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ED082E1-FB7A-4EDF-A25A-420FD6AF68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5EAD34-A012-4D1D-BBFE-1B31E11AA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Rahimova-NI</dc:creator>
  <cp:revision>11</cp:revision>
  <dcterms:created xsi:type="dcterms:W3CDTF">2024-12-19T09:05:00Z</dcterms:created>
  <dcterms:modified xsi:type="dcterms:W3CDTF">2024-12-28T11:07:00Z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0x01010000709A5C0893B0459CBFF80D1843246B</vt:lpwstr>
  </property>
</Properties>
</file>