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Cambria" w:hAnsi="Cambria" w:cs="Cambria" w:eastAsiaTheme="minorHAnsi"/>
          <w:color w:val="000000"/>
          <w:sz w:val="32"/>
          <w:szCs w:val="32"/>
          <w:lang w:eastAsia="en-US"/>
        </w:rPr>
      </w:pP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  <w:t xml:space="preserve">                     </w:t>
      </w: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  <w:t xml:space="preserve">РЯЗАНСКИЙ РЕГИОНАЛЬНЫЙ ФИЛИАЛ </w:t>
      </w: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</w: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</w:r>
    </w:p>
    <w:p>
      <w:pPr>
        <w:rPr>
          <w:rFonts w:ascii="Cambria" w:hAnsi="Cambria" w:cs="Cambria" w:eastAsiaTheme="minorHAnsi"/>
          <w:color w:val="000000"/>
          <w:sz w:val="32"/>
          <w:szCs w:val="32"/>
          <w:lang w:eastAsia="en-US"/>
        </w:rPr>
      </w:pP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  <w:t xml:space="preserve">                                        </w:t>
      </w: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  <w:t xml:space="preserve">АО «РОССЕЛЬХОЗБАНК» </w:t>
      </w: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</w: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</w:r>
    </w:p>
    <w:p>
      <w:pP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jc w:val="center"/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  <w:t xml:space="preserve">ТАРИФЫ КОМИССИОННОГО ВОЗНАГРАЖДЕНИЯ НА УСЛУГИ</w:t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jc w:val="center"/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  <w:t xml:space="preserve">РЯ</w:t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  <w:t xml:space="preserve">ЗАНСКОГО РФ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jc w:val="center"/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jc w:val="center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ascii="Calibri" w:hAnsi="Calibri" w:cs="Calibri" w:eastAsiaTheme="minorHAnsi"/>
          <w:color w:val="000000"/>
          <w:sz w:val="28"/>
          <w:szCs w:val="28"/>
          <w:lang w:eastAsia="en-US"/>
        </w:rPr>
        <w:t xml:space="preserve">действуют с</w:t>
      </w:r>
      <w:r>
        <w:rPr>
          <w:rFonts w:ascii="Calibri" w:hAnsi="Calibri" w:cs="Calibri" w:eastAsiaTheme="minorHAnsi"/>
          <w:color w:val="000000"/>
          <w:sz w:val="28"/>
          <w:szCs w:val="28"/>
          <w:lang w:val="en-US" w:eastAsia="en-US"/>
        </w:rPr>
        <w:t xml:space="preserve"> </w:t>
      </w:r>
      <w:r>
        <w:rPr>
          <w:rFonts w:ascii="Calibri" w:hAnsi="Calibri" w:cs="Calibri" w:eastAsiaTheme="minorHAnsi"/>
          <w:color w:val="000000"/>
          <w:sz w:val="28"/>
          <w:szCs w:val="28"/>
          <w:lang w:eastAsia="en-US"/>
        </w:rPr>
        <w:t xml:space="preserve">13.</w:t>
      </w:r>
      <w:r>
        <w:rPr>
          <w:rFonts w:ascii="Calibri" w:hAnsi="Calibri" w:cs="Calibri" w:eastAsiaTheme="minorHAnsi"/>
          <w:color w:val="000000"/>
          <w:sz w:val="28"/>
          <w:szCs w:val="28"/>
          <w:lang w:eastAsia="en-US"/>
        </w:rPr>
        <w:t xml:space="preserve">08.2025</w:t>
      </w:r>
      <w:r>
        <w:rPr>
          <w:rFonts w:ascii="Calibri" w:hAnsi="Calibri" w:cs="Calibri"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3"/>
          <w:szCs w:val="23"/>
          <w:lang w:eastAsia="en-US"/>
        </w:rPr>
      </w:r>
      <w:r>
        <w:rPr>
          <w:rFonts w:eastAsiaTheme="minorHAnsi"/>
          <w:color w:val="000000"/>
          <w:sz w:val="23"/>
          <w:szCs w:val="23"/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3240" cy="1223010"/>
                <wp:effectExtent l="19050" t="0" r="0" b="0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3240" cy="12230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1.20pt;height:96.30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lang w:eastAsia="en-US"/>
        </w:rPr>
      </w:r>
      <w:r>
        <w:rPr>
          <w:lang w:eastAsia="en-US"/>
        </w:rPr>
      </w:r>
    </w:p>
    <w:p>
      <w:pPr>
        <w:spacing w:line="360" w:lineRule="auto"/>
        <w:rPr>
          <w:b/>
          <w:caps/>
        </w:rPr>
      </w:pPr>
      <w:r>
        <w:rPr>
          <w:b/>
          <w:caps/>
        </w:rPr>
      </w:r>
      <w:r>
        <w:rPr>
          <w:b/>
          <w:caps/>
        </w:rPr>
      </w:r>
      <w:r>
        <w:rPr>
          <w:b/>
          <w:caps/>
        </w:rPr>
      </w:r>
    </w:p>
    <w:p>
      <w:pPr>
        <w:spacing w:line="360" w:lineRule="auto"/>
        <w:rPr>
          <w:b/>
          <w:caps/>
        </w:rPr>
      </w:pPr>
      <w:r>
        <w:rPr>
          <w:b/>
          <w:caps/>
        </w:rPr>
        <w:t xml:space="preserve">Содержание:</w:t>
      </w:r>
      <w:r>
        <w:rPr>
          <w:b/>
          <w:caps/>
        </w:rPr>
      </w:r>
      <w:r>
        <w:rPr>
          <w:b/>
          <w:caps/>
        </w:rPr>
      </w:r>
    </w:p>
    <w:sdt>
      <w:sdtPr>
        <w15:appearance w15:val="boundingBox"/>
        <w:id w:val="433792511"/>
        <w:docPartObj>
          <w:docPartGallery w:val="Table of Contents"/>
          <w:docPartUnique w:val="true"/>
        </w:docPartObj>
        <w:rPr>
          <w:rFonts w:ascii="Times New Roman" w:hAnsi="Times New Roman" w:eastAsia="Times New Roman" w:cs="Times New Roman"/>
          <w:color w:val="auto"/>
        </w:rPr>
      </w:sdtPr>
      <w:sdtContent>
        <w:p>
          <w:pPr>
            <w:pStyle w:val="1118"/>
          </w:pPr>
          <w:r/>
          <w:bookmarkStart w:id="0" w:name="_GoBack"/>
          <w:r/>
          <w:bookmarkEnd w:id="0"/>
          <w:r/>
          <w:r/>
        </w:p>
        <w:p>
          <w:pPr>
            <w:pStyle w:val="1101"/>
            <w:tabs>
              <w:tab w:val="right" w:pos="9960" w:leader="dot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/>
          <w:hyperlink w:tooltip="#_Toc1" w:anchor="_Toc1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1.Открытие и ведение счетов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_Toc1 \h</w:instrText>
              <w:fldChar w:fldCharType="separate"/>
              <w:t xml:space="preserve">3</w:t>
              <w:fldChar w:fldCharType="end"/>
            </w:r>
          </w:hyperlink>
          <w:r/>
        </w:p>
        <w:p>
          <w:pPr>
            <w:pStyle w:val="1101"/>
            <w:tabs>
              <w:tab w:val="right" w:pos="9960" w:leader="dot"/>
            </w:tabs>
          </w:pPr>
          <w:hyperlink w:tooltip="#_Toc2" w:anchor="_Toc2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4.</w:t>
            </w:r>
            <w:r>
              <w:rPr>
                <w:rStyle w:val="1100"/>
              </w:rPr>
              <w:t xml:space="preserve"> </w:t>
            </w:r>
            <w:r>
              <w:rPr>
                <w:rStyle w:val="1100"/>
              </w:rPr>
              <w:t xml:space="preserve">Операции с ценными бумагами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_Toc2 \h</w:instrText>
              <w:fldChar w:fldCharType="separate"/>
              <w:t xml:space="preserve">36</w:t>
              <w:fldChar w:fldCharType="end"/>
            </w:r>
          </w:hyperlink>
          <w:r/>
        </w:p>
        <w:p>
          <w:pPr>
            <w:pStyle w:val="1101"/>
            <w:tabs>
              <w:tab w:val="right" w:pos="9960" w:leader="dot"/>
            </w:tabs>
          </w:pPr>
          <w:hyperlink w:tooltip="#_Toc3" w:anchor="_Toc3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6.</w:t>
            </w:r>
            <w:r>
              <w:rPr>
                <w:rStyle w:val="1100"/>
              </w:rPr>
              <w:t xml:space="preserve"> </w:t>
            </w:r>
            <w:r>
              <w:rPr>
                <w:rStyle w:val="1100"/>
              </w:rPr>
              <w:t xml:space="preserve">Гарантийные операции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_Toc3 \h</w:instrText>
              <w:fldChar w:fldCharType="separate"/>
              <w:t xml:space="preserve">44</w:t>
              <w:fldChar w:fldCharType="end"/>
            </w:r>
          </w:hyperlink>
          <w:r/>
        </w:p>
        <w:p>
          <w:pPr>
            <w:pStyle w:val="1101"/>
            <w:tabs>
              <w:tab w:val="right" w:pos="9960" w:leader="dot"/>
            </w:tabs>
          </w:pPr>
          <w:hyperlink w:tooltip="#_Toc4" w:anchor="_Toc4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7. Дистанционное банковское обслуживание (ДБО)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_Toc4 \h</w:instrText>
              <w:fldChar w:fldCharType="separate"/>
              <w:t xml:space="preserve">48</w:t>
              <w:fldChar w:fldCharType="end"/>
            </w:r>
          </w:hyperlink>
          <w:r/>
        </w:p>
        <w:p>
          <w:pPr>
            <w:pStyle w:val="1101"/>
            <w:tabs>
              <w:tab w:val="right" w:pos="9960" w:leader="dot"/>
            </w:tabs>
          </w:pPr>
          <w:hyperlink w:tooltip="#_Toc5" w:anchor="_Toc5" w:history="1">
            <w:r>
              <w:rPr>
                <w:rStyle w:val="1100"/>
              </w:rPr>
            </w:r>
            <w:r>
              <w:rPr>
                <w:rStyle w:val="1100"/>
                <w:lang w:eastAsia="en-US"/>
              </w:rPr>
              <w:t xml:space="preserve">8. Хранение ценностей клиентов в хранилище ценностей Банка</w:t>
            </w:r>
            <w:r>
              <w:rPr>
                <w:rStyle w:val="1100"/>
                <w:lang w:eastAsia="en-US"/>
              </w:rPr>
              <w:t xml:space="preserve"> </w:t>
            </w:r>
            <w:r>
              <w:rPr>
                <w:rStyle w:val="1100"/>
                <w:lang w:eastAsia="en-US"/>
              </w:rPr>
              <w:t xml:space="preserve">(с учетом НДС)</w:t>
            </w:r>
            <w:r>
              <w:rPr>
                <w:rStyle w:val="1100"/>
                <w:lang w:eastAsia="en-US"/>
              </w:rPr>
            </w:r>
            <w:r>
              <w:tab/>
            </w:r>
            <w:r>
              <w:fldChar w:fldCharType="begin"/>
              <w:instrText xml:space="preserve">PAGEREF _Toc5 \h</w:instrText>
              <w:fldChar w:fldCharType="separate"/>
              <w:t xml:space="preserve">57</w:t>
              <w:fldChar w:fldCharType="end"/>
            </w:r>
          </w:hyperlink>
          <w:r>
            <w:rPr>
              <w:lang w:eastAsia="en-US"/>
            </w:rPr>
          </w:r>
        </w:p>
        <w:p>
          <w:pPr>
            <w:pStyle w:val="1101"/>
            <w:tabs>
              <w:tab w:val="right" w:pos="9960" w:leader="dot"/>
            </w:tabs>
          </w:pPr>
          <w:hyperlink w:tooltip="#_Toc6" w:anchor="_Toc6" w:history="1">
            <w:r>
              <w:rPr>
                <w:rStyle w:val="1100"/>
              </w:rPr>
            </w:r>
            <w:r>
              <w:rPr>
                <w:rStyle w:val="1100"/>
                <w:lang w:eastAsia="en-US"/>
              </w:rPr>
              <w:t xml:space="preserve">9. Аренда клиентами индивидуальных сейфовых ячеек</w:t>
            </w:r>
            <w:r>
              <w:rPr>
                <w:rStyle w:val="1100"/>
                <w:lang w:eastAsia="en-US"/>
              </w:rPr>
            </w:r>
            <w:r>
              <w:tab/>
            </w:r>
            <w:r>
              <w:fldChar w:fldCharType="begin"/>
              <w:instrText xml:space="preserve">PAGEREF _Toc6 \h</w:instrText>
              <w:fldChar w:fldCharType="separate"/>
              <w:t xml:space="preserve">57</w:t>
              <w:fldChar w:fldCharType="end"/>
            </w:r>
          </w:hyperlink>
          <w:r>
            <w:rPr>
              <w:lang w:eastAsia="en-US"/>
            </w:rPr>
          </w:r>
        </w:p>
        <w:p>
          <w:pPr>
            <w:pStyle w:val="1101"/>
            <w:tabs>
              <w:tab w:val="right" w:pos="9960" w:leader="dot"/>
            </w:tabs>
          </w:pPr>
          <w:hyperlink w:tooltip="#_Toc7" w:anchor="_Toc7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10. Услуги инкассации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_Toc7 \h</w:instrText>
              <w:fldChar w:fldCharType="separate"/>
              <w:t xml:space="preserve">59</w:t>
              <w:fldChar w:fldCharType="end"/>
            </w:r>
          </w:hyperlink>
          <w:r/>
        </w:p>
        <w:p>
          <w:pPr>
            <w:pStyle w:val="1101"/>
            <w:tabs>
              <w:tab w:val="right" w:pos="9960" w:leader="dot"/>
            </w:tabs>
          </w:pPr>
          <w:hyperlink w:tooltip="#_Toc8" w:anchor="_Toc8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11. Операции по покупке-продаже иностранной валюты</w:t>
            </w:r>
            <w:r>
              <w:rPr>
                <w:rStyle w:val="1100"/>
              </w:rPr>
              <w:t xml:space="preserve">1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_Toc8 \h</w:instrText>
              <w:fldChar w:fldCharType="separate"/>
              <w:t xml:space="preserve">60</w:t>
              <w:fldChar w:fldCharType="end"/>
            </w:r>
          </w:hyperlink>
          <w:r/>
        </w:p>
        <w:p>
          <w:pPr>
            <w:pStyle w:val="1101"/>
            <w:tabs>
              <w:tab w:val="right" w:pos="9960" w:leader="dot"/>
            </w:tabs>
          </w:pPr>
          <w:hyperlink w:tooltip="#_Toc9" w:anchor="_Toc9" w:history="1">
            <w:r>
              <w:rPr>
                <w:rStyle w:val="1100"/>
              </w:rPr>
            </w:r>
            <w:r>
              <w:rPr>
                <w:rStyle w:val="1100"/>
                <w:lang w:eastAsia="en-US"/>
              </w:rPr>
              <w:t xml:space="preserve">12.Кредитные операции</w:t>
            </w:r>
            <w:r>
              <w:rPr>
                <w:rStyle w:val="1100"/>
                <w:lang w:eastAsia="en-US"/>
              </w:rPr>
            </w:r>
            <w:r>
              <w:tab/>
            </w:r>
            <w:r>
              <w:fldChar w:fldCharType="begin"/>
              <w:instrText xml:space="preserve">PAGEREF _Toc9 \h</w:instrText>
              <w:fldChar w:fldCharType="separate"/>
              <w:t xml:space="preserve">61</w:t>
              <w:fldChar w:fldCharType="end"/>
            </w:r>
          </w:hyperlink>
          <w:r>
            <w:rPr>
              <w:lang w:eastAsia="en-US"/>
            </w:rPr>
          </w:r>
        </w:p>
        <w:p>
          <w:pPr>
            <w:pStyle w:val="1101"/>
            <w:tabs>
              <w:tab w:val="right" w:pos="9960" w:leader="dot"/>
            </w:tabs>
          </w:pPr>
          <w:hyperlink w:tooltip="#_Toc10" w:anchor="_Toc10" w:history="1">
            <w:r>
              <w:rPr>
                <w:rStyle w:val="1100"/>
              </w:rPr>
            </w:r>
            <w:r>
              <w:rPr>
                <w:rStyle w:val="1100"/>
                <w:lang w:eastAsia="en-US"/>
              </w:rPr>
              <w:t xml:space="preserve">13.</w:t>
            </w:r>
            <w:r>
              <w:rPr>
                <w:rStyle w:val="1100"/>
                <w:lang w:eastAsia="en-US"/>
              </w:rPr>
              <w:t xml:space="preserve"> </w:t>
            </w:r>
            <w:r>
              <w:rPr>
                <w:rStyle w:val="1100"/>
                <w:lang w:eastAsia="en-US"/>
              </w:rPr>
              <w:t xml:space="preserve">Обслуживание торгово-сервисных предприятий</w:t>
            </w:r>
            <w:r>
              <w:rPr>
                <w:rStyle w:val="1100"/>
                <w:lang w:eastAsia="en-US"/>
              </w:rPr>
              <w:t xml:space="preserve">*</w:t>
            </w:r>
            <w:r>
              <w:rPr>
                <w:rStyle w:val="1100"/>
                <w:lang w:eastAsia="en-US"/>
              </w:rPr>
      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      </w:r>
            <w:r>
              <w:rPr>
                <w:rStyle w:val="1100"/>
                <w:lang w:eastAsia="en-US"/>
              </w:rPr>
            </w:r>
            <w:r>
              <w:tab/>
            </w:r>
            <w:r>
              <w:fldChar w:fldCharType="begin"/>
              <w:instrText xml:space="preserve">PAGEREF _Toc10 \h</w:instrText>
              <w:fldChar w:fldCharType="separate"/>
              <w:t xml:space="preserve">75</w:t>
              <w:fldChar w:fldCharType="end"/>
            </w:r>
          </w:hyperlink>
          <w:r>
            <w:rPr>
              <w:lang w:eastAsia="en-US"/>
            </w:rPr>
          </w:r>
        </w:p>
        <w:p>
          <w:pPr>
            <w:pStyle w:val="1101"/>
            <w:tabs>
              <w:tab w:val="right" w:pos="9960" w:leader="dot"/>
            </w:tabs>
          </w:pPr>
          <w:hyperlink w:tooltip="#_Toc11" w:anchor="_Toc11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15. Операции с монетами из драгоценных металлов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_Toc11 \h</w:instrText>
              <w:fldChar w:fldCharType="separate"/>
              <w:t xml:space="preserve">82</w:t>
              <w:fldChar w:fldCharType="end"/>
            </w:r>
          </w:hyperlink>
          <w:r/>
        </w:p>
        <w:p>
          <w:pPr>
            <w:pStyle w:val="1101"/>
            <w:tabs>
              <w:tab w:val="right" w:pos="9960" w:leader="dot"/>
            </w:tabs>
          </w:pPr>
          <w:hyperlink w:tooltip="#_Toc12" w:anchor="_Toc12" w:history="1">
            <w:r>
              <w:rPr>
                <w:rStyle w:val="1100"/>
              </w:rPr>
            </w:r>
            <w:r>
              <w:rPr>
                <w:rStyle w:val="1100"/>
                <w:lang w:eastAsia="en-US"/>
              </w:rPr>
              <w:t xml:space="preserve">16. Операции с драгоценными металлами</w:t>
            </w:r>
            <w:r>
              <w:rPr>
                <w:rStyle w:val="1100"/>
                <w:lang w:eastAsia="en-US"/>
              </w:rPr>
            </w:r>
            <w:r>
              <w:tab/>
            </w:r>
            <w:r>
              <w:fldChar w:fldCharType="begin"/>
              <w:instrText xml:space="preserve">PAGEREF _Toc12 \h</w:instrText>
              <w:fldChar w:fldCharType="separate"/>
              <w:t xml:space="preserve">82</w:t>
              <w:fldChar w:fldCharType="end"/>
            </w:r>
          </w:hyperlink>
          <w:r>
            <w:rPr>
              <w:lang w:eastAsia="en-US"/>
            </w:rPr>
          </w:r>
        </w:p>
        <w:p>
          <w:pPr>
            <w:pStyle w:val="1101"/>
            <w:tabs>
              <w:tab w:val="right" w:pos="9960" w:leader="dot"/>
            </w:tabs>
          </w:pPr>
          <w:hyperlink w:tooltip="#_Toc13" w:anchor="_Toc13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17. Обслуживание с использованием Торговой системы РСХБ-</w:t>
            </w:r>
            <w:r>
              <w:rPr>
                <w:rStyle w:val="1100"/>
              </w:rPr>
              <w:t xml:space="preserve">Дилинг</w:t>
            </w:r>
            <w:r>
              <w:rPr>
                <w:rStyle w:val="1100"/>
              </w:rPr>
              <w:t xml:space="preserve"> АО «Россельхозбанк», Торговой системы РСХБ-</w:t>
            </w:r>
            <w:r>
              <w:rPr>
                <w:rStyle w:val="1100"/>
              </w:rPr>
              <w:t xml:space="preserve">Дилинг</w:t>
            </w:r>
            <w:r>
              <w:rPr>
                <w:rStyle w:val="1100"/>
              </w:rPr>
              <w:t xml:space="preserve"> 2.0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_Toc13 \h</w:instrText>
              <w:fldChar w:fldCharType="separate"/>
              <w:t xml:space="preserve">84</w:t>
              <w:fldChar w:fldCharType="end"/>
            </w:r>
          </w:hyperlink>
          <w:r/>
        </w:p>
        <w:p>
          <w:pPr>
            <w:pStyle w:val="1119"/>
            <w:tabs>
              <w:tab w:val="left" w:pos="660" w:leader="none"/>
              <w:tab w:val="right" w:pos="10183" w:leader="dot"/>
            </w:tabs>
          </w:pPr>
          <w:r/>
          <w:r>
            <w:rPr>
              <w:b/>
              <w:bCs/>
            </w:rPr>
            <w:fldChar w:fldCharType="end"/>
          </w:r>
          <w:r/>
          <w:r/>
        </w:p>
      </w:sdtContent>
    </w:sdt>
    <w:p>
      <w:pPr>
        <w:spacing w:line="360" w:lineRule="auto"/>
        <w:rPr>
          <w:b/>
          <w:caps/>
        </w:rPr>
      </w:pPr>
      <w:r>
        <w:rPr>
          <w:b/>
          <w:caps/>
        </w:rPr>
      </w:r>
      <w:r>
        <w:rPr>
          <w:b/>
          <w:caps/>
        </w:rPr>
      </w:r>
      <w:r>
        <w:rPr>
          <w:b/>
          <w:caps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1087"/>
      </w:pPr>
      <w:r/>
      <w:bookmarkStart w:id="1" w:name="_Toc1"/>
      <w:r>
        <w:t xml:space="preserve">1.Открытие и ведение счетов</w:t>
      </w:r>
      <w:r/>
      <w:bookmarkEnd w:id="1"/>
      <w:r/>
      <w:r/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100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6"/>
        <w:gridCol w:w="3819"/>
        <w:gridCol w:w="1986"/>
        <w:gridCol w:w="3118"/>
      </w:tblGrid>
      <w:tr>
        <w:tblPrEx/>
        <w:trPr>
          <w:trHeight w:val="35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Открытие и ведение счетов в рублях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</w:t>
            </w:r>
            <w:r>
              <w:rPr>
                <w:rFonts w:eastAsia="Calibri"/>
                <w:sz w:val="20"/>
                <w:szCs w:val="20"/>
              </w:rPr>
              <w:tab/>
              <w:t xml:space="preserve">Наличие у клиента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2.</w:t>
            </w:r>
            <w:r>
              <w:rPr>
                <w:rFonts w:eastAsia="Calibri"/>
                <w:sz w:val="20"/>
                <w:szCs w:val="20"/>
              </w:rPr>
              <w:tab/>
              <w:t xml:space="preserve">Подписание с клиентом договора </w:t>
            </w:r>
            <w:r>
              <w:rPr>
                <w:rFonts w:eastAsia="Calibri"/>
                <w:sz w:val="20"/>
                <w:szCs w:val="20"/>
              </w:rPr>
              <w:t xml:space="preserve">эквайринга</w:t>
            </w:r>
            <w:r>
              <w:rPr>
                <w:rFonts w:eastAsia="Calibri"/>
                <w:sz w:val="20"/>
                <w:szCs w:val="20"/>
              </w:rPr>
              <w:t xml:space="preserve"> и 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</w:t>
            </w:r>
            <w:r>
              <w:rPr>
                <w:rFonts w:eastAsia="Calibri"/>
                <w:sz w:val="20"/>
                <w:szCs w:val="20"/>
              </w:rPr>
              <w:t xml:space="preserve">эквайринга</w:t>
            </w:r>
            <w:r>
              <w:rPr>
                <w:rFonts w:eastAsia="Calibri"/>
                <w:sz w:val="20"/>
                <w:szCs w:val="20"/>
              </w:rPr>
              <w:t xml:space="preserve">, заключенного с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АО «Россельхозбанк», сделанной сотрудником регионального филиала Банка.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</w:t>
            </w:r>
            <w:r>
              <w:rPr>
                <w:rFonts w:eastAsia="Calibri"/>
                <w:sz w:val="20"/>
                <w:szCs w:val="20"/>
              </w:rPr>
              <w:t xml:space="preserve">ется в стандартном размере.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17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17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накопительного счета, счета с особым режимом, счета по депозиту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  <w:t xml:space="preserve">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2 5</w:t>
            </w:r>
            <w:r>
              <w:rPr>
                <w:bCs/>
                <w:sz w:val="20"/>
                <w:szCs w:val="20"/>
              </w:rPr>
              <w:t xml:space="preserve">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клиентам, включенным в региональную адресную программу по проведению капитального ремонта многок</w:t>
            </w:r>
            <w:r>
              <w:rPr>
                <w:bCs/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18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клиентам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eastAsia="Calibri"/>
                <w:sz w:val="20"/>
                <w:szCs w:val="22"/>
                <w:lang w:eastAsia="en-US"/>
              </w:rPr>
              <w:br/>
              <w:t xml:space="preserve">№</w:t>
            </w:r>
            <w:r>
              <w:rPr>
                <w:rFonts w:eastAsia="Calibri"/>
                <w:sz w:val="20"/>
                <w:szCs w:val="22"/>
                <w:lang w:val="en-US" w:eastAsia="en-US"/>
              </w:rPr>
              <w:t xml:space="preserve"> 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акты Ро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18"/>
                <w:szCs w:val="20"/>
              </w:rPr>
            </w:r>
            <w:r>
              <w:rPr>
                <w:bCs/>
                <w:sz w:val="18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для зачисления возмещения по операциям с использованием платежных карт в рамках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с АО «Россельхозбанк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«О несостоятельности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1.1.3.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включенных в региональную адресную программу по проведению капитального ремонта многокв</w:t>
            </w:r>
            <w:r>
              <w:rPr>
                <w:sz w:val="20"/>
                <w:szCs w:val="20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2000</w:t>
            </w:r>
            <w:r>
              <w:rPr>
                <w:sz w:val="20"/>
                <w:szCs w:val="20"/>
              </w:rPr>
              <w:t xml:space="preserve">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</w:t>
            </w:r>
            <w:r>
              <w:rPr>
                <w:bCs/>
                <w:sz w:val="20"/>
                <w:szCs w:val="20"/>
              </w:rPr>
              <w:t xml:space="preserve">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</w:t>
            </w:r>
            <w:r>
              <w:rPr>
                <w:bCs/>
                <w:sz w:val="20"/>
                <w:szCs w:val="20"/>
              </w:rPr>
              <w:t xml:space="preserve">полном объеме вне зависимости от даты возобновления.»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</w:t>
            </w:r>
            <w:r>
              <w:rPr>
                <w:sz w:val="20"/>
                <w:szCs w:val="20"/>
              </w:rPr>
              <w:t xml:space="preserve">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rFonts w:eastAsia="Calibri"/>
                <w:sz w:val="20"/>
                <w:szCs w:val="20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при отсутствии операций по счету в течение календарного месяца, но не более </w:t>
            </w: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</w:rPr>
              <w:t xml:space="preserve"> (</w:t>
            </w:r>
            <w:r>
              <w:rPr>
                <w:rFonts w:eastAsia="Calibri"/>
                <w:sz w:val="20"/>
                <w:szCs w:val="20"/>
              </w:rPr>
              <w:t xml:space="preserve">трех</w:t>
            </w:r>
            <w:r>
              <w:rPr>
                <w:rFonts w:eastAsia="Calibri"/>
                <w:sz w:val="20"/>
                <w:szCs w:val="20"/>
              </w:rPr>
              <w:t xml:space="preserve">) календарных месяцев подряд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</w:t>
            </w:r>
            <w:r>
              <w:rPr>
                <w:rFonts w:eastAsia="Calibri"/>
                <w:sz w:val="20"/>
                <w:szCs w:val="20"/>
              </w:rPr>
              <w:t xml:space="preserve">эквайринга</w:t>
            </w:r>
            <w:r>
              <w:rPr>
                <w:rFonts w:eastAsia="Calibri"/>
                <w:sz w:val="20"/>
                <w:szCs w:val="20"/>
              </w:rPr>
              <w:t xml:space="preserve">, заключенного с АО «Россельхозбанк», при использовании клиентом системы дистанционного банковского обслуживания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для клиентов, имеющих обязательства перед АО «Россельхозбанк»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 кредитным сделкам***,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 отношении которых введена любая из процедур, применяемых в деле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 банкротстве в соответствии с Федеральным законом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от 26.10.2002 № 127-ФЗ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«О несостоятельности (банкротстве)» или находящихся в процессе ликвидации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четвертого</w:t>
            </w:r>
            <w:r>
              <w:rPr>
                <w:sz w:val="20"/>
                <w:szCs w:val="20"/>
              </w:rPr>
              <w:t xml:space="preserve">) календарного месяца при отсутствии операций по счету комиссия взимается в установленн</w:t>
            </w:r>
            <w:r>
              <w:rPr>
                <w:sz w:val="20"/>
                <w:szCs w:val="20"/>
              </w:rPr>
              <w:t xml:space="preserve">ом размере согласно п. 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</w:t>
            </w:r>
            <w:r>
              <w:rPr>
                <w:sz w:val="20"/>
                <w:szCs w:val="20"/>
              </w:rPr>
              <w:t xml:space="preserve">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Наличие у клиента действующего договора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, заключенного с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ab/>
              <w:t xml:space="preserve">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После выполнения обязательств перед АО «Россельхозбанк»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/>
              <w:t xml:space="preserve">по кредитным сделкам в полном объеме, комиссия взимается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/>
              <w:t xml:space="preserve">в стандартном размере.».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1.1.5.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  <w:br/>
              <w:t xml:space="preserve">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организациях, взимается в соответствии с п. 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исполнении расчетных документов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расчетных документов </w:t>
            </w:r>
            <w:r>
              <w:rPr>
                <w:sz w:val="20"/>
                <w:szCs w:val="20"/>
              </w:rPr>
              <w:t xml:space="preserve">по оплате страховых взносов на счета </w:t>
            </w:r>
            <w:r>
              <w:rPr>
                <w:sz w:val="20"/>
                <w:szCs w:val="20"/>
              </w:rPr>
              <w:t xml:space="preserve">Ф</w:t>
            </w:r>
            <w:r>
              <w:rPr>
                <w:sz w:val="20"/>
                <w:szCs w:val="20"/>
              </w:rPr>
              <w:t xml:space="preserve">онда</w:t>
            </w:r>
            <w:r>
              <w:rPr>
                <w:sz w:val="20"/>
                <w:szCs w:val="20"/>
              </w:rPr>
              <w:t xml:space="preserve"> пенсионного и социального </w:t>
            </w:r>
            <w:r>
              <w:rPr>
                <w:sz w:val="20"/>
                <w:szCs w:val="20"/>
              </w:rPr>
              <w:t xml:space="preserve">страхования </w:t>
            </w:r>
            <w:r>
              <w:rPr>
                <w:sz w:val="20"/>
                <w:szCs w:val="20"/>
              </w:rPr>
              <w:t xml:space="preserve"> Российской</w:t>
            </w:r>
            <w:r>
              <w:rPr>
                <w:sz w:val="20"/>
                <w:szCs w:val="20"/>
              </w:rPr>
              <w:t xml:space="preserve"> Федерации,  Федерального Фонда и 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расчетных документов по счетам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клиентов</w:t>
            </w:r>
            <w:r>
              <w:t xml:space="preserve">, </w:t>
            </w:r>
            <w:r>
              <w:t xml:space="preserve">имеющих </w:t>
            </w:r>
            <w:r>
              <w:rPr>
                <w:sz w:val="20"/>
                <w:szCs w:val="20"/>
              </w:rPr>
              <w:t xml:space="preserve">обязательства перед АО «Россельхозбанк» по кредитным сделкам***, в отношении которых введена любая </w:t>
            </w:r>
            <w:r>
              <w:rPr>
                <w:sz w:val="20"/>
                <w:szCs w:val="20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 127-ФЗ «О несостоятельности (банкротстве)» или находящихся в процессе ликвидации;».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платеже</w:t>
            </w:r>
            <w:r>
              <w:rPr>
                <w:sz w:val="20"/>
                <w:szCs w:val="20"/>
              </w:rPr>
              <w:t xml:space="preserve">й по исполнительному производству комиссия не взимается (под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документа, созданного по распоряжению взыскателя).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</w:t>
            </w:r>
            <w:r>
              <w:rPr>
                <w:sz w:val="20"/>
                <w:szCs w:val="20"/>
              </w:rPr>
              <w:t xml:space="preserve">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</w:t>
            </w:r>
            <w:r>
              <w:rPr>
                <w:sz w:val="20"/>
                <w:szCs w:val="20"/>
              </w:rPr>
              <w:t xml:space="preserve">вознаграждение</w:t>
            </w:r>
            <w:r>
              <w:rPr>
                <w:sz w:val="20"/>
                <w:szCs w:val="20"/>
              </w:rPr>
              <w:t xml:space="preserve"> как если бы документ был представлен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</w:t>
            </w:r>
            <w:r>
              <w:rPr>
                <w:sz w:val="20"/>
                <w:szCs w:val="20"/>
              </w:rPr>
              <w:t xml:space="preserve">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из-за отсутствия денеж</w:t>
            </w:r>
            <w:r>
              <w:rPr>
                <w:sz w:val="20"/>
                <w:szCs w:val="20"/>
              </w:rPr>
              <w:t xml:space="preserve">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</w:t>
            </w:r>
            <w:r>
              <w:rPr>
                <w:sz w:val="20"/>
                <w:szCs w:val="20"/>
              </w:rPr>
              <w:t xml:space="preserve">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</w:t>
            </w:r>
            <w:r>
              <w:rPr>
                <w:sz w:val="20"/>
                <w:szCs w:val="20"/>
              </w:rPr>
              <w:t xml:space="preserve">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1.1.5.1.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О</w:t>
            </w:r>
            <w:r>
              <w:rPr>
                <w:rFonts w:eastAsia="Calibri"/>
                <w:sz w:val="20"/>
                <w:szCs w:val="22"/>
              </w:rPr>
              <w:t xml:space="preserve">ткрытые в АО Россельхозбанк»: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- на основании расчетного документа на бумажном носителе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10"/>
              </w:rPr>
            </w:pPr>
            <w:r>
              <w:rPr>
                <w:rFonts w:eastAsia="Calibri"/>
                <w:sz w:val="20"/>
                <w:szCs w:val="22"/>
              </w:rPr>
              <w:t xml:space="preserve">- отправленный клиентом по системе дистанционного банковского </w:t>
            </w:r>
            <w:r>
              <w:rPr>
                <w:rFonts w:eastAsia="Calibri"/>
                <w:sz w:val="20"/>
                <w:szCs w:val="22"/>
              </w:rPr>
              <w:t xml:space="preserve">о</w:t>
            </w:r>
            <w:r>
              <w:rPr>
                <w:rFonts w:eastAsia="Calibri"/>
                <w:sz w:val="20"/>
                <w:szCs w:val="22"/>
              </w:rPr>
              <w:t xml:space="preserve">бслуживания</w:t>
            </w:r>
            <w:r>
              <w:rPr>
                <w:rFonts w:eastAsia="Calibri"/>
                <w:sz w:val="20"/>
                <w:szCs w:val="10"/>
              </w:rPr>
            </w:r>
            <w:r>
              <w:rPr>
                <w:rFonts w:eastAsia="Calibri"/>
                <w:sz w:val="20"/>
                <w:szCs w:val="1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5</w:t>
            </w:r>
            <w:r>
              <w:rPr>
                <w:rFonts w:eastAsia="Calibri"/>
                <w:sz w:val="20"/>
                <w:szCs w:val="22"/>
              </w:rPr>
              <w:t xml:space="preserve">5</w:t>
            </w:r>
            <w:r>
              <w:rPr>
                <w:rFonts w:eastAsia="Calibri"/>
                <w:sz w:val="20"/>
                <w:szCs w:val="22"/>
              </w:rPr>
              <w:t xml:space="preserve">0</w:t>
            </w:r>
            <w:r>
              <w:rPr>
                <w:rFonts w:eastAsia="Calibri"/>
                <w:sz w:val="20"/>
                <w:szCs w:val="22"/>
              </w:rPr>
              <w:t xml:space="preserve"> руб.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8</w:t>
            </w:r>
            <w:r>
              <w:rPr>
                <w:rFonts w:eastAsia="Calibri"/>
                <w:sz w:val="20"/>
                <w:szCs w:val="22"/>
              </w:rPr>
              <w:t xml:space="preserve"> руб.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1.1.5.2.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О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ткрытые в других кредитных организациях на территории Российской Федерации: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- на основании расчетного документа на бумажном носителе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отправленный клиентом по системе дистанционного банковского обслуживания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5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5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0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 руб.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3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7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 руб. 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если сумма платежа до 100 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млн.руб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. (включительно)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200 руб.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если с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умма платежа свыше 100 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млн.руб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многокв</w:t>
            </w:r>
            <w:r>
              <w:rPr>
                <w:bCs/>
                <w:sz w:val="20"/>
                <w:szCs w:val="20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Не взимается</w:t>
            </w:r>
            <w:r>
              <w:rPr>
                <w:rFonts w:eastAsia="Calibri"/>
                <w:sz w:val="20"/>
                <w:szCs w:val="22"/>
              </w:rPr>
              <w:t xml:space="preserve">*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</w:t>
            </w:r>
            <w:r>
              <w:rPr>
                <w:sz w:val="20"/>
                <w:szCs w:val="20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Не взимается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 за каждый расчетный документ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</w:t>
            </w:r>
            <w:r>
              <w:rPr>
                <w:sz w:val="20"/>
                <w:szCs w:val="20"/>
              </w:rPr>
              <w:t xml:space="preserve">заключения  дополнительного</w:t>
            </w:r>
            <w:r>
              <w:rPr>
                <w:sz w:val="20"/>
                <w:szCs w:val="20"/>
              </w:rPr>
              <w:t xml:space="preserve"> соглашения к договору банковского счета, состоящего из Условий проведения в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операций по срочному </w:t>
            </w:r>
            <w:r>
              <w:rPr>
                <w:sz w:val="20"/>
                <w:szCs w:val="20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</w:t>
            </w:r>
            <w:r>
              <w:rPr>
                <w:sz w:val="20"/>
                <w:szCs w:val="20"/>
              </w:rPr>
              <w:t xml:space="preserve">т.ч</w:t>
            </w:r>
            <w:r>
              <w:rPr>
                <w:sz w:val="20"/>
                <w:szCs w:val="20"/>
              </w:rPr>
              <w:t xml:space="preserve">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210-ФЗ). </w:t>
            </w:r>
            <w:r>
              <w:rPr>
                <w:rFonts w:eastAsia="Calibri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 п. 1.1.5 Тарифов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1.1.7.1.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sz w:val="20"/>
              </w:rPr>
              <w:t xml:space="preserve">субъектов Российской Федерации, муниципальных образований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iCs/>
                <w:sz w:val="20"/>
              </w:rPr>
              <w:t xml:space="preserve"> </w:t>
            </w: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  <w:p>
            <w:pPr>
              <w:jc w:val="both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По согласованию сторон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1.1.8.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/>
              <w:t xml:space="preserve">при ОБЩЕЙ СУММЕ </w:t>
            </w:r>
            <w:r>
              <w:rPr>
                <w:sz w:val="20"/>
                <w:szCs w:val="20"/>
              </w:rPr>
              <w:br/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  <w:br/>
              <w:t xml:space="preserve">с 150 000,01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 300 000,00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  <w:br/>
              <w:t xml:space="preserve">с 300 000,01 руб. </w:t>
            </w:r>
            <w:r>
              <w:rPr>
                <w:sz w:val="20"/>
                <w:szCs w:val="20"/>
              </w:rPr>
              <w:br/>
              <w:t xml:space="preserve">до 2 000 000,00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  <w:br/>
              <w:t xml:space="preserve">с 2 000 000,01 руб. </w:t>
            </w:r>
            <w:r>
              <w:rPr>
                <w:sz w:val="20"/>
                <w:szCs w:val="20"/>
              </w:rPr>
              <w:br/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  <w:br/>
              <w:t xml:space="preserve">свыше 5 000 000,00 руб.»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 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</w:t>
            </w:r>
            <w:r>
              <w:rPr>
                <w:sz w:val="20"/>
                <w:szCs w:val="20"/>
              </w:rPr>
              <w:br/>
              <w:t xml:space="preserve">с использованием карт;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 на счета кредитных организаций </w:t>
            </w:r>
            <w:r>
              <w:rPr>
                <w:sz w:val="20"/>
                <w:szCs w:val="20"/>
              </w:rPr>
              <w:br/>
              <w:t xml:space="preserve">с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«балансовой позицией 30102, 30109, 30232, 30301, 30302, 47422».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последующего зачисления денежных средств на счета физических лиц.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 При осуществлении следующих операций комиссия взимается согласно п. 1.1.5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перевод денежных средств </w:t>
            </w:r>
            <w:r>
              <w:rPr>
                <w:sz w:val="20"/>
                <w:szCs w:val="20"/>
              </w:rPr>
              <w:br/>
              <w:t xml:space="preserve">с расчетного счета застройщика;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перечисление заработной платы </w:t>
            </w:r>
            <w:r>
              <w:rPr>
                <w:sz w:val="20"/>
                <w:szCs w:val="20"/>
              </w:rPr>
              <w:br/>
              <w:t xml:space="preserve">и приравненных к ней платежей </w:t>
            </w:r>
            <w:r>
              <w:rPr>
                <w:sz w:val="20"/>
                <w:szCs w:val="20"/>
              </w:rPr>
              <w:br/>
              <w:t xml:space="preserve">(вне рамок отдельных договоров/дополнительных соглашений к договору банковского счета, заключенных клиентами </w:t>
            </w:r>
            <w:r>
              <w:rPr>
                <w:sz w:val="20"/>
                <w:szCs w:val="20"/>
              </w:rPr>
              <w:br/>
              <w:t xml:space="preserve">с АО «Россельхозбанк»);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перечисление дохода лицам, занимающимся частной практикой;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</w:t>
            </w:r>
            <w:r>
              <w:rPr>
                <w:sz w:val="20"/>
                <w:szCs w:val="20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 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</w:t>
            </w:r>
            <w:r>
              <w:rPr>
                <w:sz w:val="20"/>
                <w:szCs w:val="20"/>
              </w:rPr>
              <w:t xml:space="preserve">ьких оснований для перевода денежных средств, комиссионное вознаграждение взимается согласно п. 1.1.5 Тарифов только в том случае, если все указанные в поле «Назначение платежа» основания соответствуют операциям, перечисленным в п. 2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 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с номинального банковского счета, открываемого организациям, </w:t>
            </w:r>
            <w:r>
              <w:rPr>
                <w:sz w:val="20"/>
                <w:szCs w:val="20"/>
              </w:rPr>
              <w:br/>
              <w:t xml:space="preserve">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в благотворительных целях (при наличии решения АО «Россельхозбанк» о приеме </w:t>
            </w:r>
            <w:r>
              <w:rPr>
                <w:sz w:val="20"/>
                <w:szCs w:val="20"/>
              </w:rPr>
              <w:br/>
              <w:t xml:space="preserve">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sz w:val="20"/>
                <w:szCs w:val="20"/>
              </w:rPr>
              <w:t xml:space="preserve">со счетов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br/>
              <w:t xml:space="preserve">в деле о банкротстве в соответствии с Федеральным законом от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(банкротстве)» или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находящихся в процессе ликвидации.».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 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</w:t>
            </w:r>
            <w:r>
              <w:rPr>
                <w:sz w:val="20"/>
                <w:szCs w:val="20"/>
              </w:rPr>
              <w:br/>
              <w:t xml:space="preserve">с АО «Россельхозбанк», комиссионное вознаграждение взимается </w:t>
            </w:r>
            <w:r>
              <w:rPr>
                <w:sz w:val="20"/>
                <w:szCs w:val="20"/>
              </w:rPr>
              <w:br/>
              <w:t xml:space="preserve">в соответствии с п.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</w:t>
            </w:r>
            <w:r>
              <w:rPr>
                <w:sz w:val="20"/>
                <w:szCs w:val="20"/>
              </w:rPr>
              <w:br/>
              <w:t xml:space="preserve">в текущем календарном месяце </w:t>
            </w:r>
            <w:r>
              <w:rPr>
                <w:sz w:val="20"/>
                <w:szCs w:val="20"/>
              </w:rPr>
              <w:br/>
              <w:t xml:space="preserve">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</w:t>
            </w:r>
            <w:r>
              <w:rPr>
                <w:sz w:val="20"/>
                <w:szCs w:val="20"/>
              </w:rPr>
              <w:br/>
              <w:t xml:space="preserve">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</w:t>
            </w:r>
            <w:r>
              <w:rPr>
                <w:sz w:val="20"/>
                <w:szCs w:val="20"/>
              </w:rPr>
              <w:br/>
              <w:t xml:space="preserve">не учитываются операции, указанные в пунктах 2, 3, 4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jc w:val="both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00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</w:t>
            </w:r>
            <w:r>
              <w:rPr>
                <w:sz w:val="20"/>
                <w:szCs w:val="20"/>
              </w:rPr>
              <w:t xml:space="preserve">хозбанк» производится 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</w:t>
            </w:r>
            <w:r>
              <w:rPr>
                <w:sz w:val="20"/>
                <w:szCs w:val="20"/>
              </w:rPr>
              <w:t xml:space="preserve">ельном соглашении, заключаемом </w:t>
            </w:r>
            <w:r>
              <w:rPr>
                <w:sz w:val="20"/>
                <w:szCs w:val="20"/>
              </w:rPr>
              <w:t xml:space="preserve">к договору 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(ООО «Мое дело» ИНН 7701889831, ООО «Юридические решения» ИНН 9718083320)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</w:t>
            </w:r>
            <w:r>
              <w:rPr>
                <w:sz w:val="20"/>
                <w:szCs w:val="20"/>
              </w:rPr>
              <w:t xml:space="preserve">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 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заключи</w:t>
            </w:r>
            <w:r>
              <w:rPr>
                <w:sz w:val="20"/>
                <w:szCs w:val="20"/>
              </w:rPr>
              <w:t xml:space="preserve">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</w:t>
            </w:r>
            <w:r>
              <w:rPr>
                <w:sz w:val="20"/>
                <w:szCs w:val="20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Открытие и ведение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</w:t>
            </w:r>
            <w:r>
              <w:rPr>
                <w:b/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чета,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  <w:t xml:space="preserve">, кроме счета в евро, долларах США, а также отдельных иностранных валютах, предусмотренных в п.1.2.3.3:».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  <w:t xml:space="preserve">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</w:t>
            </w:r>
            <w:r>
              <w:rPr>
                <w:bCs/>
                <w:sz w:val="20"/>
                <w:szCs w:val="20"/>
              </w:rPr>
              <w:t xml:space="preserve">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возобновления.»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1.2.3, но не более остатка на счете при условии отсутствия </w:t>
            </w:r>
            <w:r>
              <w:rPr>
                <w:sz w:val="20"/>
                <w:szCs w:val="20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  <w:br/>
              <w:t xml:space="preserve">об ограничении прав клиента </w:t>
            </w:r>
            <w:r>
              <w:rPr>
                <w:sz w:val="20"/>
                <w:szCs w:val="20"/>
              </w:rPr>
              <w:br/>
              <w:t xml:space="preserve">на распоряжение денежными средствами по счету».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4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среднемесячный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При отсутствии на расчетн</w:t>
            </w:r>
            <w:r>
              <w:rPr>
                <w:sz w:val="20"/>
                <w:szCs w:val="20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среднемесячного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</w:t>
            </w:r>
            <w:r>
              <w:rPr>
                <w:sz w:val="20"/>
                <w:szCs w:val="20"/>
              </w:rPr>
              <w:t xml:space="preserve">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</w:t>
            </w:r>
            <w:r>
              <w:rPr>
                <w:sz w:val="20"/>
                <w:szCs w:val="20"/>
              </w:rPr>
              <w:t xml:space="preserve">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среднемесячного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среднемесячном остатке до 100 000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  <w:t xml:space="preserve">75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среднемесячном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00 руб. </w:t>
            </w: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</w:t>
            </w:r>
            <w:r>
              <w:rPr>
                <w:bCs/>
                <w:sz w:val="20"/>
                <w:szCs w:val="20"/>
              </w:rPr>
              <w:t xml:space="preserve">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</w:t>
            </w:r>
            <w:r>
              <w:rPr>
                <w:bCs/>
                <w:sz w:val="20"/>
                <w:szCs w:val="20"/>
              </w:rPr>
              <w:t xml:space="preserve">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возобновления.»</w:t>
            </w:r>
            <w:r>
              <w:rPr>
                <w:bCs/>
                <w:sz w:val="22"/>
                <w:szCs w:val="22"/>
              </w:rPr>
              <w:t xml:space="preserve">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среднемесячном остатке более 100 000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«-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% от совокупного среднемесячного остатка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взимание комиссий Банка;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</w:t>
            </w:r>
            <w:r>
              <w:rPr>
                <w:rFonts w:eastAsia="Calibri"/>
                <w:sz w:val="20"/>
                <w:szCs w:val="20"/>
              </w:rPr>
              <w:t xml:space="preserve">преду</w:t>
            </w:r>
            <w:r>
              <w:rPr>
                <w:rFonts w:eastAsia="Calibri"/>
                <w:sz w:val="20"/>
                <w:szCs w:val="20"/>
              </w:rPr>
              <w:t xml:space="preserve">-смотренных законодательством Российской Федерации действу-</w:t>
            </w:r>
            <w:r>
              <w:rPr>
                <w:rFonts w:eastAsia="Calibri"/>
                <w:sz w:val="20"/>
                <w:szCs w:val="20"/>
              </w:rPr>
              <w:t xml:space="preserve">ющих</w:t>
            </w:r>
            <w:r>
              <w:rPr>
                <w:rFonts w:eastAsia="Calibri"/>
                <w:sz w:val="20"/>
                <w:szCs w:val="20"/>
              </w:rPr>
              <w:t xml:space="preserve"> решений уполномоченных органов об ограничении прав клиента на распоряжение денежными средствами по счету.».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</w:t>
            </w:r>
            <w:r>
              <w:rPr>
                <w:sz w:val="20"/>
                <w:szCs w:val="20"/>
              </w:rPr>
              <w:t xml:space="preserve">о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100 000 долларов США (включительно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t xml:space="preserve">-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100 000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«-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</w:t>
            </w:r>
            <w:r>
              <w:rPr>
                <w:sz w:val="20"/>
                <w:szCs w:val="20"/>
              </w:rPr>
              <w:br/>
              <w:t xml:space="preserve">в последний рабочий день месяца/в день закрытия счета, включая месяц, </w:t>
            </w:r>
            <w:r>
              <w:rPr>
                <w:sz w:val="20"/>
                <w:szCs w:val="20"/>
              </w:rPr>
              <w:br/>
              <w:t xml:space="preserve">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</w:t>
            </w:r>
            <w:r>
              <w:rPr>
                <w:sz w:val="20"/>
                <w:szCs w:val="20"/>
              </w:rPr>
              <w:br/>
              <w:t xml:space="preserve">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</w:t>
            </w:r>
            <w:r>
              <w:rPr>
                <w:sz w:val="20"/>
                <w:szCs w:val="20"/>
              </w:rPr>
              <w:t xml:space="preserve">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</w:t>
            </w:r>
            <w:r>
              <w:rPr>
                <w:sz w:val="20"/>
                <w:szCs w:val="20"/>
              </w:rPr>
              <w:br/>
              <w:t xml:space="preserve">не полный календарный месяц </w:t>
            </w:r>
            <w:r>
              <w:rPr>
                <w:sz w:val="20"/>
                <w:szCs w:val="20"/>
              </w:rPr>
              <w:br/>
              <w:t xml:space="preserve">(при открытии счета в дату, отличную от 1-го числа расчетного месяца, или при закрытии счета в дату, отличную от последнего числа расчетного месяца).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</w:t>
            </w:r>
            <w:r>
              <w:rPr>
                <w:bCs/>
                <w:sz w:val="20"/>
                <w:szCs w:val="20"/>
              </w:rPr>
              <w:t xml:space="preserve">электронного средства платежа комиссионное вознаграждение за ведение счета взимается в соответствии с </w:t>
            </w:r>
            <w:r>
              <w:rPr>
                <w:bCs/>
                <w:sz w:val="20"/>
                <w:szCs w:val="20"/>
              </w:rPr>
              <w:br/>
              <w:t xml:space="preserve">п. 1.2.3.2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</w:t>
            </w:r>
            <w:r>
              <w:rPr>
                <w:bCs/>
                <w:sz w:val="20"/>
                <w:szCs w:val="20"/>
              </w:rPr>
              <w:t xml:space="preserve">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возобновления.»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взимание комиссий Банка;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1.2.3.2 Тарифов, но не более остатка на счете при условии отсутствия в Банке на дату взимания комиссии </w:t>
            </w:r>
            <w:r>
              <w:rPr>
                <w:rFonts w:eastAsia="Calibri"/>
                <w:sz w:val="20"/>
                <w:szCs w:val="20"/>
              </w:rPr>
              <w:t xml:space="preserve">преду</w:t>
            </w:r>
            <w:r>
              <w:rPr>
                <w:rFonts w:eastAsia="Calibri"/>
                <w:sz w:val="20"/>
                <w:szCs w:val="20"/>
              </w:rPr>
              <w:t xml:space="preserve">-смотренных</w:t>
            </w:r>
            <w:r>
              <w:rPr>
                <w:rFonts w:eastAsia="Calibri"/>
                <w:sz w:val="20"/>
                <w:szCs w:val="20"/>
              </w:rPr>
              <w:t xml:space="preserve"> законодательством Российской Федерации действу-</w:t>
            </w:r>
            <w:r>
              <w:rPr>
                <w:rFonts w:eastAsia="Calibri"/>
                <w:sz w:val="20"/>
                <w:szCs w:val="20"/>
              </w:rPr>
              <w:t xml:space="preserve">ющих</w:t>
            </w:r>
            <w:r>
              <w:rPr>
                <w:rFonts w:eastAsia="Calibri"/>
                <w:sz w:val="20"/>
                <w:szCs w:val="20"/>
              </w:rPr>
              <w:t xml:space="preserve"> решений уполномоченных органов об ограничении прав клиента на распоряжение денежными средствами по счету.»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1.2.3.3</w:t>
            </w:r>
            <w: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«-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ино</w:t>
            </w:r>
            <w:r>
              <w:rPr>
                <w:sz w:val="20"/>
                <w:szCs w:val="20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</w:t>
            </w:r>
            <w:r>
              <w:rPr>
                <w:sz w:val="20"/>
                <w:szCs w:val="20"/>
              </w:rPr>
              <w:t xml:space="preserve">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</w:t>
            </w:r>
            <w:r>
              <w:rPr>
                <w:sz w:val="20"/>
                <w:szCs w:val="20"/>
              </w:rPr>
              <w:t xml:space="preserve">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взимание комиссий Банка;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Тарифов, но не более остатка на счете при условии отсутствия в Банке на дату взимания комиссии </w:t>
            </w:r>
            <w:r>
              <w:rPr>
                <w:rFonts w:eastAsia="Calibri"/>
                <w:sz w:val="20"/>
                <w:szCs w:val="20"/>
              </w:rPr>
              <w:t xml:space="preserve">преду</w:t>
            </w:r>
            <w:r>
              <w:rPr>
                <w:rFonts w:eastAsia="Calibri"/>
                <w:sz w:val="20"/>
                <w:szCs w:val="20"/>
              </w:rPr>
              <w:t xml:space="preserve">-смотренных законодательством Российской Федерации действу-</w:t>
            </w:r>
            <w:r>
              <w:rPr>
                <w:rFonts w:eastAsia="Calibri"/>
                <w:sz w:val="20"/>
                <w:szCs w:val="20"/>
              </w:rPr>
              <w:t xml:space="preserve">ющих</w:t>
            </w:r>
            <w:r>
              <w:rPr>
                <w:rFonts w:eastAsia="Calibri"/>
                <w:sz w:val="20"/>
                <w:szCs w:val="20"/>
              </w:rPr>
              <w:t xml:space="preserve"> решений уполномоченных органов об ограничении прав клиента на распоряжение денежными средствами по счету.».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</w:t>
            </w:r>
            <w:r>
              <w:rPr>
                <w:sz w:val="20"/>
                <w:szCs w:val="20"/>
              </w:rPr>
              <w:t xml:space="preserve">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Розыск сумм платежей 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after="200" w:line="276" w:lineRule="auto"/>
            </w:pPr>
            <w:r>
              <w:rPr>
                <w:sz w:val="20"/>
                <w:szCs w:val="20"/>
              </w:rPr>
              <w:t xml:space="preserve">Отзыв (аннулирование), возврат перевода по письменному заявлению клиента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spacing w:after="200" w:line="276" w:lineRule="auto"/>
            </w:pPr>
            <w:r>
              <w:rPr>
                <w:sz w:val="20"/>
                <w:szCs w:val="20"/>
              </w:rPr>
              <w:t xml:space="preserve">50 долл. США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200" w:line="276" w:lineRule="auto"/>
            </w:pPr>
            <w:r/>
            <w:r/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70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п</w:t>
            </w:r>
            <w:r>
              <w:rPr>
                <w:sz w:val="20"/>
                <w:szCs w:val="20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70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000 руб.                          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но не более 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 xml:space="preserve">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 за документ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</w:t>
            </w:r>
            <w:r>
              <w:rPr>
                <w:sz w:val="20"/>
                <w:szCs w:val="20"/>
              </w:rPr>
              <w:t xml:space="preserve">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заявлению клиента)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1.3.8.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300 руб. за документ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до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pStyle w:val="1114"/>
              <w:numPr>
                <w:ilvl w:val="0"/>
                <w:numId w:val="4"/>
              </w:numPr>
              <w:ind w:left="169" w:firstLine="0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50 руб. за документ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свыше трех месяцев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руб. за 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д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окумент.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1.3.9.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400 руб. за одну подпись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</w:t>
            </w:r>
            <w:r>
              <w:rPr>
                <w:rFonts w:eastAsia="Calibri"/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00 руб.                              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</w:t>
            </w:r>
            <w:r>
              <w:rPr>
                <w:sz w:val="20"/>
                <w:szCs w:val="20"/>
              </w:rPr>
              <w:t xml:space="preserve">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                    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1.3.1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пп</w:t>
            </w:r>
            <w:r>
              <w:rPr>
                <w:sz w:val="20"/>
                <w:szCs w:val="20"/>
              </w:rPr>
              <w:t xml:space="preserve">. 1.3.1-1.3.3, 1.3.5-1.3.13 Тарифов не взимается..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                 </w:t>
      </w:r>
      <w:r>
        <w:rPr>
          <w:sz w:val="18"/>
          <w:szCs w:val="16"/>
        </w:rPr>
        <w:t xml:space="preserve">* Срок действия – до 31 декабря 20</w:t>
      </w:r>
      <w:r>
        <w:rPr>
          <w:sz w:val="18"/>
          <w:szCs w:val="16"/>
        </w:rPr>
        <w:t xml:space="preserve">25</w:t>
      </w:r>
      <w:r>
        <w:rPr>
          <w:sz w:val="18"/>
          <w:szCs w:val="16"/>
        </w:rPr>
        <w:t xml:space="preserve"> года (включительно)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Австралийский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Багамский</w:t>
      </w:r>
      <w:r>
        <w:rPr>
          <w:sz w:val="20"/>
          <w:szCs w:val="20"/>
        </w:rPr>
        <w:t xml:space="preserve">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Болгарский лев;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Венгерский форинт;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Вон Республики Корея;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Гонконгский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Датская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Исландская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Канадский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Албанский лек;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Македонский </w:t>
      </w:r>
      <w:r>
        <w:rPr>
          <w:sz w:val="20"/>
          <w:szCs w:val="20"/>
        </w:rPr>
        <w:t xml:space="preserve">денар</w:t>
      </w:r>
      <w:r>
        <w:rPr>
          <w:sz w:val="20"/>
          <w:szCs w:val="20"/>
        </w:rPr>
        <w:t xml:space="preserve">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Новозеландский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Норвежская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Польский злотый;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Румынский лей;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Сингапурский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Украинская гривна;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Фунт стерлингов Соединенного королевства;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Хорватская куна;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Чешская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Шведская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Швейцарский франк;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Японская йена.».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  <w:u w:val="single"/>
        </w:rPr>
      </w:pPr>
      <w:r>
        <w:rPr>
          <w:sz w:val="18"/>
          <w:szCs w:val="16"/>
          <w:u w:val="single"/>
        </w:rPr>
        <w:t xml:space="preserve">Примечания:</w:t>
      </w:r>
      <w:r>
        <w:rPr>
          <w:sz w:val="18"/>
          <w:szCs w:val="16"/>
          <w:u w:val="single"/>
        </w:rPr>
      </w:r>
      <w:r>
        <w:rPr>
          <w:sz w:val="18"/>
          <w:szCs w:val="16"/>
          <w:u w:val="single"/>
        </w:rPr>
      </w:r>
    </w:p>
    <w:p>
      <w:pPr>
        <w:jc w:val="both"/>
        <w:tabs>
          <w:tab w:val="left" w:pos="1134" w:leader="none"/>
        </w:tabs>
        <w:rPr>
          <w:sz w:val="18"/>
          <w:szCs w:val="20"/>
        </w:rPr>
      </w:pPr>
      <w:r>
        <w:rPr>
          <w:sz w:val="18"/>
          <w:szCs w:val="20"/>
        </w:rPr>
        <w:t xml:space="preserve">1.Без взимания комиссии в Банке открываются и обслуживаются:</w:t>
      </w:r>
      <w:r>
        <w:rPr>
          <w:sz w:val="18"/>
          <w:szCs w:val="20"/>
        </w:rPr>
      </w:r>
      <w:r>
        <w:rPr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бюджетные счета (счета, открываемые на балансовых позициях 401-404);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счета бюджетных учреждений/ казенных учреждений/ автономных учреждений;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депозитные счета нотариусов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отдельные счета головного исполнителя;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отдельные счета исполнителя государственного оборонного заказа;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публичные депозитные счета;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счета эскроу для расчетов по договору участия в долевом строительстве.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18"/>
          <w:szCs w:val="20"/>
        </w:rPr>
      </w:pPr>
      <w:r>
        <w:rPr>
          <w:sz w:val="18"/>
          <w:szCs w:val="20"/>
        </w:rPr>
        <w:t xml:space="preserve">2.</w:t>
      </w:r>
      <w:r>
        <w:rPr>
          <w:sz w:val="18"/>
          <w:szCs w:val="20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sz w:val="18"/>
          <w:szCs w:val="20"/>
        </w:rPr>
        <w:t xml:space="preserve">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sz w:val="18"/>
          <w:szCs w:val="20"/>
        </w:rPr>
      </w:r>
      <w:r>
        <w:rPr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18"/>
          <w:szCs w:val="20"/>
        </w:rPr>
      </w:pPr>
      <w:r>
        <w:rPr>
          <w:sz w:val="18"/>
          <w:szCs w:val="20"/>
        </w:rPr>
        <w:t xml:space="preserve">3.</w:t>
      </w:r>
      <w:r>
        <w:rPr>
          <w:sz w:val="18"/>
          <w:szCs w:val="20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sz w:val="18"/>
          <w:szCs w:val="20"/>
        </w:rPr>
      </w:r>
      <w:r>
        <w:rPr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18"/>
          <w:szCs w:val="20"/>
        </w:rPr>
      </w:pPr>
      <w:r>
        <w:rPr>
          <w:sz w:val="18"/>
          <w:szCs w:val="20"/>
        </w:rPr>
        <w:t xml:space="preserve">4.</w:t>
      </w:r>
      <w:r>
        <w:rPr>
          <w:sz w:val="18"/>
          <w:szCs w:val="20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sz w:val="18"/>
          <w:szCs w:val="20"/>
        </w:rPr>
      </w:r>
      <w:r>
        <w:rPr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18"/>
          <w:szCs w:val="20"/>
        </w:rPr>
      </w:pPr>
      <w:r>
        <w:rPr>
          <w:sz w:val="18"/>
          <w:szCs w:val="20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sz w:val="18"/>
          <w:szCs w:val="20"/>
        </w:rPr>
      </w:r>
      <w:r>
        <w:rPr>
          <w:sz w:val="18"/>
          <w:szCs w:val="20"/>
        </w:rPr>
      </w:r>
    </w:p>
    <w:p>
      <w:pPr>
        <w:pStyle w:val="1107"/>
        <w:ind w:firstLine="709"/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*** Под обязательствами перед АО «Россельхозбанк» по кредитным сделкам понимаются: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107"/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107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</w:t>
      </w:r>
      <w:r>
        <w:rPr>
          <w:sz w:val="16"/>
          <w:szCs w:val="16"/>
        </w:rPr>
        <w:t xml:space="preserve">договорам,в</w:t>
      </w:r>
      <w:r>
        <w:rPr>
          <w:sz w:val="16"/>
          <w:szCs w:val="16"/>
        </w:rPr>
        <w:t xml:space="preserve"> том числе </w:t>
      </w:r>
      <w:r>
        <w:rPr>
          <w:sz w:val="16"/>
          <w:szCs w:val="16"/>
        </w:rPr>
        <w:br/>
        <w:t xml:space="preserve">по договорам залога, договорам поручительства (в том числе прекратившим свое действие).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tabs>
          <w:tab w:val="left" w:pos="2899" w:leader="none"/>
        </w:tabs>
        <w:rPr>
          <w:rStyle w:val="1096"/>
          <w:sz w:val="16"/>
          <w:szCs w:val="16"/>
        </w:rPr>
      </w:pPr>
      <w:r>
        <w:rPr>
          <w:sz w:val="16"/>
          <w:szCs w:val="16"/>
        </w:rPr>
      </w:r>
      <w:r>
        <w:rPr>
          <w:rStyle w:val="1096"/>
          <w:sz w:val="16"/>
          <w:szCs w:val="16"/>
        </w:rPr>
      </w:r>
      <w:r>
        <w:rPr>
          <w:rStyle w:val="1096"/>
          <w:sz w:val="16"/>
          <w:szCs w:val="16"/>
        </w:rPr>
      </w:r>
    </w:p>
    <w:p>
      <w:pPr>
        <w:jc w:val="center"/>
        <w:tabs>
          <w:tab w:val="left" w:pos="2899" w:leader="none"/>
        </w:tabs>
        <w:rPr>
          <w:b/>
          <w:lang w:eastAsia="en-US"/>
        </w:rPr>
      </w:pPr>
      <w:r>
        <w:rPr>
          <w:rStyle w:val="1096"/>
        </w:rPr>
        <w:t xml:space="preserve">2. Кассовые операции</w:t>
      </w:r>
      <w:r>
        <w:rPr>
          <w:sz w:val="20"/>
          <w:szCs w:val="20"/>
        </w:rPr>
        <w:t xml:space="preserve">*</w:t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</w:t>
            </w:r>
            <w:r>
              <w:rPr>
                <w:sz w:val="20"/>
                <w:szCs w:val="20"/>
              </w:rPr>
              <w:t xml:space="preserve">200</w:t>
            </w:r>
            <w:r>
              <w:rPr>
                <w:sz w:val="20"/>
                <w:szCs w:val="20"/>
              </w:rPr>
              <w:t xml:space="preserve">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</w:t>
            </w:r>
            <w:r>
              <w:rPr>
                <w:sz w:val="20"/>
                <w:szCs w:val="20"/>
              </w:rPr>
              <w:t xml:space="preserve">300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 </w:t>
            </w: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</w:t>
            </w:r>
            <w:r>
              <w:rPr>
                <w:sz w:val="20"/>
                <w:szCs w:val="20"/>
              </w:rPr>
              <w:t xml:space="preserve">( том числе при закрытии счета)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2.2.1.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bCs/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2"/>
                <w:lang w:eastAsia="en-US"/>
              </w:rPr>
            </w:pP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0,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9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% от суммы,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2"/>
                <w:lang w:eastAsia="en-US"/>
              </w:rPr>
            </w:pP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минимум 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500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 руб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2.2.2.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 </w:t>
            </w:r>
            <w:r>
              <w:rPr>
                <w:bCs/>
                <w:sz w:val="20"/>
                <w:szCs w:val="20"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2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300 000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3,5%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300 000,01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1 500 000,00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6,5%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1 500 000,01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4 000 000,00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10% от суммы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4 000 000,01 руб.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 выше в течение календарного месяц»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</w:t>
            </w:r>
            <w:r>
              <w:rPr>
                <w:bCs/>
                <w:sz w:val="20"/>
                <w:szCs w:val="20"/>
              </w:rPr>
              <w:t xml:space="preserve">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,3% от суммы</w:t>
            </w:r>
            <w:r>
              <w:rPr>
                <w:sz w:val="20"/>
                <w:szCs w:val="20"/>
              </w:rPr>
              <w:br/>
              <w:t xml:space="preserve">до 3 500 000,00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/>
              <w:t xml:space="preserve">с 3 500 000</w:t>
            </w:r>
            <w:r>
              <w:t xml:space="preserve">,</w:t>
            </w: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  <w:br/>
              <w:t xml:space="preserve">до 6 000 000,00 руб. </w:t>
            </w:r>
            <w:r>
              <w:t xml:space="preserve">(</w:t>
            </w:r>
            <w:r>
              <w:rPr>
                <w:sz w:val="20"/>
                <w:szCs w:val="20"/>
              </w:rPr>
              <w:t xml:space="preserve">включительно</w:t>
            </w:r>
            <w:r>
              <w:t xml:space="preserve">) </w:t>
            </w:r>
            <w:r>
              <w:br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  <w:br/>
              <w:t xml:space="preserve">с 6 000 000,01</w:t>
            </w:r>
            <w:r>
              <w:rPr>
                <w:sz w:val="20"/>
                <w:szCs w:val="20"/>
              </w:rPr>
              <w:br/>
              <w:t xml:space="preserve">до 10 000 000,00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/>
              <w:t xml:space="preserve">с 10 000 000,01</w:t>
            </w:r>
            <w:r>
              <w:rPr>
                <w:sz w:val="20"/>
                <w:szCs w:val="20"/>
              </w:rPr>
              <w:br/>
              <w:t xml:space="preserve">до 15 000 000,00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/>
              <w:t xml:space="preserve">c 15 000 000,01 руб. и выше в течение календарного месяца</w:t>
            </w:r>
            <w:r>
              <w:t xml:space="preserve">»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</w:t>
            </w:r>
            <w:r>
              <w:rPr>
                <w:bCs/>
                <w:sz w:val="20"/>
                <w:szCs w:val="20"/>
              </w:rPr>
              <w:t xml:space="preserve"> ОБЩАЯ СУММА денежных средств.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</w:t>
            </w:r>
            <w:r>
              <w:rPr>
                <w:sz w:val="20"/>
                <w:szCs w:val="20"/>
              </w:rPr>
              <w:t xml:space="preserve">паевый</w:t>
            </w:r>
            <w:r>
              <w:rPr>
                <w:sz w:val="20"/>
                <w:szCs w:val="20"/>
              </w:rPr>
              <w:t xml:space="preserve">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</w:t>
            </w:r>
            <w:r>
              <w:rPr>
                <w:sz w:val="20"/>
                <w:szCs w:val="20"/>
              </w:rPr>
              <w:t xml:space="preserve">осимой суммы) и комиссии за пересчет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</w:t>
            </w:r>
            <w:r>
              <w:rPr>
                <w:sz w:val="20"/>
                <w:szCs w:val="20"/>
              </w:rPr>
              <w:t xml:space="preserve">нимальной комиссии (250 руб.).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0,40%</w:t>
            </w:r>
            <w:r>
              <w:rPr>
                <w:bCs/>
                <w:sz w:val="20"/>
                <w:szCs w:val="20"/>
              </w:rPr>
              <w:t xml:space="preserve">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 (банкноты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</w:t>
            </w:r>
            <w:r>
              <w:rPr>
                <w:sz w:val="20"/>
                <w:szCs w:val="20"/>
              </w:rPr>
              <w:br/>
              <w:t xml:space="preserve">минимум </w:t>
            </w:r>
            <w:r>
              <w:rPr>
                <w:sz w:val="20"/>
                <w:szCs w:val="20"/>
              </w:rPr>
              <w:br/>
              <w:t xml:space="preserve">2</w:t>
            </w: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</w:t>
            </w:r>
            <w:r>
              <w:rPr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 Размен банкнот/монет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наличной иностранной </w:t>
            </w:r>
            <w:r>
              <w:rPr>
                <w:sz w:val="20"/>
                <w:szCs w:val="20"/>
              </w:rPr>
              <w:t xml:space="preserve">валюты (за исключением монет) 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</w:t>
            </w:r>
            <w:r>
              <w:rPr>
                <w:sz w:val="20"/>
                <w:szCs w:val="20"/>
              </w:rPr>
              <w:t xml:space="preserve">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  <w:t xml:space="preserve"> оформлен</w:t>
            </w:r>
            <w:r>
              <w:rPr>
                <w:sz w:val="20"/>
                <w:szCs w:val="20"/>
              </w:rPr>
              <w:t xml:space="preserve">а предварительная заявка</w:t>
            </w:r>
            <w:r>
              <w:rPr>
                <w:sz w:val="20"/>
                <w:szCs w:val="20"/>
              </w:rPr>
              <w:t xml:space="preserve">, в случае неполучения предварительно заказанных наличных денежных средств</w:t>
            </w:r>
            <w:r>
              <w:rPr>
                <w:sz w:val="20"/>
                <w:szCs w:val="20"/>
              </w:rPr>
              <w:t xml:space="preserve">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18"/>
          <w:szCs w:val="16"/>
          <w:u w:val="single"/>
        </w:rPr>
      </w:pPr>
      <w:r>
        <w:rPr>
          <w:sz w:val="18"/>
          <w:szCs w:val="16"/>
          <w:u w:val="single"/>
        </w:rPr>
        <w:t xml:space="preserve">Примечание:</w:t>
      </w:r>
      <w:r>
        <w:rPr>
          <w:sz w:val="18"/>
          <w:szCs w:val="16"/>
          <w:u w:val="single"/>
        </w:rPr>
      </w:r>
      <w:r>
        <w:rPr>
          <w:sz w:val="18"/>
          <w:szCs w:val="16"/>
          <w:u w:val="single"/>
        </w:rPr>
      </w:r>
    </w:p>
    <w:p>
      <w:pPr>
        <w:rPr>
          <w:bCs/>
          <w:sz w:val="18"/>
          <w:szCs w:val="16"/>
        </w:rPr>
      </w:pPr>
      <w:r>
        <w:rPr>
          <w:bCs/>
          <w:sz w:val="18"/>
          <w:szCs w:val="16"/>
        </w:rPr>
        <w:t xml:space="preserve">Операции по обслуживанию счетов, открытых бюджетным учреждениям, отдел</w:t>
      </w:r>
      <w:r>
        <w:rPr>
          <w:bCs/>
          <w:sz w:val="18"/>
          <w:szCs w:val="16"/>
        </w:rPr>
        <w:t xml:space="preserve">ьных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</w:t>
      </w:r>
      <w:r>
        <w:rPr>
          <w:bCs/>
          <w:sz w:val="18"/>
          <w:szCs w:val="16"/>
        </w:rPr>
      </w:r>
      <w:r>
        <w:rPr>
          <w:bCs/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*)</w:t>
      </w:r>
      <w:r>
        <w:rPr>
          <w:sz w:val="18"/>
          <w:szCs w:val="16"/>
        </w:rPr>
        <w:t xml:space="preserve"> Плата за услуги Банка взимается в момент совершения операции, если конкретным пунктом Тарифов не предусмотрено иное.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**)</w:t>
      </w:r>
      <w:r>
        <w:rPr>
          <w:sz w:val="18"/>
          <w:szCs w:val="16"/>
        </w:rPr>
        <w:t xml:space="preserve"> </w:t>
      </w:r>
      <w:r>
        <w:rPr>
          <w:sz w:val="18"/>
          <w:szCs w:val="16"/>
        </w:rPr>
        <w:t xml:space="preserve">Предварительная заявка клиента – это письменное заявление клиента о намерении получить денежную наличность со своего банковского сч</w:t>
      </w:r>
      <w:r>
        <w:rPr>
          <w:sz w:val="18"/>
          <w:szCs w:val="16"/>
        </w:rPr>
        <w:t xml:space="preserve">ета, представленное в подразделение Банка накануне дня планируемого получения клиентом денежной наличности , либо заявка  в виде формализованного электронного документа на получение </w:t>
      </w:r>
      <w:r>
        <w:rPr>
          <w:sz w:val="18"/>
          <w:szCs w:val="16"/>
        </w:rPr>
        <w:t xml:space="preserve">дененой</w:t>
      </w:r>
      <w:r>
        <w:rPr>
          <w:sz w:val="18"/>
          <w:szCs w:val="16"/>
        </w:rPr>
        <w:t xml:space="preserve"> наличности ,направленная 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</w:t>
      </w:r>
      <w:r>
        <w:rPr>
          <w:sz w:val="18"/>
          <w:szCs w:val="16"/>
        </w:rPr>
        <w:t xml:space="preserve">пасчетно</w:t>
      </w:r>
      <w:r>
        <w:rPr>
          <w:sz w:val="18"/>
          <w:szCs w:val="16"/>
        </w:rPr>
        <w:t xml:space="preserve">-кассового обслуживания клиента в АО «</w:t>
      </w:r>
      <w:r>
        <w:rPr>
          <w:sz w:val="18"/>
          <w:szCs w:val="16"/>
        </w:rPr>
        <w:t xml:space="preserve">Россельхозбанк»,если</w:t>
      </w:r>
      <w:r>
        <w:rPr>
          <w:sz w:val="18"/>
          <w:szCs w:val="16"/>
        </w:rPr>
        <w:t xml:space="preserve"> конкретным пунктом Тарифов не предусмотрено иное».</w:t>
      </w:r>
      <w:r>
        <w:rPr>
          <w:sz w:val="18"/>
          <w:szCs w:val="16"/>
        </w:rPr>
        <w:t xml:space="preserve"> 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***) Под подразделением Банка понимается региональный филиал, включая его дополнительные о</w:t>
      </w:r>
      <w:r>
        <w:rPr>
          <w:sz w:val="18"/>
          <w:szCs w:val="16"/>
        </w:rPr>
        <w:t xml:space="preserve">фисы, операционные </w:t>
      </w:r>
      <w:r>
        <w:rPr>
          <w:sz w:val="18"/>
          <w:szCs w:val="16"/>
        </w:rPr>
        <w:t xml:space="preserve">офисы, </w:t>
      </w:r>
      <w:r>
        <w:rPr>
          <w:sz w:val="18"/>
          <w:szCs w:val="16"/>
        </w:rPr>
        <w:t xml:space="preserve"> либо</w:t>
      </w:r>
      <w:r>
        <w:rPr>
          <w:sz w:val="18"/>
          <w:szCs w:val="16"/>
        </w:rPr>
        <w:t xml:space="preserve"> головной офис Банка, включая его внутренние структурные подразделения.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10 - Производство пищевых продуктов (включая все подклассы, группы, подгруппы, виды).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12 - Производство табачных изделий (включая все подклассы, группы, подгруппы, виды).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46.2 - Торговля оптовая сельскохозяйственным сырьем и живыми животными.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46.21.1 - Торговля оптовая зерном, семенами и кормами для животных.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46.21.11 - Торговля оптовая зерном.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46.21.12 - Торговля оптовая семенами, кроме семян масличных культур.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46.21.13 - Торговля оптовая масличными семенами и маслосодержащими плодами.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46.21.14 - Торговля оптовая кормами для сельскохозяйственных животных.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46.21.19 - Торговля оптовая сельскохозяйственным сырьем, не включенным в другие группировки.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46.22 - Торговля оптовая цветами и растениями.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46.23 - Торговля оптовая живыми животными.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46.31 - Торговля оптовая фруктами и овощами.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46.31.1 - Торговля оптовая свежими овощами, фруктами и орехами.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46.31.11 - Торговля оптовая свежим картофелем.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46.31.12 - Торговля оптовая прочими свежими овощами.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46.31.13 - Торговля оптовая свежими фруктами и орехами.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46.32 - Торговля оптовая мясом и мясными продуктами.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46.32.1 - Торговля оптовая мясом и мясом птицы, включая субпродукты.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46.32.2 - Торговля оптовая продуктами из мяса и мяса птицы.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46.32.3 - Торговля оптовая консервами из мяса и мяса птицы.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46.33 - Торговля оптовая молочными продуктами, яйцами и </w:t>
      </w:r>
      <w:r>
        <w:rPr>
          <w:sz w:val="18"/>
          <w:szCs w:val="16"/>
        </w:rPr>
        <w:t xml:space="preserve">пищевыми маслами</w:t>
      </w:r>
      <w:r>
        <w:rPr>
          <w:sz w:val="18"/>
          <w:szCs w:val="16"/>
        </w:rPr>
        <w:t xml:space="preserve"> и жирами.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46.33.1 - Торговля оптовая молочными продуктами.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46.33.2 - Торговля оптовая яйцами.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46.33.3 - Торговля оптовая пищевыми маслами и жирами.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47.21 - Торговля розничная фруктами и овощами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47.21.2 - Торговля розничная консервированными фруктами и </w:t>
      </w:r>
      <w:r>
        <w:rPr>
          <w:sz w:val="18"/>
          <w:szCs w:val="16"/>
        </w:rPr>
        <w:t xml:space="preserve">овощами</w:t>
      </w:r>
      <w:r>
        <w:rPr>
          <w:sz w:val="18"/>
          <w:szCs w:val="16"/>
        </w:rPr>
        <w:t xml:space="preserve"> и орехами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47.22 - Торговля розничная мясом и мясными продуктами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47.29.1 - Торговля розничная молочными продуктами и яйцами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47.29.12 - Торговля розничная яйцами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47.29.2 - Торговля розничная пищевыми маслами и жирами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47.29.22 - Торговля розничная растительными маслами в специализированных магазинах.».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*****)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В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соответствии с Федеральным законом от 10 июля 2023 года № 304-ФЗ </w:t>
      </w:r>
      <w:r>
        <w:rPr>
          <w:bCs/>
          <w:sz w:val="18"/>
          <w:szCs w:val="18"/>
        </w:rPr>
        <w:br/>
        <w:t xml:space="preserve">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(или)</w:t>
      </w:r>
      <w:r>
        <w:rPr>
          <w:bCs/>
          <w:sz w:val="18"/>
          <w:szCs w:val="18"/>
        </w:rPr>
        <w:t xml:space="preserve">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лиц.».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******)</w:t>
      </w:r>
      <w:r>
        <w:rPr>
          <w:bCs/>
          <w:sz w:val="18"/>
          <w:szCs w:val="18"/>
        </w:rPr>
        <w:t xml:space="preserve"> Банк не принимает поврежденные банкноты иностранных государств.»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835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rStyle w:val="1096"/>
        </w:rPr>
        <w:t xml:space="preserve">3.</w:t>
      </w:r>
      <w:r>
        <w:rPr>
          <w:rStyle w:val="1096"/>
        </w:rPr>
        <w:t xml:space="preserve"> Выполнение функций агента валютного контроля (размер тарифов указан без учета </w:t>
      </w:r>
      <w:r>
        <w:rPr>
          <w:rStyle w:val="1096"/>
        </w:rPr>
        <w:t xml:space="preserve">НДС)</w:t>
      </w:r>
      <w:r>
        <w:rPr>
          <w:b/>
        </w:rPr>
        <w:t xml:space="preserve">*</w:t>
      </w:r>
      <w:r>
        <w:rPr>
          <w:b/>
        </w:rPr>
      </w:r>
      <w:r>
        <w:rPr>
          <w:b/>
        </w:rPr>
      </w:r>
    </w:p>
    <w:tbl>
      <w:tblPr>
        <w:tblW w:w="5016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31"/>
        <w:gridCol w:w="4336"/>
        <w:gridCol w:w="1812"/>
        <w:gridCol w:w="3337"/>
      </w:tblGrid>
      <w:tr>
        <w:tblPrEx/>
        <w:trPr/>
        <w:tc>
          <w:tcPr>
            <w:shd w:val="clear" w:color="auto" w:fill="auto"/>
            <w:tcW w:w="35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12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88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500 руб.</w:t>
            </w:r>
            <w:r>
              <w:rPr>
                <w:sz w:val="20"/>
                <w:szCs w:val="20"/>
              </w:rPr>
              <w:t xml:space="preserve"> для головного офиса (далее – ГО), </w:t>
            </w:r>
            <w:r>
              <w:rPr>
                <w:sz w:val="20"/>
                <w:szCs w:val="20"/>
              </w:rPr>
              <w:t xml:space="preserve">РФ АО «Россельхозбанк» - «Центр розничного и малого бизнеса» </w:t>
            </w:r>
            <w:r>
              <w:rPr>
                <w:sz w:val="20"/>
                <w:szCs w:val="20"/>
              </w:rPr>
              <w:t xml:space="preserve">(далее _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ЦРМБ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 и РФ АО «Россельхозбанк» - «ЦКБ» (далее - ЦКБ),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</w:t>
            </w:r>
            <w:r>
              <w:rPr>
                <w:sz w:val="20"/>
                <w:szCs w:val="20"/>
              </w:rPr>
              <w:t xml:space="preserve">м 300 руб.</w:t>
            </w:r>
            <w:r>
              <w:rPr>
                <w:sz w:val="20"/>
                <w:szCs w:val="20"/>
              </w:rPr>
              <w:t xml:space="preserve"> для других Региональных филиалов АО «Россельхозбанк» (далее - РФ Банка)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4642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3.3.4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1 500 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16"/>
              </w:rPr>
            </w:pPr>
            <w:r>
              <w:rPr>
                <w:sz w:val="20"/>
              </w:rPr>
              <w:t xml:space="preserve">4 000 руб.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Комиссия взимается дополнительно к комиссии по пункта</w:t>
            </w:r>
            <w:r>
              <w:rPr>
                <w:bCs/>
                <w:sz w:val="20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По контрактам (кредитным договорам), постановка на учет которых осуществлялась ранее в другом банке, услуга </w:t>
            </w:r>
            <w:r>
              <w:rPr>
                <w:bCs/>
                <w:sz w:val="20"/>
              </w:rPr>
              <w:t xml:space="preserve">не</w:t>
            </w:r>
            <w:r>
              <w:rPr>
                <w:bCs/>
                <w:sz w:val="20"/>
              </w:rPr>
              <w:t xml:space="preserve"> оказывается.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Услуга оказывае</w:t>
            </w:r>
            <w:r>
              <w:rPr>
                <w:bCs/>
                <w:sz w:val="20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</w:t>
            </w:r>
            <w:r>
              <w:rPr>
                <w:bCs/>
                <w:sz w:val="20"/>
              </w:rPr>
              <w:t xml:space="preserve">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4642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both"/>
              <w:spacing w:before="4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4642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переводе контракта (кредитного </w:t>
            </w:r>
            <w:r>
              <w:rPr>
                <w:bCs/>
                <w:sz w:val="20"/>
                <w:szCs w:val="20"/>
              </w:rPr>
              <w:t xml:space="preserve">договора)  из</w:t>
            </w:r>
            <w:r>
              <w:rPr>
                <w:bCs/>
                <w:sz w:val="20"/>
                <w:szCs w:val="20"/>
              </w:rPr>
              <w:t xml:space="preserve"> регионального филиала Банка в головной офис Банка;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переводе контракта (кредитного </w:t>
            </w:r>
            <w:r>
              <w:rPr>
                <w:bCs/>
                <w:sz w:val="20"/>
                <w:szCs w:val="20"/>
              </w:rPr>
              <w:t xml:space="preserve">договора)  из</w:t>
            </w:r>
            <w:r>
              <w:rPr>
                <w:bCs/>
                <w:sz w:val="20"/>
                <w:szCs w:val="20"/>
              </w:rPr>
              <w:t xml:space="preserve"> одного регионального филиала Банка в другой региональный филиал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контракта (кредитного договора) на учет в другой уполномоченный банк либо при закрытии резидентом всех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23"/>
        </w:trPr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500 руб., максимум 80 000 руб. для ГО, </w:t>
            </w:r>
            <w:r>
              <w:rPr>
                <w:sz w:val="20"/>
                <w:szCs w:val="20"/>
              </w:rPr>
              <w:t xml:space="preserve">ЦРМБ </w:t>
            </w:r>
            <w:r>
              <w:rPr>
                <w:sz w:val="20"/>
                <w:szCs w:val="20"/>
              </w:rPr>
              <w:t xml:space="preserve">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максимум 80 000 руб. 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ГО, </w:t>
            </w:r>
            <w:r>
              <w:rPr>
                <w:sz w:val="20"/>
                <w:szCs w:val="20"/>
              </w:rPr>
              <w:t xml:space="preserve">ЦРМБ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РФ Банка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пошлин и иных обязательных платежей в соответствии с </w:t>
            </w:r>
            <w:r>
              <w:rPr>
                <w:sz w:val="20"/>
                <w:szCs w:val="20"/>
              </w:rPr>
              <w:t xml:space="preserve">законодательством  Российской</w:t>
            </w:r>
            <w:r>
              <w:rPr>
                <w:sz w:val="20"/>
                <w:szCs w:val="20"/>
              </w:rPr>
              <w:t xml:space="preserve">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35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122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8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358" w:type="pct"/>
            <w:vMerge w:val="restar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122" w:type="pct"/>
            <w:vMerge w:val="restar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358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122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35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12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633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3.9.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СМС-информирование о статусах документов валютного контроля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vAlign w:val="center"/>
            <w:textDirection w:val="lrTb"/>
            <w:noWrap w:val="false"/>
          </w:tcPr>
          <w:p>
            <w:pPr>
              <w:jc w:val="center"/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200 руб.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в месяц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1633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Комиссия взимается за каждый телефонный номер, подключенный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к услуге.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spacing w:after="12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Комиссия взимается не позднее первого рабочего дня, следующего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spacing w:after="12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Услуга доступна пользователям системы ДБО «Интернет-клиент»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и предоставляется только резидентам.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</w:p>
        </w:tc>
      </w:tr>
    </w:tbl>
    <w:p>
      <w:pPr>
        <w:rPr>
          <w:rFonts w:eastAsia="Calibri"/>
          <w:i/>
          <w:sz w:val="16"/>
          <w:szCs w:val="16"/>
          <w:u w:val="single"/>
        </w:rPr>
      </w:pPr>
      <w:r>
        <w:rPr>
          <w:rFonts w:eastAsia="Calibri"/>
          <w:i/>
          <w:sz w:val="16"/>
          <w:szCs w:val="16"/>
          <w:u w:val="single"/>
        </w:rPr>
      </w:r>
      <w:r>
        <w:rPr>
          <w:rFonts w:eastAsia="Calibri"/>
          <w:i/>
          <w:sz w:val="16"/>
          <w:szCs w:val="16"/>
          <w:u w:val="single"/>
        </w:rPr>
      </w:r>
      <w:r>
        <w:rPr>
          <w:rFonts w:eastAsia="Calibri"/>
          <w:i/>
          <w:sz w:val="16"/>
          <w:szCs w:val="16"/>
          <w:u w:val="single"/>
        </w:rPr>
      </w:r>
    </w:p>
    <w:p>
      <w:pPr>
        <w:rPr>
          <w:rFonts w:eastAsia="Calibri"/>
          <w:sz w:val="18"/>
          <w:szCs w:val="16"/>
          <w:u w:val="single"/>
        </w:rPr>
      </w:pPr>
      <w:r>
        <w:rPr>
          <w:rFonts w:eastAsia="Calibri"/>
          <w:sz w:val="18"/>
          <w:szCs w:val="16"/>
          <w:u w:val="single"/>
        </w:rPr>
        <w:t xml:space="preserve">Примечание:</w:t>
      </w:r>
      <w:r>
        <w:rPr>
          <w:rFonts w:eastAsia="Calibri"/>
          <w:sz w:val="18"/>
          <w:szCs w:val="16"/>
          <w:u w:val="single"/>
        </w:rPr>
      </w:r>
      <w:r>
        <w:rPr>
          <w:rFonts w:eastAsia="Calibri"/>
          <w:sz w:val="18"/>
          <w:szCs w:val="16"/>
          <w:u w:val="single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</w:t>
      </w:r>
      <w:r>
        <w:rPr>
          <w:rFonts w:eastAsia="Calibri"/>
          <w:sz w:val="18"/>
          <w:szCs w:val="16"/>
        </w:rPr>
        <w:t xml:space="preserve">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- Инструкция Банка России № 181-И).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bCs/>
          <w:sz w:val="18"/>
        </w:rPr>
      </w:pPr>
      <w:r>
        <w:rPr>
          <w:sz w:val="18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bCs/>
          <w:sz w:val="18"/>
        </w:rPr>
        <w:t xml:space="preserve">Регламентом взаимодействия клиентов с АО «Россельхозбанк» при осуществлении операций, подлежащих валютному контролю.</w:t>
      </w:r>
      <w:r>
        <w:rPr>
          <w:bCs/>
          <w:sz w:val="18"/>
        </w:rPr>
      </w:r>
      <w:r>
        <w:rPr>
          <w:bCs/>
          <w:sz w:val="18"/>
        </w:rPr>
      </w:r>
    </w:p>
    <w:p>
      <w:pPr>
        <w:ind w:firstLine="709"/>
        <w:jc w:val="both"/>
        <w:rPr>
          <w:rFonts w:eastAsia="Calibri"/>
          <w:sz w:val="10"/>
          <w:szCs w:val="16"/>
        </w:rPr>
      </w:pPr>
      <w:r>
        <w:rPr>
          <w:rFonts w:eastAsia="Calibri"/>
          <w:sz w:val="10"/>
          <w:szCs w:val="16"/>
        </w:rPr>
      </w:r>
      <w:r>
        <w:rPr>
          <w:rFonts w:eastAsia="Calibri"/>
          <w:sz w:val="10"/>
          <w:szCs w:val="16"/>
        </w:rPr>
      </w:r>
      <w:r>
        <w:rPr>
          <w:rFonts w:eastAsia="Calibri"/>
          <w:sz w:val="10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rFonts w:eastAsia="Calibri"/>
          <w:sz w:val="18"/>
          <w:szCs w:val="16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</w:t>
      </w:r>
      <w:r>
        <w:rPr>
          <w:rFonts w:eastAsia="Calibri"/>
          <w:sz w:val="18"/>
          <w:szCs w:val="16"/>
        </w:rPr>
        <w:t xml:space="preserve">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** </w:t>
      </w:r>
      <w:r>
        <w:rPr>
          <w:rFonts w:eastAsia="Calibri"/>
          <w:sz w:val="18"/>
          <w:szCs w:val="16"/>
        </w:rPr>
        <w:t xml:space="preserve">В</w:t>
      </w:r>
      <w:r>
        <w:rPr>
          <w:rFonts w:eastAsia="Calibri"/>
          <w:sz w:val="18"/>
          <w:szCs w:val="16"/>
        </w:rPr>
        <w:t xml:space="preserve"> случае перевода (зачисления) денежных средств общей суммой: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Комиссионное вознаграждение взимается: 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</w:t>
      </w:r>
      <w:r>
        <w:rPr>
          <w:rFonts w:eastAsia="Calibri"/>
          <w:sz w:val="18"/>
          <w:szCs w:val="16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rFonts w:eastAsia="Calibri"/>
          <w:sz w:val="18"/>
          <w:szCs w:val="16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Комиссионное вознаграждение взимается, в том числе, при использовании резидентом аккре</w:t>
      </w:r>
      <w:r>
        <w:rPr>
          <w:rFonts w:eastAsia="Calibri"/>
          <w:sz w:val="18"/>
          <w:szCs w:val="16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*** Днем оказания услуги по валютному контролю является: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1.</w:t>
      </w:r>
      <w:r>
        <w:rPr>
          <w:rFonts w:eastAsia="Calibri"/>
          <w:sz w:val="18"/>
          <w:szCs w:val="16"/>
        </w:rPr>
        <w:tab/>
        <w:t xml:space="preserve">По операциям резидентов, в том числе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списания денежных средств с расчетного счета клиента-резидента;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принятия Банком документов, связанных с проведением валютной операции;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принятия Банком сведений уполномоченного банка о проведенной операции.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2.</w:t>
      </w:r>
      <w:r>
        <w:rPr>
          <w:rFonts w:eastAsia="Calibri"/>
          <w:sz w:val="18"/>
          <w:szCs w:val="16"/>
        </w:rPr>
        <w:tab/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направления резиденту информации о коде вида операции.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3.  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присвоения Банком экспортному контракту уникального номера.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4.     При проверке СПД: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принятия Банком СПД.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5.     При оформлении Банком СПД за клиента: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оформления Банком СПД.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6.     При снятии контракта (кредитного договора) с учета: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снятия Банком контракта (кредитного договора) с учета.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7.    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списания денежных средств с расчетного счета клиента-нерезидента.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8.     При представлении клиенту копий документов из досье валютного контроля: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направления клиенту копий документов. 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**** </w:t>
      </w:r>
      <w:r>
        <w:rPr>
          <w:rFonts w:eastAsia="Calibri"/>
          <w:sz w:val="18"/>
          <w:szCs w:val="16"/>
        </w:rPr>
        <w:t xml:space="preserve">В</w:t>
      </w:r>
      <w:r>
        <w:rPr>
          <w:rFonts w:eastAsia="Calibri"/>
          <w:sz w:val="18"/>
          <w:szCs w:val="16"/>
        </w:rPr>
        <w:t xml:space="preserve"> случае перевода контракта (кредитного договора) на учет в другой уполномоченный банк либо при закрытии резидентом вс</w:t>
      </w:r>
      <w:r>
        <w:rPr>
          <w:rFonts w:eastAsia="Calibri"/>
          <w:sz w:val="18"/>
          <w:szCs w:val="16"/>
        </w:rPr>
        <w:t xml:space="preserve">ех расчетных счетов в Банке при условии наличия в ведомости банковского контроля сведений о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3.5.2. и 3.5.3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i/>
          <w:sz w:val="16"/>
          <w:szCs w:val="16"/>
        </w:rPr>
      </w:pPr>
      <w:r>
        <w:rPr>
          <w:rFonts w:eastAsia="Calibri"/>
          <w:i/>
          <w:sz w:val="16"/>
          <w:szCs w:val="16"/>
        </w:rPr>
      </w:r>
      <w:r>
        <w:rPr>
          <w:rFonts w:eastAsia="Calibri"/>
          <w:i/>
          <w:sz w:val="16"/>
          <w:szCs w:val="16"/>
        </w:rPr>
      </w:r>
      <w:r>
        <w:rPr>
          <w:rFonts w:eastAsia="Calibri"/>
          <w:i/>
          <w:sz w:val="16"/>
          <w:szCs w:val="16"/>
        </w:rPr>
      </w:r>
    </w:p>
    <w:p>
      <w:pPr>
        <w:pStyle w:val="1087"/>
      </w:pPr>
      <w:r/>
      <w:bookmarkStart w:id="2" w:name="_Toc2"/>
      <w:r>
        <w:t xml:space="preserve">4.</w:t>
      </w:r>
      <w:r>
        <w:t xml:space="preserve"> </w:t>
      </w:r>
      <w:r>
        <w:t xml:space="preserve">Операции с ценными бумагами</w:t>
      </w:r>
      <w:r/>
      <w:bookmarkEnd w:id="2"/>
      <w:r/>
      <w:r/>
    </w:p>
    <w:p>
      <w:pPr>
        <w:jc w:val="center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в головном офисе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в региональных филиалах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«по предъявлении, но не ранее» и срочные векселя со сроком обращения менее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«по предъявлении, но не ранее» и срочные векселя со сроком обращения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залоговых операций с векселем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серии «К» головным офисом и региональным филиалом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в заклад Банку.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sz w:val="20"/>
                <w:szCs w:val="20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  <w:t xml:space="preserve">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с законодательством), представлены на сайте Банка сети Интернет»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jc w:val="center"/>
      </w:pPr>
      <w:r/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5. Документарные операции</w:t>
      </w:r>
      <w:r>
        <w:rPr>
          <w:b/>
        </w:rPr>
      </w:r>
      <w:r>
        <w:rPr>
          <w:b/>
        </w:rPr>
      </w:r>
    </w:p>
    <w:p>
      <w:pPr>
        <w:ind w:left="1069"/>
        <w:keepNext/>
        <w:spacing w:before="120" w:after="40"/>
        <w:rPr>
          <w:b/>
          <w:bCs/>
        </w:rPr>
        <w:outlineLvl w:val="4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105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552"/>
        <w:gridCol w:w="3714"/>
      </w:tblGrid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71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526" w:type="dxa"/>
            <w:textDirection w:val="lrTb"/>
            <w:noWrap w:val="false"/>
          </w:tcPr>
          <w:p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Аккредитивы  для расчетов на территории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1 000 руб.,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bCs/>
                <w:color w:val="000000"/>
                <w:sz w:val="20"/>
                <w:szCs w:val="20"/>
              </w:rPr>
              <w:t xml:space="preserve">авизования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71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iCs/>
                <w:sz w:val="20"/>
                <w:szCs w:val="20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iCs/>
                <w:sz w:val="20"/>
                <w:szCs w:val="20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</w:t>
            </w:r>
            <w:r>
              <w:rPr>
                <w:iCs/>
                <w:sz w:val="20"/>
                <w:szCs w:val="20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Федерации,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минимум 5000 руб.,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максимум 50000 руб.,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за комиссионный период* 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714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</w:t>
            </w:r>
            <w:r>
              <w:rPr>
                <w:bCs/>
                <w:color w:val="000000"/>
                <w:sz w:val="20"/>
                <w:szCs w:val="20"/>
              </w:rPr>
              <w:t xml:space="preserve">долларах США, </w:t>
            </w:r>
            <w:r>
              <w:rPr>
                <w:bCs/>
                <w:color w:val="000000"/>
                <w:sz w:val="20"/>
                <w:szCs w:val="20"/>
              </w:rPr>
              <w:t xml:space="preserve">евро</w:t>
            </w:r>
            <w:r>
              <w:rPr>
                <w:bCs/>
                <w:color w:val="000000"/>
                <w:sz w:val="20"/>
                <w:szCs w:val="20"/>
              </w:rPr>
              <w:t xml:space="preserve">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минимум 5000 руб.,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714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 открытого другим банком,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минимум 5000 руб.,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5.1.3.2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10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bCs/>
                <w:color w:val="000000"/>
                <w:sz w:val="20"/>
                <w:szCs w:val="20"/>
              </w:rPr>
              <w:t xml:space="preserve">авизования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</w:t>
            </w:r>
            <w:r>
              <w:rPr>
                <w:bCs/>
                <w:color w:val="000000"/>
                <w:sz w:val="20"/>
                <w:szCs w:val="20"/>
              </w:rPr>
              <w:t xml:space="preserve">запрошенной к</w:t>
            </w:r>
            <w:r>
              <w:rPr>
                <w:bCs/>
                <w:color w:val="000000"/>
                <w:sz w:val="20"/>
                <w:szCs w:val="20"/>
              </w:rPr>
              <w:t xml:space="preserve"> оплате, минимум 5000 руб., максимум 100 000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(в </w:t>
            </w:r>
            <w:r>
              <w:rPr>
                <w:bCs/>
                <w:color w:val="000000"/>
                <w:sz w:val="20"/>
                <w:szCs w:val="20"/>
              </w:rPr>
              <w:t xml:space="preserve">т.ч</w:t>
            </w:r>
            <w:r>
              <w:rPr>
                <w:bCs/>
                <w:color w:val="000000"/>
                <w:sz w:val="20"/>
                <w:szCs w:val="20"/>
              </w:rPr>
              <w:t xml:space="preserve">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52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iCs/>
                <w:sz w:val="20"/>
                <w:szCs w:val="20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iCs/>
                <w:sz w:val="20"/>
                <w:szCs w:val="20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</w:t>
            </w:r>
            <w:r>
              <w:rPr>
                <w:iCs/>
                <w:sz w:val="20"/>
                <w:szCs w:val="20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</w:t>
            </w: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  <w:t xml:space="preserve">в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рублях </w:t>
            </w:r>
            <w:r>
              <w:rPr>
                <w:bCs/>
                <w:color w:val="000000"/>
                <w:sz w:val="22"/>
                <w:szCs w:val="22"/>
              </w:rPr>
              <w:t xml:space="preserve">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</w:rPr>
              <w:t xml:space="preserve">в долларах 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в дополнение к комиссии, указанной в п.</w:t>
            </w: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  <w:t xml:space="preserve">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трансферация</w:t>
            </w:r>
            <w:r>
              <w:rPr>
                <w:bCs/>
                <w:color w:val="000000"/>
                <w:sz w:val="20"/>
                <w:szCs w:val="20"/>
              </w:rPr>
              <w:t xml:space="preserve">);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трансферированной</w:t>
            </w:r>
            <w:r>
              <w:rPr>
                <w:bCs/>
                <w:color w:val="000000"/>
                <w:sz w:val="22"/>
                <w:szCs w:val="22"/>
              </w:rPr>
              <w:t xml:space="preserve"> суммы или суммы её увеличения,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100 000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трансферированного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аккредитива, не связанное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согласия на аннуляцию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трансферированного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трансферированным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трансферированному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714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952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75 000 </w:t>
            </w:r>
            <w:r>
              <w:rPr>
                <w:bCs/>
                <w:color w:val="000000"/>
                <w:sz w:val="22"/>
                <w:szCs w:val="22"/>
              </w:rPr>
              <w:t xml:space="preserve">руб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</w:t>
            </w:r>
            <w:r>
              <w:rPr>
                <w:iCs/>
                <w:sz w:val="20"/>
                <w:szCs w:val="20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трансферация</w:t>
            </w:r>
            <w:r>
              <w:rPr>
                <w:bCs/>
                <w:color w:val="000000"/>
                <w:sz w:val="20"/>
                <w:szCs w:val="20"/>
              </w:rPr>
              <w:t xml:space="preserve">);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color w:val="000000"/>
                <w:sz w:val="20"/>
                <w:szCs w:val="20"/>
              </w:rPr>
              <w:t xml:space="preserve"> суммы или суммы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5.3.7.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трансферированному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526" w:type="dxa"/>
            <w:textDirection w:val="lrTb"/>
            <w:noWrap w:val="false"/>
          </w:tcPr>
          <w:p>
            <w:pPr>
              <w:spacing w:before="12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1051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color w:val="000000"/>
          <w:sz w:val="20"/>
          <w:szCs w:val="20"/>
        </w:rPr>
      </w:r>
      <w:r>
        <w:rPr>
          <w:bCs/>
          <w:color w:val="000000"/>
          <w:sz w:val="20"/>
          <w:szCs w:val="20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sz w:val="20"/>
          <w:szCs w:val="20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sz w:val="20"/>
          <w:szCs w:val="20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20"/>
          <w:szCs w:val="20"/>
        </w:rPr>
        <w:br/>
        <w:t xml:space="preserve">По аккредитивам и инкассо в иностранной валюте ко</w:t>
      </w:r>
      <w:r>
        <w:rPr>
          <w:sz w:val="20"/>
          <w:szCs w:val="20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20"/>
          <w:szCs w:val="20"/>
        </w:rPr>
        <w:br/>
        <w:t xml:space="preserve">за период), если иное не предусмотрено соглашением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20"/>
          <w:szCs w:val="20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sz w:val="20"/>
          <w:szCs w:val="20"/>
        </w:rPr>
        <w:br/>
        <w:t xml:space="preserve">к комиссионному вознаграждению, указанному в Тарифах.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</w:t>
      </w:r>
      <w:r>
        <w:rPr>
          <w:sz w:val="20"/>
          <w:szCs w:val="20"/>
        </w:rPr>
        <w:t xml:space="preserve">. Комиссионное вознаграждение, уплаченное Банку за оказание услуг (кроме ошибочно удержанного), возврату не подлежит.».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center"/>
        <w:tabs>
          <w:tab w:val="left" w:pos="2562" w:leader="none"/>
        </w:tabs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jc w:val="center"/>
        <w:tabs>
          <w:tab w:val="left" w:pos="2562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87"/>
      </w:pPr>
      <w:r/>
      <w:bookmarkStart w:id="3" w:name="_Toc3"/>
      <w:r>
        <w:t xml:space="preserve">6.</w:t>
      </w:r>
      <w:r>
        <w:t xml:space="preserve"> </w:t>
      </w:r>
      <w:r>
        <w:t xml:space="preserve">Гарантийные операции</w:t>
      </w:r>
      <w:r/>
      <w:bookmarkEnd w:id="3"/>
      <w:r/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20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9"/>
        <w:gridCol w:w="3685"/>
        <w:gridCol w:w="1985"/>
        <w:gridCol w:w="3544"/>
      </w:tblGrid>
      <w:tr>
        <w:tblPrEx/>
        <w:trPr>
          <w:trHeight w:val="227"/>
          <w:tblHeader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57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16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 гарантийным сделкам (Приложение 2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 приказу АО «Россельхозбанк» от 01.08.2013 №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386-ОД), а также полномочий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соответствии с п.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2.5 приказа Банка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01.08.2013 № 386-ОД.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может быть установлена как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абсолютном (твердая денежная сумма), так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выдачи банковской гарантии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7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 xml:space="preserve"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16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«Россельхозбанк» от 01.08.2013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соответствии с п. 2.5 приказа Банка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01.08.2013 № 386-ОД.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одновременном увеличении суммы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срока гарантии комиссия рассчитывается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суммы увеличения обязательства по гарантии за период с даты у</w:t>
            </w:r>
            <w:r>
              <w:rPr>
                <w:sz w:val="22"/>
                <w:szCs w:val="22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может быть установлена как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абсолютном (твердая денежная сумма), так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о порядке и условиях 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не указанных в п. 6.2.1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07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16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 в следующих случаях: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за выдачу гарантии не производится);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изменение условий гарантийной сделки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 требованию Банка;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Авизование гарантии, авизование изменения гарантии,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связанного с увеличением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ее суммы, без обязательств со стороны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20 000 руб.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Авизование изменения гарантии, не связанного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увеличением ее суммы/авизование запроса 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аннуляцию гарантии/ авизование сообщения по гарантии без обязательств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со стороны АО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«Россельхозбанк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3 500 </w:t>
            </w:r>
            <w:r>
              <w:rPr>
                <w:sz w:val="22"/>
                <w:szCs w:val="22"/>
              </w:rPr>
              <w:t xml:space="preserve">руб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Требование платежа по гарантии, авизованной без обязательств со стороны АО «Россельхозбанк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3 500 </w:t>
            </w:r>
            <w:r>
              <w:rPr>
                <w:sz w:val="22"/>
                <w:szCs w:val="22"/>
              </w:rPr>
              <w:t xml:space="preserve">руб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2 500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both"/>
        <w:tabs>
          <w:tab w:val="left" w:pos="284" w:leader="none"/>
        </w:tabs>
        <w:rPr>
          <w:sz w:val="20"/>
          <w:szCs w:val="20"/>
          <w:u w:val="single"/>
          <w:lang w:eastAsia="en-US"/>
        </w:rPr>
      </w:pPr>
      <w:r>
        <w:rPr>
          <w:sz w:val="20"/>
          <w:szCs w:val="20"/>
          <w:u w:val="single"/>
        </w:rPr>
        <w:t xml:space="preserve">Примечание к пунктам 6.3-6.7 Тарифов:</w:t>
      </w:r>
      <w:r>
        <w:rPr>
          <w:sz w:val="20"/>
          <w:szCs w:val="20"/>
          <w:u w:val="single"/>
          <w:lang w:eastAsia="en-US"/>
        </w:rPr>
      </w:r>
      <w:r>
        <w:rPr>
          <w:sz w:val="20"/>
          <w:szCs w:val="20"/>
          <w:u w:val="single"/>
          <w:lang w:eastAsia="en-US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</w:t>
      </w:r>
      <w:r>
        <w:rPr>
          <w:bCs/>
          <w:iCs/>
          <w:sz w:val="20"/>
          <w:szCs w:val="20"/>
        </w:rPr>
        <w:t xml:space="preserve">и</w:t>
      </w:r>
      <w:r>
        <w:rPr>
          <w:bCs/>
          <w:iCs/>
          <w:sz w:val="20"/>
          <w:szCs w:val="20"/>
        </w:rPr>
        <w:t xml:space="preserve">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sz w:val="20"/>
          <w:szCs w:val="20"/>
        </w:rPr>
        <w:t xml:space="preserve">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87"/>
        <w:rPr>
          <w:color w:val="808080"/>
        </w:rPr>
      </w:pPr>
      <w:r/>
      <w:bookmarkStart w:id="4" w:name="_Toc4"/>
      <w:r>
        <w:t xml:space="preserve">7. Дистанционное банковское обслуживание (ДБО)</w:t>
      </w:r>
      <w:r/>
      <w:bookmarkEnd w:id="4"/>
      <w:r/>
      <w:r>
        <w:rPr>
          <w:color w:val="808080"/>
        </w:rPr>
      </w:r>
    </w:p>
    <w:tbl>
      <w:tblPr>
        <w:tblW w:w="10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76"/>
        <w:gridCol w:w="2854"/>
        <w:gridCol w:w="56"/>
        <w:gridCol w:w="2351"/>
        <w:gridCol w:w="3928"/>
      </w:tblGrid>
      <w:tr>
        <w:tblPrEx/>
        <w:trPr/>
        <w:tc>
          <w:tcP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85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г. Рязани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ДБО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  <w:t xml:space="preserve">/«</w:t>
            </w:r>
            <w:r>
              <w:rPr>
                <w:bCs/>
                <w:sz w:val="20"/>
                <w:szCs w:val="20"/>
              </w:rPr>
              <w:t xml:space="preserve">Интернет-Клиент</w:t>
            </w:r>
            <w:r>
              <w:rPr>
                <w:bCs/>
                <w:sz w:val="20"/>
                <w:szCs w:val="20"/>
              </w:rPr>
              <w:t xml:space="preserve">»/«Свой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Рязанской области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подачи клиентом в Банк заявления.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другую систему ДБО осуществляется в течение 15 рабочих дней с момента подачи клиентом заявления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системы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838"/>
              <w:jc w:val="both"/>
              <w:spacing w:before="40" w:after="40"/>
              <w:tabs>
                <w:tab w:val="num" w:pos="30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 xml:space="preserve">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Комиссия взимается по ставке тарифа, действующей на дату начисления комиссии.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счетов данного клиента.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«Комиссионное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Банком приостановлено использование Клиентом указанной системы в качестве электронного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средства платежа, за исключением первого месяца, в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котором Банком произведено приостановление.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пользовании клиентом услуг Банка по </w:t>
            </w:r>
            <w:r>
              <w:rPr>
                <w:bCs/>
                <w:sz w:val="20"/>
                <w:szCs w:val="20"/>
              </w:rPr>
              <w:t xml:space="preserve">п.п</w:t>
            </w:r>
            <w:r>
              <w:rPr>
                <w:bCs/>
                <w:sz w:val="20"/>
                <w:szCs w:val="20"/>
              </w:rPr>
              <w:t xml:space="preserve">. 7.3.2-7.3.3 комиссия по    п. 7.3.1 Банком не взимается»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Мобильного приложения «Свой Бизнес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Мобайл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</w:rPr>
              <w:t xml:space="preserve"> возможно только при условии подключения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838"/>
              <w:jc w:val="both"/>
              <w:spacing w:before="40" w:after="40"/>
              <w:tabs>
                <w:tab w:val="num" w:pos="30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</w:t>
            </w:r>
            <w:r>
              <w:rPr>
                <w:bCs/>
                <w:sz w:val="20"/>
                <w:szCs w:val="20"/>
              </w:rPr>
              <w:t xml:space="preserve"> руб. в месяц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- 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для клиентов «Банк-Клиент»/ «Интернет-Клиент»/</w:t>
            </w:r>
            <w:r>
              <w:rPr>
                <w:bCs/>
                <w:sz w:val="20"/>
                <w:szCs w:val="20"/>
              </w:rPr>
              <w:t xml:space="preserve"> «Мобильный банк»/</w:t>
            </w:r>
            <w:r>
              <w:rPr>
                <w:bCs/>
                <w:sz w:val="20"/>
                <w:szCs w:val="20"/>
              </w:rPr>
              <w:t xml:space="preserve"> «</w:t>
            </w:r>
            <w:r>
              <w:rPr>
                <w:bCs/>
                <w:sz w:val="20"/>
                <w:szCs w:val="20"/>
              </w:rPr>
              <w:t xml:space="preserve">Свой бизнес</w:t>
            </w:r>
            <w:r>
              <w:rPr>
                <w:bCs/>
                <w:sz w:val="20"/>
                <w:szCs w:val="20"/>
              </w:rPr>
              <w:t xml:space="preserve">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, являющихся </w:t>
            </w:r>
            <w:r>
              <w:rPr>
                <w:bCs/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</w:t>
            </w:r>
            <w:r>
              <w:rPr>
                <w:bCs/>
                <w:sz w:val="20"/>
                <w:szCs w:val="20"/>
              </w:rPr>
              <w:t xml:space="preserve"> руб. в месяц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2000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с каждого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2000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за каждое автоматизированное рабочее место,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 не более 5</w:t>
            </w:r>
            <w:r>
              <w:rPr>
                <w:bCs/>
                <w:sz w:val="20"/>
                <w:szCs w:val="20"/>
              </w:rPr>
              <w:t xml:space="preserve">0</w:t>
            </w:r>
            <w:r>
              <w:rPr>
                <w:bCs/>
                <w:sz w:val="20"/>
                <w:szCs w:val="20"/>
              </w:rPr>
              <w:t xml:space="preserve">00 руб. с одного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к системе «Интернет-Клиент»</w:t>
            </w:r>
            <w:r>
              <w:rPr>
                <w:sz w:val="20"/>
                <w:szCs w:val="20"/>
              </w:rPr>
              <w:t xml:space="preserve">"</w:t>
            </w:r>
            <w:r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использованием Личного кабинета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к системе «Интернет-Клиент»</w:t>
            </w:r>
            <w:r>
              <w:rPr>
                <w:bCs/>
                <w:sz w:val="20"/>
                <w:szCs w:val="20"/>
              </w:rPr>
              <w:t xml:space="preserve">/«</w:t>
            </w:r>
            <w:r>
              <w:rPr>
                <w:bCs/>
                <w:sz w:val="20"/>
                <w:szCs w:val="20"/>
              </w:rPr>
              <w:t xml:space="preserve">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к системе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       п. 7.4.2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течение 45 дней с момента выпуска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системе «Интернет-Клиент»</w:t>
            </w:r>
            <w:r>
              <w:rPr>
                <w:bCs/>
                <w:sz w:val="20"/>
                <w:szCs w:val="20"/>
              </w:rPr>
              <w:t xml:space="preserve">/«</w:t>
            </w:r>
            <w:r>
              <w:rPr>
                <w:bCs/>
                <w:sz w:val="20"/>
                <w:szCs w:val="20"/>
              </w:rPr>
              <w:t xml:space="preserve">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взимается </w:t>
            </w:r>
            <w:r>
              <w:rPr>
                <w:bCs/>
                <w:sz w:val="20"/>
                <w:szCs w:val="20"/>
              </w:rPr>
              <w:t xml:space="preserve">в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д</w:t>
            </w:r>
            <w:r>
              <w:rPr>
                <w:bCs/>
                <w:sz w:val="20"/>
                <w:szCs w:val="20"/>
              </w:rPr>
              <w:t xml:space="preserve">ень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получения</w:t>
            </w:r>
            <w:r>
              <w:rPr>
                <w:bCs/>
                <w:sz w:val="20"/>
                <w:szCs w:val="20"/>
              </w:rPr>
              <w:t xml:space="preserve"> клиентом ключевого носителя</w:t>
            </w:r>
            <w:r>
              <w:rPr>
                <w:bCs/>
                <w:sz w:val="20"/>
                <w:szCs w:val="20"/>
              </w:rPr>
              <w:t xml:space="preserve"> к системе «Интернет-Клиент».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</w:t>
            </w:r>
            <w:r>
              <w:rPr>
                <w:bCs/>
                <w:sz w:val="20"/>
                <w:szCs w:val="20"/>
              </w:rPr>
              <w:t xml:space="preserve">обмена  сертификата</w:t>
            </w:r>
            <w:r>
              <w:rPr>
                <w:bCs/>
                <w:sz w:val="20"/>
                <w:szCs w:val="20"/>
              </w:rPr>
              <w:t xml:space="preserve">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</w:t>
            </w:r>
            <w:r>
              <w:rPr>
                <w:bCs/>
                <w:sz w:val="20"/>
                <w:szCs w:val="20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«Россельхозбанк»</w:t>
            </w:r>
            <w:r>
              <w:rPr>
                <w:bCs/>
                <w:sz w:val="20"/>
                <w:szCs w:val="20"/>
              </w:rPr>
              <w:t xml:space="preserve">/заключения экспертной группы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</w:t>
            </w:r>
            <w:r>
              <w:rPr>
                <w:bCs/>
                <w:sz w:val="20"/>
                <w:szCs w:val="20"/>
              </w:rPr>
              <w:t xml:space="preserve">Банком,  осуществляется</w:t>
            </w:r>
            <w:r>
              <w:rPr>
                <w:bCs/>
                <w:sz w:val="20"/>
                <w:szCs w:val="20"/>
              </w:rPr>
              <w:t xml:space="preserve">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</w:t>
            </w:r>
            <w:r>
              <w:rPr>
                <w:bCs/>
                <w:sz w:val="20"/>
                <w:szCs w:val="20"/>
              </w:rPr>
              <w:t xml:space="preserve">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п. 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временного/</w:t>
            </w:r>
            <w:r>
              <w:rPr>
                <w:sz w:val="20"/>
                <w:szCs w:val="20"/>
              </w:rPr>
              <w:t xml:space="preserve"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предоставляется в соответствии с п. 7.6.2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системах «Интернет-Клиент», «Мобильный 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  <w:t xml:space="preserve">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7.8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Получение одноразового пароля (кода подтверждения) посредством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SMS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в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7.</w:t>
            </w:r>
            <w:r>
              <w:rPr>
                <w:sz w:val="20"/>
                <w:lang w:val="en-US"/>
              </w:rPr>
              <w:t xml:space="preserve">9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Сервис </w:t>
            </w:r>
            <w:r>
              <w:rPr>
                <w:sz w:val="20"/>
              </w:rPr>
              <w:t xml:space="preserve">«</w:t>
            </w:r>
            <w:r>
              <w:rPr>
                <w:sz w:val="20"/>
                <w:lang w:val="en-US"/>
              </w:rPr>
              <w:t xml:space="preserve">SMS</w:t>
            </w:r>
            <w:r>
              <w:rPr>
                <w:sz w:val="20"/>
              </w:rPr>
              <w:t xml:space="preserve"> информирование»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7.</w:t>
            </w:r>
            <w:r>
              <w:rPr>
                <w:sz w:val="20"/>
                <w:lang w:val="en-US"/>
              </w:rPr>
              <w:t xml:space="preserve">9</w:t>
            </w:r>
            <w:r>
              <w:rPr>
                <w:sz w:val="20"/>
              </w:rPr>
              <w:t xml:space="preserve">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</w:rPr>
              <w:br/>
              <w:t xml:space="preserve">за сервис </w:t>
            </w:r>
            <w:r>
              <w:rPr>
                <w:sz w:val="20"/>
              </w:rPr>
              <w:t xml:space="preserve">«</w:t>
            </w:r>
            <w:r>
              <w:rPr>
                <w:sz w:val="20"/>
                <w:lang w:val="en-US"/>
              </w:rPr>
              <w:t xml:space="preserve">SMS</w:t>
            </w:r>
            <w:r>
              <w:rPr>
                <w:sz w:val="20"/>
              </w:rPr>
              <w:t xml:space="preserve"> информирование» (далее – Сервис) в рамках операций по счетам Клиента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</w:rPr>
              <w:br/>
              <w:t xml:space="preserve">к Сервису, </w:t>
            </w:r>
            <w:r>
              <w:rPr>
                <w:sz w:val="20"/>
              </w:rPr>
              <w:br/>
              <w:t xml:space="preserve">и за каждый телефонный номер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  <w:sz w:val="20"/>
              </w:rPr>
            </w:pPr>
            <w:r>
              <w:rPr>
                <w:sz w:val="20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</w:t>
            </w:r>
            <w:r>
              <w:rPr>
                <w:sz w:val="20"/>
              </w:rPr>
              <w:t xml:space="preserve">.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sz w:val="20"/>
              </w:rPr>
              <w:br/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</w:rPr>
              <w:br/>
              <w:t xml:space="preserve">за текущий месяц взимается в размере 50% от расчетной величины.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Комиссия взимается независимо </w:t>
            </w:r>
            <w:r>
              <w:rPr>
                <w:sz w:val="20"/>
              </w:rPr>
              <w:br/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счету).».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7.10.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4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7.11.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4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</w:tbl>
    <w:p>
      <w:pPr>
        <w:rPr>
          <w:bCs/>
          <w:iCs/>
          <w:sz w:val="18"/>
          <w:szCs w:val="18"/>
          <w:u w:val="single"/>
        </w:rPr>
      </w:pPr>
      <w:r>
        <w:rPr>
          <w:bCs/>
          <w:iCs/>
          <w:sz w:val="18"/>
          <w:szCs w:val="18"/>
          <w:u w:val="single"/>
        </w:rPr>
        <w:t xml:space="preserve">Примечание:</w:t>
      </w:r>
      <w:r>
        <w:rPr>
          <w:bCs/>
          <w:iCs/>
          <w:sz w:val="18"/>
          <w:szCs w:val="18"/>
          <w:u w:val="single"/>
        </w:rPr>
      </w:r>
      <w:r>
        <w:rPr>
          <w:bCs/>
          <w:iCs/>
          <w:sz w:val="18"/>
          <w:szCs w:val="18"/>
          <w:u w:val="single"/>
        </w:rPr>
      </w:r>
    </w:p>
    <w:p>
      <w:pPr>
        <w:jc w:val="both"/>
        <w:rPr>
          <w:bCs/>
          <w:iCs/>
          <w:sz w:val="18"/>
          <w:szCs w:val="18"/>
          <w:u w:val="single"/>
        </w:rPr>
      </w:pPr>
      <w:r>
        <w:rPr>
          <w:bCs/>
          <w:sz w:val="18"/>
          <w:szCs w:val="18"/>
        </w:rPr>
        <w:t xml:space="preserve">Отдельные счета головного исполнителя, отдельные счета ис</w:t>
      </w:r>
      <w:r>
        <w:rPr>
          <w:bCs/>
          <w:sz w:val="18"/>
          <w:szCs w:val="18"/>
        </w:rPr>
        <w:t xml:space="preserve">полнителя государственного оборонного заказа, специальные банковские счета для размещения саморегулируемыми организациями средств компенсационного фонда, специальные банковские счета для размещения саморегулируемыми организациями средств компенсационного ф</w:t>
      </w:r>
      <w:r>
        <w:rPr>
          <w:bCs/>
          <w:sz w:val="18"/>
          <w:szCs w:val="18"/>
        </w:rPr>
        <w:t xml:space="preserve">онда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 открытые в Банке, обслуживаются без взимания Банком комиссии</w:t>
      </w:r>
      <w:r>
        <w:rPr>
          <w:bCs/>
          <w:sz w:val="18"/>
          <w:szCs w:val="18"/>
        </w:rPr>
        <w:t xml:space="preserve">.</w:t>
      </w:r>
      <w:r>
        <w:rPr>
          <w:bCs/>
          <w:iCs/>
          <w:sz w:val="18"/>
          <w:szCs w:val="18"/>
          <w:u w:val="single"/>
        </w:rPr>
      </w:r>
      <w:r>
        <w:rPr>
          <w:bCs/>
          <w:iCs/>
          <w:sz w:val="18"/>
          <w:szCs w:val="18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1.</w:t>
      </w:r>
      <w:r>
        <w:rPr>
          <w:bCs/>
          <w:iCs/>
          <w:sz w:val="18"/>
          <w:szCs w:val="18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2.</w:t>
      </w:r>
      <w:r>
        <w:rPr>
          <w:bCs/>
          <w:iCs/>
          <w:sz w:val="18"/>
          <w:szCs w:val="18"/>
        </w:rPr>
        <w:tab/>
        <w:t xml:space="preserve">Дистанционное банковское о</w:t>
      </w:r>
      <w:r>
        <w:rPr>
          <w:bCs/>
          <w:iCs/>
          <w:color w:val="000000"/>
          <w:sz w:val="18"/>
          <w:szCs w:val="18"/>
        </w:rPr>
        <w:t xml:space="preserve">бслуживание бюджетных (некоммерческих) учреждений осуществляется бесплатно. 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3.</w:t>
      </w:r>
      <w:r>
        <w:rPr>
          <w:bCs/>
          <w:iCs/>
          <w:sz w:val="18"/>
          <w:szCs w:val="18"/>
        </w:rPr>
        <w:tab/>
      </w:r>
      <w:r>
        <w:rPr>
          <w:bCs/>
          <w:iCs/>
          <w:sz w:val="18"/>
          <w:szCs w:val="18"/>
        </w:rPr>
        <w:t xml:space="preserve">В</w:t>
      </w:r>
      <w:r>
        <w:rPr>
          <w:bCs/>
          <w:iCs/>
          <w:sz w:val="18"/>
          <w:szCs w:val="18"/>
        </w:rPr>
        <w:t xml:space="preserve"> случае если на момент оказания услуги клиент не имеет счетов, открыт</w:t>
      </w:r>
      <w:r>
        <w:rPr>
          <w:bCs/>
          <w:iCs/>
          <w:sz w:val="18"/>
          <w:szCs w:val="18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4.</w:t>
      </w:r>
      <w:r>
        <w:t xml:space="preserve"> </w:t>
      </w:r>
      <w:r>
        <w:rPr>
          <w:bCs/>
          <w:iCs/>
          <w:sz w:val="18"/>
          <w:szCs w:val="18"/>
        </w:rPr>
        <w:t xml:space="preserve">По операциям, совершаемым через систему ДБО «Мобильный банк»</w:t>
      </w:r>
      <w:r>
        <w:rPr>
          <w:bCs/>
          <w:iCs/>
          <w:sz w:val="18"/>
          <w:szCs w:val="18"/>
        </w:rPr>
        <w:t xml:space="preserve">/«</w:t>
      </w:r>
      <w:r>
        <w:rPr>
          <w:bCs/>
          <w:iCs/>
          <w:sz w:val="18"/>
          <w:szCs w:val="18"/>
        </w:rPr>
        <w:t xml:space="preserve">Мобильное приложение «Свой Бизнес </w:t>
      </w:r>
      <w:r>
        <w:rPr>
          <w:bCs/>
          <w:iCs/>
          <w:sz w:val="18"/>
          <w:szCs w:val="18"/>
        </w:rPr>
        <w:t xml:space="preserve">Мобайл</w:t>
      </w:r>
      <w:r>
        <w:rPr>
          <w:bCs/>
          <w:iCs/>
          <w:sz w:val="18"/>
          <w:szCs w:val="18"/>
        </w:rPr>
        <w:t xml:space="preserve">»</w:t>
      </w:r>
      <w:r>
        <w:rPr>
          <w:bCs/>
          <w:iCs/>
          <w:sz w:val="18"/>
          <w:szCs w:val="18"/>
        </w:rPr>
        <w:t xml:space="preserve">, установлены следующие лимиты: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- лимит на единовременную операцию – 5 000 000 (Пять миллионов) рублей;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- лимит на совершение операций в течение суток - 10 000 000 (Десять миллионов) рублей. Сутки – с 0:00 до 24:00 по московскому времени.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/>
          <w:bCs/>
          <w:sz w:val="2"/>
          <w:szCs w:val="2"/>
        </w:rPr>
      </w:pPr>
      <w:r>
        <w:rPr>
          <w:bCs/>
          <w:iCs/>
          <w:sz w:val="18"/>
          <w:szCs w:val="18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1107"/>
        <w:ind w:firstLine="709"/>
        <w:jc w:val="both"/>
        <w:rPr>
          <w:rFonts w:ascii="Times New Roman" w:hAnsi="Times New Roman" w:cs="Times New Roman"/>
          <w:i w:val="0"/>
          <w:iCs w:val="0"/>
          <w:sz w:val="16"/>
          <w:szCs w:val="16"/>
        </w:rPr>
      </w:pPr>
      <w:r>
        <w:rPr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* Под обязательствами перед АО «Россельхозбанк» по кредитным сделкам понимаются:</w:t>
      </w:r>
      <w:r>
        <w:rPr>
          <w:rFonts w:ascii="Times New Roman" w:hAnsi="Times New Roman" w:cs="Times New Roman"/>
          <w:i w:val="0"/>
          <w:iCs w:val="0"/>
          <w:sz w:val="16"/>
          <w:szCs w:val="16"/>
        </w:rPr>
      </w:r>
      <w:r>
        <w:rPr>
          <w:rFonts w:ascii="Times New Roman" w:hAnsi="Times New Roman" w:cs="Times New Roman"/>
          <w:i w:val="0"/>
          <w:iCs w:val="0"/>
          <w:sz w:val="16"/>
          <w:szCs w:val="16"/>
        </w:rPr>
      </w:r>
    </w:p>
    <w:p>
      <w:pPr>
        <w:pStyle w:val="1107"/>
        <w:ind w:firstLine="709"/>
        <w:rPr>
          <w:rFonts w:ascii="Times New Roman" w:hAnsi="Times New Roman" w:cs="Times New Roman"/>
          <w:i w:val="0"/>
          <w:iCs w:val="0"/>
          <w:sz w:val="18"/>
          <w:szCs w:val="18"/>
        </w:rPr>
      </w:pPr>
      <w:r>
        <w:rPr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rFonts w:ascii="Times New Roman" w:hAnsi="Times New Roman" w:cs="Times New Roman"/>
          <w:i w:val="0"/>
          <w:iCs w:val="0"/>
          <w:sz w:val="18"/>
          <w:szCs w:val="18"/>
        </w:rPr>
      </w:r>
      <w:r>
        <w:rPr>
          <w:rFonts w:ascii="Times New Roman" w:hAnsi="Times New Roman" w:cs="Times New Roman"/>
          <w:i w:val="0"/>
          <w:iCs w:val="0"/>
          <w:sz w:val="18"/>
          <w:szCs w:val="18"/>
        </w:rPr>
      </w:r>
    </w:p>
    <w:p>
      <w:pPr>
        <w:ind w:left="142" w:firstLine="567"/>
        <w:jc w:val="both"/>
        <w:tabs>
          <w:tab w:val="left" w:pos="1134" w:leader="none"/>
        </w:tabs>
        <w:rPr>
          <w:sz w:val="18"/>
          <w:szCs w:val="18"/>
          <w:highlight w:val="none"/>
        </w:rPr>
      </w:pPr>
      <w:r>
        <w:rPr>
          <w:sz w:val="18"/>
          <w:szCs w:val="18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</w:t>
      </w:r>
      <w:r>
        <w:rPr>
          <w:sz w:val="18"/>
          <w:szCs w:val="18"/>
        </w:rPr>
        <w:br/>
        <w:t xml:space="preserve">по договорам залога, договорам поручительства (в том числе прекратившим свое действие).</w:t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eastAsia="Calibri"/>
          <w:color w:val="000000"/>
          <w:sz w:val="16"/>
          <w:szCs w:val="16"/>
          <w:highlight w:val="none"/>
        </w:rPr>
      </w:pP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** </w:t>
      </w:r>
      <w:r>
        <w:rPr>
          <w:rFonts w:ascii="Times New Roman" w:hAnsi="Times New Roman" w:eastAsia="Times New Roman"/>
          <w:bCs/>
          <w:iCs/>
          <w:sz w:val="18"/>
          <w:szCs w:val="18"/>
          <w:highlight w:val="none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 w:eastAsia="Times New Roman"/>
          <w:bCs/>
          <w:iCs/>
          <w:sz w:val="18"/>
          <w:szCs w:val="18"/>
          <w:highlight w:val="none"/>
          <w:lang w:eastAsia="ru-RU"/>
        </w:rPr>
        <w:t xml:space="preserve">, осуществляющим контроль</w:t>
      </w:r>
      <w:r>
        <w:rPr>
          <w:rFonts w:ascii="Times New Roman" w:hAnsi="Times New Roman" w:eastAsia="Times New Roman"/>
          <w:bCs/>
          <w:iCs/>
          <w:sz w:val="18"/>
          <w:szCs w:val="1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sz w:val="18"/>
          <w:szCs w:val="18"/>
          <w:highlight w:val="none"/>
          <w:lang w:eastAsia="ru-RU"/>
        </w:rPr>
        <w:t xml:space="preserve">за платежами </w:t>
      </w:r>
      <w:r>
        <w:rPr>
          <w:rFonts w:ascii="Times New Roman" w:hAnsi="Times New Roman" w:eastAsia="Times New Roman"/>
          <w:bCs/>
          <w:iCs/>
          <w:sz w:val="18"/>
          <w:szCs w:val="18"/>
          <w:highlight w:val="none"/>
          <w:lang w:eastAsia="ru-RU"/>
        </w:rPr>
        <w:t xml:space="preserve">в соответствии с Федеральным законом от 29.11.2001 № 156-ФЗ </w:t>
      </w:r>
      <w:r>
        <w:rPr>
          <w:rFonts w:ascii="Times New Roman" w:hAnsi="Times New Roman" w:eastAsia="Times New Roman"/>
          <w:bCs/>
          <w:iCs/>
          <w:sz w:val="18"/>
          <w:szCs w:val="18"/>
          <w:highlight w:val="none"/>
          <w:lang w:eastAsia="ru-RU"/>
        </w:rPr>
        <w:t xml:space="preserve">«Об инвестиционных фондах»</w:t>
      </w: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 или </w:t>
      </w:r>
      <w:r>
        <w:rPr>
          <w:rFonts w:eastAsia="Calibri"/>
          <w:color w:val="000000"/>
          <w:sz w:val="18"/>
          <w:szCs w:val="18"/>
          <w:lang w:eastAsia="en-US"/>
        </w:rPr>
        <w:t xml:space="preserve">Федеральным законом </w:t>
      </w:r>
      <w:r>
        <w:rPr>
          <w:sz w:val="18"/>
          <w:szCs w:val="18"/>
        </w:rPr>
        <w:t xml:space="preserve">от 07.05.1998 №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75-ФЗ «О негосударственных пенсионных фондах»,</w:t>
      </w: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 </w:t>
      </w: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.</w:t>
      </w:r>
      <w:r>
        <w:rPr>
          <w:rFonts w:eastAsia="Calibri"/>
          <w:color w:val="000000"/>
          <w:sz w:val="18"/>
          <w:szCs w:val="18"/>
          <w:lang w:eastAsia="en-US"/>
        </w:rPr>
        <w:t xml:space="preserve">.</w:t>
      </w:r>
      <w:r>
        <w:rPr>
          <w:rFonts w:eastAsia="Calibri"/>
          <w:color w:val="000000"/>
          <w:sz w:val="16"/>
          <w:szCs w:val="16"/>
          <w:highlight w:val="none"/>
        </w:rPr>
      </w:r>
      <w:r>
        <w:rPr>
          <w:rFonts w:eastAsia="Calibri"/>
          <w:color w:val="000000"/>
          <w:sz w:val="16"/>
          <w:szCs w:val="16"/>
          <w:highlight w:val="non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eastAsia="Calibri"/>
          <w:color w:val="000000"/>
          <w:sz w:val="18"/>
          <w:szCs w:val="18"/>
          <w:highlight w:val="none"/>
        </w:rPr>
      </w:pPr>
      <w:r>
        <w:rPr>
          <w:rFonts w:eastAsia="Calibri"/>
          <w:color w:val="000000"/>
          <w:sz w:val="18"/>
          <w:szCs w:val="18"/>
          <w:highlight w:val="none"/>
        </w:rPr>
      </w:r>
      <w:r>
        <w:rPr>
          <w:rFonts w:eastAsia="Calibri"/>
          <w:color w:val="000000"/>
          <w:sz w:val="18"/>
          <w:szCs w:val="18"/>
          <w:highlight w:val="none"/>
        </w:rPr>
      </w:r>
      <w:r>
        <w:rPr>
          <w:rFonts w:eastAsia="Calibri"/>
          <w:color w:val="000000"/>
          <w:sz w:val="18"/>
          <w:szCs w:val="18"/>
          <w:highlight w:val="none"/>
        </w:rPr>
      </w:r>
    </w:p>
    <w:p>
      <w:pPr>
        <w:ind w:left="0" w:right="0" w:firstLine="0"/>
        <w:jc w:val="both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eastAsia="Calibri"/>
          <w:color w:val="000000"/>
          <w:sz w:val="22"/>
          <w:szCs w:val="22"/>
          <w:highlight w:val="none"/>
        </w:rPr>
      </w:pP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5. </w:t>
      </w: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b w:val="0"/>
          <w:bCs w:val="0"/>
          <w:iCs/>
          <w:sz w:val="18"/>
          <w:szCs w:val="18"/>
          <w:highlight w:val="none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b w:val="0"/>
          <w:bCs w:val="0"/>
          <w:sz w:val="18"/>
          <w:szCs w:val="18"/>
          <w:highlight w:val="none"/>
        </w:rPr>
        <w:t xml:space="preserve"> Условиями </w:t>
      </w:r>
      <w:r>
        <w:rPr>
          <w:b w:val="0"/>
          <w:bCs w:val="0"/>
          <w:iCs/>
          <w:sz w:val="18"/>
          <w:szCs w:val="18"/>
          <w:highlight w:val="none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b w:val="0"/>
          <w:bCs w:val="0"/>
          <w:sz w:val="18"/>
          <w:szCs w:val="18"/>
          <w:highlight w:val="none"/>
        </w:rPr>
        <w:t xml:space="preserve">в рамках Единого сервисного договора</w:t>
      </w:r>
      <w:r>
        <w:rPr>
          <w:b w:val="0"/>
          <w:bCs w:val="0"/>
          <w:sz w:val="18"/>
          <w:szCs w:val="18"/>
          <w:highlight w:val="none"/>
        </w:rPr>
        <w:t xml:space="preserve"> (Приложение 2.2 к </w:t>
      </w:r>
      <w:r>
        <w:rPr>
          <w:b w:val="0"/>
          <w:bCs w:val="0"/>
          <w:color w:val="000000"/>
          <w:sz w:val="18"/>
          <w:szCs w:val="18"/>
          <w:highlight w:val="none"/>
        </w:rPr>
        <w:t xml:space="preserve">к Единому сер</w:t>
      </w:r>
      <w:r>
        <w:rPr>
          <w:b w:val="0"/>
          <w:bCs w:val="0"/>
          <w:color w:val="000000"/>
          <w:sz w:val="18"/>
          <w:szCs w:val="18"/>
          <w:highlight w:val="none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b w:val="0"/>
          <w:bCs w:val="0"/>
          <w:color w:val="000000"/>
          <w:sz w:val="18"/>
          <w:szCs w:val="18"/>
          <w:highlight w:val="none"/>
        </w:rPr>
        <w:t xml:space="preserve">ации частной практикой, в АО «Россельхозбанк»</w:t>
      </w:r>
      <w:r>
        <w:rPr>
          <w:b w:val="0"/>
          <w:bCs w:val="0"/>
          <w:sz w:val="18"/>
          <w:szCs w:val="18"/>
          <w:highlight w:val="none"/>
        </w:rPr>
        <w:t xml:space="preserve">).</w:t>
      </w:r>
      <w:r>
        <w:rPr>
          <w:rFonts w:ascii="Times New Roman" w:hAnsi="Times New Roman" w:eastAsia="Times New Roman"/>
          <w:bCs/>
          <w:iCs/>
          <w:sz w:val="18"/>
          <w:szCs w:val="18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».</w:t>
      </w:r>
      <w:r>
        <w:rPr>
          <w:rFonts w:eastAsia="Calibri"/>
          <w:color w:val="000000"/>
          <w:sz w:val="22"/>
          <w:szCs w:val="22"/>
          <w:highlight w:val="none"/>
        </w:rPr>
      </w:r>
      <w:r>
        <w:rPr>
          <w:rFonts w:eastAsia="Calibri"/>
          <w:color w:val="000000"/>
          <w:sz w:val="22"/>
          <w:szCs w:val="22"/>
          <w:highlight w:val="none"/>
        </w:rPr>
      </w:r>
    </w:p>
    <w:p>
      <w:pPr>
        <w:ind w:left="142" w:firstLine="567"/>
        <w:jc w:val="both"/>
        <w:tabs>
          <w:tab w:val="left" w:pos="1134" w:leader="none"/>
        </w:tabs>
        <w:rPr>
          <w:sz w:val="18"/>
          <w:szCs w:val="18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center"/>
        <w:tabs>
          <w:tab w:val="left" w:pos="1272" w:leader="none"/>
        </w:tabs>
        <w:rPr>
          <w:b/>
          <w:sz w:val="16"/>
          <w:szCs w:val="16"/>
          <w:lang w:eastAsia="en-US"/>
        </w:rPr>
      </w:pPr>
      <w:r>
        <w:rPr>
          <w:b/>
          <w:sz w:val="16"/>
          <w:szCs w:val="16"/>
          <w:lang w:eastAsia="en-US"/>
        </w:rPr>
      </w:r>
      <w:r>
        <w:rPr>
          <w:b/>
          <w:sz w:val="16"/>
          <w:szCs w:val="16"/>
          <w:lang w:eastAsia="en-US"/>
        </w:rPr>
      </w:r>
      <w:r>
        <w:rPr>
          <w:b/>
          <w:sz w:val="16"/>
          <w:szCs w:val="16"/>
          <w:lang w:eastAsia="en-US"/>
        </w:rPr>
      </w:r>
    </w:p>
    <w:p>
      <w:pPr>
        <w:jc w:val="center"/>
        <w:tabs>
          <w:tab w:val="left" w:pos="1272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pStyle w:val="1087"/>
        <w:rPr>
          <w:lang w:eastAsia="en-US"/>
        </w:rPr>
      </w:pPr>
      <w:r/>
      <w:bookmarkStart w:id="5" w:name="_Toc5"/>
      <w:r>
        <w:rPr>
          <w:lang w:eastAsia="en-US"/>
        </w:rPr>
        <w:t xml:space="preserve">8. Хранение ценностей клиентов в хранилище ценностей Банка</w:t>
      </w:r>
      <w:r>
        <w:rPr>
          <w:lang w:eastAsia="en-US"/>
        </w:rPr>
        <w:t xml:space="preserve"> </w:t>
      </w:r>
      <w:r>
        <w:rPr>
          <w:lang w:eastAsia="en-US"/>
        </w:rPr>
        <w:t xml:space="preserve">(с учетом НДС)</w:t>
      </w:r>
      <w:r/>
      <w:bookmarkEnd w:id="5"/>
      <w:r/>
      <w:r>
        <w:rPr>
          <w:lang w:eastAsia="en-US"/>
        </w:rPr>
      </w:r>
    </w:p>
    <w:p>
      <w:pPr>
        <w:jc w:val="center"/>
        <w:tabs>
          <w:tab w:val="left" w:pos="1272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 в долл. США в месяц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места до 40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tabs>
          <w:tab w:val="left" w:pos="1272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712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pStyle w:val="1087"/>
        <w:rPr>
          <w:lang w:eastAsia="en-US"/>
        </w:rPr>
      </w:pPr>
      <w:r/>
      <w:bookmarkStart w:id="6" w:name="_Toc6"/>
      <w:r>
        <w:rPr>
          <w:lang w:eastAsia="en-US"/>
        </w:rPr>
        <w:t xml:space="preserve">9. Аренда клиентами индивидуальных сейфовых ячеек</w:t>
      </w:r>
      <w:r/>
      <w:bookmarkEnd w:id="6"/>
      <w:r/>
      <w:r>
        <w:rPr>
          <w:lang w:eastAsia="en-US"/>
        </w:rPr>
      </w:r>
    </w:p>
    <w:p>
      <w:pPr>
        <w:jc w:val="center"/>
        <w:tabs>
          <w:tab w:val="left" w:pos="2712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tbl>
      <w:tblPr>
        <w:tblW w:w="5098" w:type="pct"/>
        <w:tblLook w:val="04A0" w:firstRow="1" w:lastRow="0" w:firstColumn="1" w:lastColumn="0" w:noHBand="0" w:noVBand="1"/>
      </w:tblPr>
      <w:tblGrid>
        <w:gridCol w:w="792"/>
        <w:gridCol w:w="3840"/>
        <w:gridCol w:w="2178"/>
        <w:gridCol w:w="3562"/>
      </w:tblGrid>
      <w:tr>
        <w:tblPrEx/>
        <w:trPr>
          <w:trHeight w:val="152"/>
          <w:tblHeader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vAlign w:val="bottom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8" w:space="0"/>
            </w:tcBorders>
            <w:tcW w:w="1717" w:type="pct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color w:val="000000"/>
                <w:sz w:val="20"/>
                <w:szCs w:val="20"/>
              </w:rPr>
              <w:br/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9.1.1.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не предоставляется.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50 до 74 (по высоте, мм)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9.1.2.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75 до 124 (по высоте, мм)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9.1.3.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Услуга не предоставляется.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125 до 169 (по высоте, мм)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9.1.4.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170 до 299 (по высоте, мм)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9.1.5.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300 до 515 (по высоте, мм)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2 100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</w:t>
            </w:r>
            <w:r>
              <w:rPr>
                <w:sz w:val="20"/>
                <w:szCs w:val="20"/>
              </w:rPr>
              <w:t xml:space="preserve">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9.1.6.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не предоставляется.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516 (по высоте, мм)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12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9.2.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</w:t>
            </w:r>
            <w:r>
              <w:rPr>
                <w:sz w:val="20"/>
                <w:szCs w:val="20"/>
              </w:rPr>
              <w:t xml:space="preserve">  руб. за каждое посещение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5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</w:t>
            </w: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</w:t>
            </w: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8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9.6.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единицу банковской техники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jc w:val="center"/>
        <w:spacing w:before="120" w:after="12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087"/>
      </w:pPr>
      <w:r/>
      <w:bookmarkStart w:id="7" w:name="_Toc7"/>
      <w:r>
        <w:t xml:space="preserve">10. Услуги инкассации</w:t>
      </w:r>
      <w:r/>
      <w:bookmarkEnd w:id="7"/>
      <w:r/>
      <w:r/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9"/>
        <w:gridCol w:w="3809"/>
        <w:gridCol w:w="2428"/>
        <w:gridCol w:w="297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(включительно),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0 руб.;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0,10%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  <w:br/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0,05% </w:t>
            </w:r>
            <w:r>
              <w:rPr>
                <w:sz w:val="20"/>
                <w:szCs w:val="20"/>
              </w:rPr>
              <w:br/>
              <w:t xml:space="preserve">от суммы с 5 000 000,01** руб. </w:t>
            </w:r>
            <w:r>
              <w:rPr>
                <w:sz w:val="20"/>
                <w:szCs w:val="20"/>
              </w:rPr>
              <w:br/>
              <w:t xml:space="preserve">и выше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left="-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</w:t>
            </w:r>
            <w:r>
              <w:rPr>
                <w:bCs/>
                <w:sz w:val="20"/>
                <w:szCs w:val="20"/>
              </w:rPr>
              <w:t xml:space="preserve">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0,2%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               от суммы денежной наличности, поступившей по одному сопроводительному документу».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34" w:hanging="34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sz w:val="18"/>
          <w:szCs w:val="18"/>
          <w:u w:val="single"/>
        </w:rPr>
      </w:pPr>
      <w:r>
        <w:rPr>
          <w:bCs/>
          <w:sz w:val="18"/>
          <w:szCs w:val="18"/>
          <w:u w:val="single"/>
        </w:rPr>
      </w:r>
      <w:r>
        <w:rPr>
          <w:bCs/>
          <w:sz w:val="18"/>
          <w:szCs w:val="18"/>
          <w:u w:val="single"/>
        </w:rPr>
      </w:r>
      <w:r>
        <w:rPr>
          <w:bCs/>
          <w:sz w:val="18"/>
          <w:szCs w:val="18"/>
          <w:u w:val="single"/>
        </w:rPr>
      </w:r>
    </w:p>
    <w:p>
      <w:pPr>
        <w:jc w:val="both"/>
        <w:rPr>
          <w:bCs/>
          <w:sz w:val="18"/>
          <w:szCs w:val="18"/>
          <w:u w:val="single"/>
        </w:rPr>
      </w:pPr>
      <w:r>
        <w:rPr>
          <w:bCs/>
          <w:sz w:val="18"/>
          <w:szCs w:val="18"/>
          <w:u w:val="single"/>
        </w:rPr>
      </w:r>
      <w:r>
        <w:rPr>
          <w:bCs/>
          <w:sz w:val="18"/>
          <w:szCs w:val="18"/>
          <w:u w:val="single"/>
        </w:rPr>
      </w:r>
      <w:r>
        <w:rPr>
          <w:bCs/>
          <w:sz w:val="18"/>
          <w:szCs w:val="18"/>
          <w:u w:val="single"/>
        </w:rPr>
      </w:r>
    </w:p>
    <w:p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  <w:u w:val="single"/>
        </w:rPr>
        <w:t xml:space="preserve">Примечание</w:t>
      </w:r>
      <w:r>
        <w:rPr>
          <w:bCs/>
          <w:sz w:val="18"/>
          <w:szCs w:val="18"/>
        </w:rPr>
        <w:t xml:space="preserve">: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* </w:t>
      </w:r>
      <w:r>
        <w:rPr>
          <w:bCs/>
          <w:sz w:val="18"/>
          <w:szCs w:val="18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tabs>
          <w:tab w:val="left" w:pos="1276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*** </w:t>
      </w:r>
      <w:r>
        <w:rPr>
          <w:b/>
          <w:sz w:val="18"/>
          <w:szCs w:val="18"/>
        </w:rPr>
        <w:t xml:space="preserve">Заезд</w:t>
      </w:r>
      <w:r>
        <w:rPr>
          <w:sz w:val="18"/>
          <w:szCs w:val="18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color w:val="000000"/>
          <w:sz w:val="18"/>
          <w:szCs w:val="18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**** </w:t>
      </w:r>
      <w:r>
        <w:rPr>
          <w:b/>
          <w:sz w:val="18"/>
          <w:szCs w:val="18"/>
        </w:rPr>
        <w:t xml:space="preserve">Объект инкассации</w:t>
      </w:r>
      <w:r>
        <w:rPr>
          <w:sz w:val="18"/>
          <w:szCs w:val="18"/>
        </w:rPr>
        <w:t xml:space="preserve"> – </w:t>
      </w:r>
      <w:r>
        <w:rPr>
          <w:color w:val="000000"/>
          <w:sz w:val="18"/>
          <w:szCs w:val="18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терминал.».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087"/>
      </w:pPr>
      <w:r/>
      <w:bookmarkStart w:id="8" w:name="_Toc8"/>
      <w:r>
        <w:t xml:space="preserve">11. Операции по покупке-продаже иностранной валюты</w:t>
      </w:r>
      <w:r>
        <w:rPr>
          <w:rStyle w:val="1109"/>
          <w:b/>
        </w:rPr>
        <w:t xml:space="preserve">1</w:t>
      </w:r>
      <w:r/>
      <w:bookmarkEnd w:id="8"/>
      <w:r/>
      <w:r/>
    </w:p>
    <w:p>
      <w:pPr>
        <w:jc w:val="center"/>
        <w:tabs>
          <w:tab w:val="left" w:pos="2188" w:leader="none"/>
        </w:tabs>
      </w:pPr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701"/>
        <w:gridCol w:w="1842"/>
      </w:tblGrid>
      <w:tr>
        <w:tblPrEx/>
        <w:trPr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 % от суммы 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11.1.Продажа иностранной валюты клиентом за российские рубли*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  <w:szCs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  <w:szCs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r>
              <w:rPr>
                <w:i/>
                <w:sz w:val="16"/>
                <w:szCs w:val="16"/>
              </w:rPr>
              <w:t xml:space="preserve">* Операции по обязательной продаже части валютной выручки на внутреннем валютном рынке Российской Федерации осуществляются Банком по правилам п. 11.1 настоящих Тарифов с учетом требований нормативных документов ЦБ РФ.</w:t>
            </w:r>
            <w:r/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11.2.Покупка иностранной валюты клиентом за российские 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0"/>
                <w:szCs w:val="20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0"/>
                <w:szCs w:val="20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sz w:val="18"/>
          <w:szCs w:val="16"/>
          <w:u w:val="single"/>
        </w:rPr>
      </w:pPr>
      <w:r>
        <w:rPr>
          <w:sz w:val="18"/>
          <w:szCs w:val="16"/>
          <w:u w:val="single"/>
        </w:rPr>
        <w:t xml:space="preserve">Примечания: </w:t>
      </w:r>
      <w:r>
        <w:rPr>
          <w:sz w:val="18"/>
          <w:szCs w:val="16"/>
          <w:u w:val="single"/>
        </w:rPr>
      </w:r>
      <w:r>
        <w:rPr>
          <w:sz w:val="18"/>
          <w:szCs w:val="16"/>
          <w:u w:val="single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1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2 Банк имеет право изменять Курс(ы) Банка и/или размер расчетной комиссии в течение дня. 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3 При совершении Банком операций, указанных в </w:t>
      </w:r>
      <w:r>
        <w:rPr>
          <w:sz w:val="18"/>
          <w:szCs w:val="16"/>
        </w:rPr>
        <w:t xml:space="preserve">п.п</w:t>
      </w:r>
      <w:r>
        <w:rPr>
          <w:sz w:val="18"/>
          <w:szCs w:val="16"/>
        </w:rPr>
        <w:t xml:space="preserve">. 11.1.1, 11.1.2, 11.2.1 и 11.2.2, Курс Банка и/или размер расчетной комиссии, действующий(</w:t>
      </w:r>
      <w:r>
        <w:rPr>
          <w:sz w:val="18"/>
          <w:szCs w:val="16"/>
        </w:rPr>
        <w:t xml:space="preserve">ие</w:t>
      </w:r>
      <w:r>
        <w:rPr>
          <w:sz w:val="18"/>
          <w:szCs w:val="16"/>
        </w:rPr>
        <w:t xml:space="preserve">) на дату и время совершения операции, сообщаются клиенту после приема Банком к исполнению распоряжения/заявки.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087"/>
        <w:rPr>
          <w:lang w:eastAsia="en-US"/>
        </w:rPr>
      </w:pPr>
      <w:r/>
      <w:bookmarkStart w:id="9" w:name="_Toc9"/>
      <w:r>
        <w:rPr>
          <w:lang w:eastAsia="en-US"/>
        </w:rPr>
        <w:t xml:space="preserve">12.Кредитные операции</w:t>
      </w:r>
      <w:r/>
      <w:bookmarkEnd w:id="9"/>
      <w:r/>
      <w:r>
        <w:rPr>
          <w:lang w:eastAsia="en-US"/>
        </w:rPr>
      </w:r>
    </w:p>
    <w:p>
      <w:pPr>
        <w:jc w:val="center"/>
        <w:keepNext/>
        <w:spacing w:before="120" w:after="40"/>
        <w:rPr>
          <w:b/>
          <w:bCs/>
        </w:rPr>
        <w:outlineLvl w:val="4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686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12.1.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 w:after="40"/>
            </w:pPr>
            <w: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</w:pPr>
            <w:r>
              <w:t xml:space="preserve">Не менее 0,8%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</w:pPr>
            <w: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/>
          </w:p>
          <w:p>
            <w:pPr>
              <w:jc w:val="both"/>
              <w:spacing w:before="40" w:after="40"/>
            </w:pPr>
            <w: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менее 0,1%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кредитного продукта «</w:t>
            </w:r>
            <w:r>
              <w:t xml:space="preserve">Агростарт</w:t>
            </w:r>
            <w:r>
              <w:t xml:space="preserve">» в соответствии с Положением о кредитовании АО «Россельхозбанк» начинающих фермеров № 423-П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</w:t>
            </w:r>
            <w:r>
              <w:rPr>
                <w:bCs/>
              </w:rPr>
              <w:t xml:space="preserve">Положения о предоставлении кредитов «Оборотный – стандарт» № 495-П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</w:rPr>
              <w:br/>
            </w:r>
            <w:r>
              <w:t xml:space="preserve">№ 540-П на период </w:t>
            </w:r>
            <w:r>
              <w:rPr>
                <w:bCs/>
              </w:rPr>
              <w:t xml:space="preserve">действия льготных условий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br/>
              <w:t xml:space="preserve">АО «МСП Банк» № 547-П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2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кредитных продуктов «</w:t>
            </w:r>
            <w:r>
              <w:rPr>
                <w:bCs/>
              </w:rPr>
              <w:t xml:space="preserve">АПК_Инвест</w:t>
            </w:r>
            <w:r>
              <w:rPr>
                <w:bCs/>
              </w:rPr>
              <w:t xml:space="preserve">» и «</w:t>
            </w:r>
            <w:r>
              <w:rPr>
                <w:bCs/>
              </w:rPr>
              <w:t xml:space="preserve">Микро_АПК</w:t>
            </w:r>
            <w:r>
              <w:rPr>
                <w:bCs/>
              </w:rPr>
              <w:t xml:space="preserve">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</w:t>
            </w:r>
            <w:r>
              <w:rPr>
                <w:bCs/>
              </w:rPr>
              <w:t xml:space="preserve">ный </w:t>
            </w:r>
            <w:r>
              <w:rPr>
                <w:bCs/>
              </w:rPr>
              <w:t xml:space="preserve">Рефинанс</w:t>
            </w:r>
            <w:r>
              <w:rPr>
                <w:bCs/>
              </w:rPr>
              <w:t xml:space="preserve">», </w:t>
            </w:r>
            <w:r>
              <w:rPr>
                <w:bCs/>
              </w:rPr>
              <w:t xml:space="preserve">  «Оборотный-стандарт </w:t>
            </w:r>
            <w:r>
              <w:rPr>
                <w:bCs/>
              </w:rPr>
              <w:t xml:space="preserve">Рефинанс</w:t>
            </w:r>
            <w:r>
              <w:rPr>
                <w:bCs/>
              </w:rPr>
              <w:t xml:space="preserve">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№ 738-П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 </w:t>
            </w:r>
            <w:r/>
          </w:p>
          <w:p>
            <w:pPr>
              <w:ind w:left="74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12.2.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/>
            </w:pPr>
            <w:r>
              <w:t xml:space="preserve">Обслуживание кредита, кредитной линии и кредита в форме «овердрафт» в течение всего периода действия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</w:pPr>
            <w:r>
              <w:t xml:space="preserve">Не менее 0,5% годовых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</w:pPr>
            <w:r>
              <w:t xml:space="preserve">Комиссия начисляется и уплачивается в порядке, предусмотренном для упл</w:t>
            </w:r>
            <w: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кредитного продукта «</w:t>
            </w:r>
            <w:r>
              <w:t xml:space="preserve">Агростарт</w:t>
            </w:r>
            <w:r>
              <w:t xml:space="preserve">» в соответствии с Положением о кредитовании АО «Россельхозбанк» начинающих фермеров № 423-П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lang w:val="en-US"/>
              </w:rPr>
            </w:pPr>
            <w:r>
              <w:t xml:space="preserve">Не взимается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</w:t>
            </w:r>
            <w:r>
              <w:rPr>
                <w:bCs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с использованием связанного финансирования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</w:pPr>
            <w:r>
              <w:rPr>
                <w:bCs/>
              </w:rP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</w:t>
            </w:r>
            <w:r>
              <w:rPr>
                <w:bCs/>
              </w:rPr>
              <w:t xml:space="preserve">Положения о предоставлении кредитов «Оборотный – стандарт» № 495-П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</w:rPr>
              <w:br/>
            </w:r>
            <w:r>
              <w:t xml:space="preserve">№ 540-П на период </w:t>
            </w:r>
            <w:r>
              <w:rPr>
                <w:bCs/>
              </w:rPr>
              <w:t xml:space="preserve">действия льготных условий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br/>
              <w:t xml:space="preserve">АО «МСП Банк» № 547-П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2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кредитных продуктов «</w:t>
            </w:r>
            <w:r>
              <w:rPr>
                <w:bCs/>
              </w:rPr>
              <w:t xml:space="preserve">АПК_Инвест</w:t>
            </w:r>
            <w:r>
              <w:rPr>
                <w:bCs/>
              </w:rPr>
              <w:t xml:space="preserve">» и «</w:t>
            </w:r>
            <w:r>
              <w:rPr>
                <w:bCs/>
              </w:rPr>
              <w:t xml:space="preserve">Микро_АПК</w:t>
            </w:r>
            <w:r>
              <w:rPr>
                <w:bCs/>
              </w:rPr>
              <w:t xml:space="preserve">» в соответствии с Положением о кредитовании клиентов микробизнеса в АО «Россельхозбанк» № 656-П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кредитов, предоставленных сторонними кредитными организациями № 376-П в рамках кредитных про</w:t>
            </w:r>
            <w:r>
              <w:rPr>
                <w:bCs/>
              </w:rPr>
              <w:t xml:space="preserve">дуктов «Сезонный  </w:t>
            </w:r>
            <w:r>
              <w:rPr>
                <w:bCs/>
              </w:rPr>
              <w:t xml:space="preserve">Рефинанс</w:t>
            </w:r>
            <w:r>
              <w:rPr>
                <w:bCs/>
              </w:rPr>
              <w:t xml:space="preserve">», </w:t>
            </w:r>
            <w:r>
              <w:rPr>
                <w:bCs/>
              </w:rPr>
              <w:t xml:space="preserve"> «Оборотный-стандарт </w:t>
            </w:r>
            <w:r>
              <w:rPr>
                <w:bCs/>
              </w:rPr>
              <w:t xml:space="preserve">Рефинанс</w:t>
            </w:r>
            <w:r>
              <w:rPr>
                <w:bCs/>
              </w:rPr>
              <w:t xml:space="preserve">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br/>
            </w:r>
            <w:r>
              <w:t xml:space="preserve">АО «Россельхозбанк» № 738-П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sz w:val="22"/>
                <w:szCs w:val="22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rPr>
                <w:bCs/>
              </w:rPr>
              <w:t xml:space="preserve">12.3.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09"/>
                <w:sz w:val="22"/>
                <w:szCs w:val="22"/>
              </w:rPr>
              <w:footnoteReference w:id="2"/>
            </w:r>
            <w:r>
              <w:rPr>
                <w:sz w:val="22"/>
                <w:szCs w:val="22"/>
              </w:rPr>
              <w:t xml:space="preserve"> со дня, следующего за: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10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10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наличии отлагательных условий выдачи кредитных средств: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14"/>
              <w:numPr>
                <w:ilvl w:val="0"/>
                <w:numId w:val="10"/>
              </w:numPr>
              <w:ind w:left="0" w:firstLine="0"/>
              <w:jc w:val="both"/>
              <w:tabs>
                <w:tab w:val="left" w:pos="306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датой выполнения отлагательных условий </w:t>
            </w:r>
            <w:r>
              <w:rPr>
                <w:bCs/>
                <w:sz w:val="22"/>
                <w:szCs w:val="22"/>
              </w:rPr>
              <w:t xml:space="preserve">выдачи кредита/ транша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предусмотренном договором.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по договору об открытии кредитной линии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договоренности сторон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- в форме «овердрафт» 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договоренности сторон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2"/>
                <w:szCs w:val="22"/>
              </w:rPr>
              <w:br/>
              <w:t xml:space="preserve">АО «Россельхозбанк» № 738-П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с использованием связанного финансирования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2"/>
                <w:szCs w:val="22"/>
              </w:rPr>
              <w:br/>
              <w:t xml:space="preserve">АО «МСП Банк» № 547-П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2"/>
                <w:szCs w:val="22"/>
              </w:rPr>
              <w:br/>
              <w:t xml:space="preserve">№ 598-П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2"/>
                <w:szCs w:val="22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109"/>
                <w:bCs/>
                <w:sz w:val="22"/>
                <w:szCs w:val="22"/>
              </w:rPr>
              <w:footnoteReference w:id="3"/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«-при кредитовании по договору об открытии кредитной </w:t>
            </w:r>
            <w:r>
              <w:rPr>
                <w:bCs/>
                <w:sz w:val="22"/>
                <w:szCs w:val="22"/>
              </w:rPr>
              <w:t xml:space="preserve">линии,  заключенному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bCs/>
                <w:sz w:val="22"/>
                <w:szCs w:val="22"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1% годовых»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t xml:space="preserve">12.4.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срока(</w:t>
            </w:r>
            <w:r>
              <w:rPr>
                <w:sz w:val="22"/>
                <w:szCs w:val="22"/>
              </w:rPr>
              <w:t xml:space="preserve">ов</w:t>
            </w:r>
            <w:r>
              <w:rPr>
                <w:sz w:val="22"/>
                <w:szCs w:val="22"/>
              </w:rPr>
              <w:t xml:space="preserve">) возврата кредита (основного долга) по инициативе заемщика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изменении: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промежуточного (</w:t>
            </w:r>
            <w:r>
              <w:rPr>
                <w:sz w:val="22"/>
                <w:szCs w:val="22"/>
              </w:rPr>
              <w:t xml:space="preserve">ых</w:t>
            </w:r>
            <w:r>
              <w:rPr>
                <w:sz w:val="22"/>
                <w:szCs w:val="22"/>
              </w:rPr>
              <w:t xml:space="preserve">) срока(</w:t>
            </w:r>
            <w:r>
              <w:rPr>
                <w:sz w:val="22"/>
                <w:szCs w:val="22"/>
              </w:rPr>
              <w:t xml:space="preserve">ов</w:t>
            </w:r>
            <w:r>
              <w:rPr>
                <w:sz w:val="22"/>
                <w:szCs w:val="22"/>
              </w:rPr>
              <w:t xml:space="preserve">) возврата кредита: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 календарных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0,15%;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6 до 30 календарных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0,35%;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31 до 60 календарных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0,7%;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60 календарных дней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br/>
              <w:t xml:space="preserve">АО «МСП Банк» № 547-П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br/>
            </w:r>
            <w:r>
              <w:t xml:space="preserve">№ 540-П</w:t>
            </w:r>
            <w:r>
              <w:t xml:space="preserve"> </w:t>
            </w:r>
            <w:r>
              <w:rPr>
                <w:bCs/>
              </w:rPr>
              <w:t xml:space="preserve">на период действия льготных условий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rPr>
                <w:bCs/>
              </w:rP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 </w:t>
            </w:r>
            <w:r>
              <w:rPr>
                <w:bCs/>
              </w:rPr>
              <w:t xml:space="preserve">на период действия льготной/увеличенной льготной ставки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</w:pPr>
            <w:r>
              <w:rPr>
                <w:bCs/>
              </w:rPr>
              <w:t xml:space="preserve">12.</w:t>
            </w:r>
            <w:r>
              <w:rPr>
                <w:bCs/>
                <w:lang w:val="en-US"/>
              </w:rPr>
              <w:t xml:space="preserve">5</w:t>
            </w:r>
            <w:r>
              <w:rPr>
                <w:bCs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</w:rPr>
            </w:pPr>
            <w:r>
              <w:rPr>
                <w:bCs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before="120" w:after="4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При сумме, на которую начисляется комиссия: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до 1 000 000,00 руб. (включительно) </w:t>
            </w:r>
            <w:r>
              <w:rPr>
                <w:bCs/>
              </w:rPr>
              <w:t xml:space="preserve">–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</w:pPr>
            <w:r>
              <w:rPr>
                <w:bCs/>
              </w:rPr>
              <w:t xml:space="preserve">не менее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 xml:space="preserve">1%</w:t>
            </w:r>
            <w:r>
              <w:t xml:space="preserve">;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от 1 000 000,01 до 50 000 000,00 руб. (включительно) </w:t>
            </w:r>
            <w:r>
              <w:rPr>
                <w:bCs/>
              </w:rPr>
              <w:t xml:space="preserve">–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</w:pPr>
            <w:r>
              <w:rPr>
                <w:bCs/>
              </w:rPr>
              <w:t xml:space="preserve">не менее</w:t>
            </w:r>
            <w:r>
              <w:rPr>
                <w:bCs/>
                <w:i/>
              </w:rPr>
              <w:t xml:space="preserve"> </w:t>
            </w:r>
            <w:r>
              <w:t xml:space="preserve">0,8%;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от 50 000 000,01 до 100 000 000,00 руб. (включительно) </w:t>
            </w:r>
            <w:r>
              <w:rPr>
                <w:bCs/>
              </w:rPr>
              <w:t xml:space="preserve">–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</w:pPr>
            <w:r>
              <w:rPr>
                <w:bCs/>
              </w:rPr>
              <w:t xml:space="preserve">не менее</w:t>
            </w:r>
            <w:r>
              <w:rPr>
                <w:bCs/>
                <w:i/>
              </w:rPr>
              <w:t xml:space="preserve"> </w:t>
            </w:r>
            <w:r>
              <w:t xml:space="preserve">0,5%;</w:t>
            </w:r>
            <w:r/>
          </w:p>
          <w:p>
            <w:pPr>
              <w:jc w:val="center"/>
              <w:spacing w:after="40"/>
              <w:rPr>
                <w:bCs/>
              </w:rPr>
            </w:pPr>
            <w:r>
              <w:t xml:space="preserve">свыше 100 000 000,01 руб. </w:t>
            </w:r>
            <w:r>
              <w:rPr>
                <w:bCs/>
              </w:rPr>
              <w:t xml:space="preserve">– не менее</w:t>
            </w:r>
            <w:r>
              <w:rPr>
                <w:bCs/>
                <w:i/>
              </w:rPr>
              <w:t xml:space="preserve"> </w:t>
            </w:r>
            <w:r>
              <w:t xml:space="preserve">0,15%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</w:rPr>
            </w:pPr>
            <w:r>
              <w:rPr>
                <w:bCs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Комиссия уплачивается единовременно в день заключения дополнительного(</w:t>
            </w:r>
            <w:r>
              <w:rPr>
                <w:bCs/>
              </w:rPr>
              <w:t xml:space="preserve">ых</w:t>
            </w:r>
            <w:r>
              <w:rPr>
                <w:bCs/>
              </w:rPr>
              <w:t xml:space="preserve">) соглашения(</w:t>
            </w:r>
            <w:r>
              <w:rPr>
                <w:bCs/>
              </w:rPr>
              <w:t xml:space="preserve">ий</w:t>
            </w:r>
            <w:r>
              <w:rPr>
                <w:bCs/>
              </w:rPr>
              <w:t xml:space="preserve">) об изменении условий действующего кредитного договора (договора об открытии кредитной линии)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before="40" w:after="40"/>
            </w:pPr>
            <w:r>
              <w:rPr>
                <w:bCs/>
              </w:rPr>
              <w:t xml:space="preserve"> 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ind w:left="72"/>
              <w:jc w:val="center"/>
              <w:spacing w:before="4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</w:rPr>
              <w:br/>
            </w:r>
            <w:r>
              <w:t xml:space="preserve">№ 540-П </w:t>
            </w:r>
            <w:r>
              <w:rPr>
                <w:bCs/>
              </w:rPr>
              <w:t xml:space="preserve">на период действия льготных условий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данного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</w:t>
            </w:r>
            <w:r>
              <w:t xml:space="preserve"> </w:t>
            </w:r>
            <w:r>
              <w:rPr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</w:rPr>
            </w:pPr>
            <w:r>
              <w:rPr>
                <w:bCs/>
              </w:rPr>
              <w:t xml:space="preserve">12.6.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</w:t>
            </w:r>
            <w:r>
              <w:rPr>
                <w:sz w:val="20"/>
                <w:szCs w:val="20"/>
              </w:rPr>
              <w:t xml:space="preserve">ами</w:t>
            </w:r>
            <w:r>
              <w:rPr>
                <w:sz w:val="20"/>
                <w:szCs w:val="20"/>
              </w:rPr>
              <w:t xml:space="preserve">), оставшимся(</w:t>
            </w:r>
            <w:r>
              <w:rPr>
                <w:sz w:val="20"/>
                <w:szCs w:val="20"/>
              </w:rPr>
              <w:t xml:space="preserve">ися</w:t>
            </w:r>
            <w:r>
              <w:rPr>
                <w:sz w:val="20"/>
                <w:szCs w:val="20"/>
              </w:rPr>
              <w:t xml:space="preserve">) до погашения в соответствии </w:t>
            </w:r>
            <w:r>
              <w:rPr>
                <w:sz w:val="20"/>
                <w:szCs w:val="20"/>
              </w:rPr>
              <w:br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spacing w:val="-20"/>
                <w:sz w:val="20"/>
                <w:szCs w:val="20"/>
              </w:rPr>
            </w:r>
            <w:r>
              <w:rPr>
                <w:spacing w:val="-20"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</w:rPr>
            </w:pPr>
            <w:r>
              <w:rPr>
                <w:bCs/>
              </w:rPr>
              <w:t xml:space="preserve">12.7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  <w:r>
              <w:rPr>
                <w:sz w:val="20"/>
                <w:szCs w:val="20"/>
                <w:vertAlign w:val="superscript"/>
              </w:rPr>
              <w:t xml:space="preserve">,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  <w:br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по договору об открытии кредитной линии с лимитом выдачи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По договоренности сторон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/>
              <w:t xml:space="preserve">за исключением комиссий, 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</w:t>
            </w:r>
            <w:r>
              <w:rPr>
                <w:sz w:val="20"/>
                <w:szCs w:val="20"/>
              </w:rPr>
              <w:t xml:space="preserve">уктов «Сезонный </w:t>
            </w:r>
            <w:r>
              <w:rPr>
                <w:sz w:val="20"/>
                <w:szCs w:val="20"/>
              </w:rPr>
              <w:t xml:space="preserve">Рефинанс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12.7.2.1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«-при кредитовании в рамках решен</w:t>
            </w:r>
            <w:r>
              <w:rPr>
                <w:bCs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70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более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12.8.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</w:t>
      </w:r>
      <w:r>
        <w:rPr>
          <w:bCs/>
          <w:iCs/>
          <w:sz w:val="20"/>
          <w:szCs w:val="20"/>
        </w:rPr>
        <w:t xml:space="preserve">ов</w:t>
      </w:r>
      <w:r>
        <w:rPr>
          <w:bCs/>
          <w:iCs/>
          <w:sz w:val="20"/>
          <w:szCs w:val="20"/>
        </w:rPr>
        <w:t xml:space="preserve">) комиссии(</w:t>
      </w:r>
      <w:r>
        <w:rPr>
          <w:bCs/>
          <w:iCs/>
          <w:sz w:val="20"/>
          <w:szCs w:val="20"/>
        </w:rPr>
        <w:t xml:space="preserve">ий</w:t>
      </w:r>
      <w:r>
        <w:rPr>
          <w:bCs/>
          <w:iCs/>
          <w:sz w:val="20"/>
          <w:szCs w:val="20"/>
        </w:rPr>
        <w:t xml:space="preserve">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sz w:val="20"/>
        </w:rPr>
      </w:r>
      <w:r>
        <w:rPr>
          <w:sz w:val="20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</w:t>
      </w:r>
      <w:r>
        <w:rPr>
          <w:b/>
          <w:bCs/>
          <w:iCs/>
          <w:sz w:val="20"/>
          <w:szCs w:val="20"/>
          <w:u w:val="single"/>
        </w:rPr>
        <w:t xml:space="preserve">ьготны</w:t>
      </w:r>
      <w:r>
        <w:rPr>
          <w:b/>
          <w:bCs/>
          <w:iCs/>
          <w:sz w:val="20"/>
          <w:szCs w:val="20"/>
          <w:u w:val="single"/>
        </w:rPr>
        <w:t xml:space="preserve">е</w:t>
      </w:r>
      <w:r>
        <w:rPr>
          <w:b/>
          <w:bCs/>
          <w:iCs/>
          <w:sz w:val="20"/>
          <w:szCs w:val="20"/>
          <w:u w:val="single"/>
        </w:rPr>
        <w:t xml:space="preserve"> программ</w:t>
      </w:r>
      <w:r>
        <w:rPr>
          <w:b/>
          <w:bCs/>
          <w:iCs/>
          <w:sz w:val="20"/>
          <w:szCs w:val="20"/>
          <w:u w:val="single"/>
        </w:rPr>
        <w:t xml:space="preserve">ы</w:t>
      </w:r>
      <w:r>
        <w:rPr>
          <w:b/>
          <w:bCs/>
          <w:iCs/>
          <w:sz w:val="20"/>
          <w:szCs w:val="20"/>
          <w:u w:val="single"/>
        </w:rPr>
        <w:t xml:space="preserve">, комиссии по которым не взимаются</w:t>
      </w:r>
      <w:r>
        <w:rPr>
          <w:b/>
          <w:bCs/>
          <w:iCs/>
          <w:sz w:val="20"/>
          <w:szCs w:val="20"/>
          <w:u w:val="single"/>
        </w:rPr>
        <w:t xml:space="preserve"> в соответствии с Перечнями 1-2</w:t>
      </w:r>
      <w:r>
        <w:rPr>
          <w:b/>
          <w:bCs/>
          <w:iCs/>
          <w:sz w:val="20"/>
          <w:szCs w:val="20"/>
          <w:u w:val="single"/>
        </w:rPr>
        <w:t xml:space="preserve">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</w:t>
      </w:r>
      <w:r>
        <w:rPr>
          <w:bCs/>
          <w:iCs/>
          <w:sz w:val="20"/>
          <w:szCs w:val="20"/>
        </w:rPr>
        <w:t xml:space="preserve">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</w:t>
      </w:r>
      <w:r>
        <w:rPr>
          <w:bCs/>
          <w:iCs/>
          <w:sz w:val="20"/>
          <w:szCs w:val="20"/>
        </w:rPr>
        <w:t xml:space="preserve">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</w:t>
      </w:r>
      <w:r>
        <w:rPr>
          <w:bCs/>
          <w:iCs/>
          <w:sz w:val="20"/>
          <w:szCs w:val="20"/>
        </w:rPr>
        <w:t xml:space="preserve"> (далее – ППРФ </w:t>
      </w:r>
      <w:r>
        <w:rPr>
          <w:bCs/>
          <w:iCs/>
          <w:sz w:val="20"/>
          <w:szCs w:val="20"/>
        </w:rPr>
        <w:t xml:space="preserve">от 09.02.2021 № 141</w:t>
      </w:r>
      <w:r>
        <w:rPr>
          <w:bCs/>
          <w:iCs/>
          <w:sz w:val="20"/>
          <w:szCs w:val="20"/>
        </w:rPr>
        <w:t xml:space="preserve">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</w:t>
      </w:r>
      <w:r>
        <w:rPr>
          <w:bCs/>
          <w:iCs/>
          <w:sz w:val="20"/>
          <w:szCs w:val="20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от 05.12.2019 № 1598) </w:t>
      </w:r>
      <w:r>
        <w:rPr>
          <w:bCs/>
          <w:iCs/>
          <w:sz w:val="20"/>
          <w:szCs w:val="20"/>
        </w:rPr>
        <w:t xml:space="preserve">(далее – ППРФ </w:t>
      </w:r>
      <w:r>
        <w:rPr>
          <w:bCs/>
          <w:iCs/>
          <w:sz w:val="20"/>
          <w:szCs w:val="20"/>
        </w:rPr>
        <w:t xml:space="preserve">от 05.12.2019 № 1598</w:t>
      </w:r>
      <w:r>
        <w:rPr>
          <w:bCs/>
          <w:iCs/>
          <w:sz w:val="20"/>
          <w:szCs w:val="20"/>
        </w:rPr>
        <w:t xml:space="preserve">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bCs/>
          <w:iCs/>
          <w:sz w:val="20"/>
          <w:szCs w:val="20"/>
        </w:rPr>
        <w:t xml:space="preserve">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</w:t>
      </w:r>
      <w:r>
        <w:rPr>
          <w:bCs/>
          <w:iCs/>
          <w:sz w:val="20"/>
          <w:szCs w:val="20"/>
        </w:rPr>
        <w:t xml:space="preserve">(далее – ППРФ </w:t>
      </w:r>
      <w:r>
        <w:rPr>
          <w:bCs/>
          <w:iCs/>
          <w:sz w:val="20"/>
          <w:szCs w:val="20"/>
        </w:rPr>
        <w:t xml:space="preserve">от 30.12.2017 № 1706</w:t>
      </w:r>
      <w:r>
        <w:rPr>
          <w:bCs/>
          <w:iCs/>
          <w:sz w:val="20"/>
          <w:szCs w:val="20"/>
        </w:rPr>
        <w:t xml:space="preserve">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</w:t>
      </w:r>
      <w:r>
        <w:rPr>
          <w:bCs/>
          <w:iCs/>
          <w:sz w:val="20"/>
          <w:szCs w:val="20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bCs/>
          <w:iCs/>
          <w:sz w:val="20"/>
          <w:szCs w:val="20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(утв. постановлением Правительства Российской Федерации от 29.12.2016 № 1528) (далее – ППРФ от 29.12.2016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№ 1528)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</w:t>
      </w:r>
      <w:r>
        <w:rPr>
          <w:bCs/>
          <w:iCs/>
          <w:sz w:val="20"/>
          <w:szCs w:val="20"/>
        </w:rPr>
        <w:t xml:space="preserve">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№ 1764)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pStyle w:val="1114"/>
        <w:contextualSpacing w:val="0"/>
        <w:ind w:left="0" w:firstLine="426"/>
        <w:jc w:val="both"/>
        <w:spacing w:after="120"/>
        <w:tabs>
          <w:tab w:val="left" w:pos="1134" w:leader="none"/>
        </w:tabs>
        <w:rPr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sz w:val="20"/>
          <w:szCs w:val="20"/>
        </w:rPr>
        <w:t xml:space="preserve">«на приоб</w:t>
      </w:r>
      <w:r>
        <w:rPr>
          <w:sz w:val="20"/>
          <w:szCs w:val="20"/>
        </w:rPr>
        <w:t xml:space="preserve">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1570)».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40"/>
        <w:rPr>
          <w:rFonts w:eastAsia="Calibri"/>
          <w:sz w:val="20"/>
          <w:szCs w:val="20"/>
          <w:lang w:eastAsia="en-US"/>
        </w:rPr>
        <w:outlineLvl w:val="5"/>
      </w:pPr>
      <w:r>
        <w:rPr>
          <w:rFonts w:eastAsia="Calibri"/>
          <w:sz w:val="20"/>
          <w:szCs w:val="20"/>
          <w:lang w:eastAsia="en-US"/>
        </w:rPr>
        <w:t xml:space="preserve">«- при кредитовании в рамках решения Министерства сельского хозяйства Российской Федерации о порядке предо</w:t>
      </w:r>
      <w:r>
        <w:rPr>
          <w:rFonts w:eastAsia="Calibri"/>
          <w:sz w:val="20"/>
          <w:szCs w:val="20"/>
          <w:lang w:eastAsia="en-US"/>
        </w:rPr>
        <w:t xml:space="preserve">ставления субсидии </w:t>
      </w:r>
      <w:r>
        <w:rPr>
          <w:rFonts w:eastAsia="Calibri"/>
          <w:sz w:val="20"/>
          <w:szCs w:val="20"/>
          <w:lang w:eastAsia="en-US"/>
        </w:rPr>
        <w:t xml:space="preserve"> № 22-68850-00258-Р «Возмещение недополученных российскими кредитными организаци</w:t>
      </w:r>
      <w:r>
        <w:rPr>
          <w:rFonts w:eastAsia="Calibri"/>
          <w:sz w:val="20"/>
          <w:szCs w:val="20"/>
          <w:lang w:eastAsia="en-US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eastAsia="Calibri"/>
          <w:sz w:val="20"/>
          <w:szCs w:val="20"/>
          <w:lang w:eastAsia="en-US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</w:t>
      </w:r>
      <w:r>
        <w:rPr>
          <w:rFonts w:eastAsia="Calibri"/>
          <w:sz w:val="20"/>
          <w:szCs w:val="20"/>
          <w:lang w:eastAsia="en-US"/>
        </w:rPr>
        <w:t xml:space="preserve"> реализацию, по льготной ставке </w:t>
      </w:r>
      <w:r>
        <w:rPr>
          <w:rFonts w:eastAsia="Calibri"/>
          <w:sz w:val="20"/>
          <w:szCs w:val="20"/>
          <w:lang w:eastAsia="en-US"/>
        </w:rPr>
        <w:t xml:space="preserve">-</w:t>
      </w:r>
      <w:r>
        <w:rPr>
          <w:rFonts w:eastAsia="Calibri"/>
          <w:sz w:val="20"/>
          <w:szCs w:val="20"/>
          <w:lang w:eastAsia="en-US"/>
        </w:rPr>
        <w:t xml:space="preserve">Решение №258-Р»</w:t>
      </w:r>
      <w:r>
        <w:rPr>
          <w:rFonts w:eastAsia="Calibri"/>
          <w:sz w:val="20"/>
          <w:szCs w:val="20"/>
          <w:lang w:eastAsia="en-US"/>
        </w:rPr>
        <w:t xml:space="preserve">, принятого в соответствии с постановлением Правительства Российской Федерации от 25.10.2023 № 1780 «Об утверждении Правил предоставл</w:t>
      </w:r>
      <w:r>
        <w:rPr>
          <w:rFonts w:eastAsia="Calibri"/>
          <w:sz w:val="20"/>
          <w:szCs w:val="20"/>
          <w:lang w:eastAsia="en-US"/>
        </w:rPr>
        <w:t xml:space="preserve">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spacing w:before="40" w:after="40"/>
        <w:rPr>
          <w:rFonts w:eastAsia="Calibri"/>
          <w:sz w:val="20"/>
          <w:szCs w:val="20"/>
          <w:lang w:eastAsia="en-US"/>
        </w:rPr>
        <w:outlineLvl w:val="5"/>
      </w:pPr>
      <w:r>
        <w:rPr>
          <w:rFonts w:eastAsia="Calibri"/>
          <w:sz w:val="20"/>
          <w:szCs w:val="20"/>
          <w:lang w:eastAsia="en-US"/>
        </w:rPr>
        <w:t xml:space="preserve">- при кредитовании в рамках решения Министерства сельского хозяйства Российской Федерации о порядке предо</w:t>
      </w:r>
      <w:r>
        <w:rPr>
          <w:rFonts w:eastAsia="Calibri"/>
          <w:sz w:val="20"/>
          <w:szCs w:val="20"/>
          <w:lang w:eastAsia="en-US"/>
        </w:rPr>
        <w:t xml:space="preserve">ставления субсидии</w:t>
      </w:r>
      <w:r>
        <w:rPr>
          <w:rFonts w:eastAsia="Calibri"/>
          <w:sz w:val="20"/>
          <w:szCs w:val="20"/>
          <w:lang w:eastAsia="en-US"/>
        </w:rPr>
        <w:t xml:space="preserve"> № 22-68850-00358-Р «Возмещение недополученных российскими кредитными организаци</w:t>
      </w:r>
      <w:r>
        <w:rPr>
          <w:rFonts w:eastAsia="Calibri"/>
          <w:sz w:val="20"/>
          <w:szCs w:val="20"/>
          <w:lang w:eastAsia="en-US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eastAsia="Calibri"/>
          <w:sz w:val="20"/>
          <w:szCs w:val="20"/>
          <w:lang w:eastAsia="en-US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</w:t>
      </w:r>
      <w:r>
        <w:rPr>
          <w:rFonts w:eastAsia="Calibri"/>
          <w:sz w:val="20"/>
          <w:szCs w:val="20"/>
          <w:lang w:eastAsia="en-US"/>
        </w:rPr>
        <w:t xml:space="preserve"> –Решение № 358-Р</w:t>
      </w:r>
      <w:r>
        <w:rPr>
          <w:rFonts w:eastAsia="Calibri"/>
          <w:sz w:val="20"/>
          <w:szCs w:val="20"/>
          <w:lang w:eastAsia="en-US"/>
        </w:rPr>
        <w:t xml:space="preserve">», принятого в соответствии с ППРФ от 25.10.2023 № 1780;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- при кредитовании в рамках решения Министерства экономического развития Российской Федерации о порядке предо</w:t>
      </w:r>
      <w:r>
        <w:rPr>
          <w:rFonts w:eastAsia="Calibri"/>
          <w:sz w:val="20"/>
          <w:szCs w:val="20"/>
          <w:lang w:eastAsia="en-US"/>
        </w:rPr>
        <w:t xml:space="preserve">ставления субсидии  </w:t>
      </w:r>
      <w:r>
        <w:rPr>
          <w:rFonts w:eastAsia="Calibri"/>
          <w:sz w:val="20"/>
          <w:szCs w:val="20"/>
          <w:lang w:eastAsia="en-US"/>
        </w:rPr>
        <w:t xml:space="preserve">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</w:t>
      </w:r>
      <w:r>
        <w:rPr>
          <w:rFonts w:eastAsia="Calibri"/>
          <w:sz w:val="20"/>
          <w:szCs w:val="20"/>
          <w:lang w:eastAsia="en-US"/>
        </w:rPr>
        <w:t xml:space="preserve">- Решение № 1201-Р</w:t>
      </w:r>
      <w:r>
        <w:rPr>
          <w:rFonts w:eastAsia="Calibri"/>
          <w:sz w:val="20"/>
          <w:szCs w:val="20"/>
          <w:lang w:eastAsia="en-US"/>
        </w:rPr>
        <w:t xml:space="preserve">», принятого в соответствии с ППРФ от 25.10.2023 № 1780.».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- при кредитовании в рамках решения Министерства сельского хозяйства Российской Федерации о порядке предоставлен</w:t>
      </w:r>
      <w:r>
        <w:rPr>
          <w:rFonts w:eastAsia="Calibri"/>
          <w:sz w:val="18"/>
          <w:szCs w:val="18"/>
          <w:lang w:eastAsia="en-US"/>
        </w:rPr>
        <w:t xml:space="preserve">ия субсидии </w:t>
      </w:r>
      <w:r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sz w:val="18"/>
          <w:szCs w:val="18"/>
          <w:lang w:eastAsia="en-US"/>
        </w:rPr>
        <w:t xml:space="preserve">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</w:t>
      </w:r>
      <w:r>
        <w:rPr>
          <w:rFonts w:eastAsia="Calibri"/>
          <w:sz w:val="18"/>
          <w:szCs w:val="18"/>
          <w:lang w:eastAsia="en-US"/>
        </w:rPr>
        <w:t xml:space="preserve">льскохозяйственный банк» в целях компенсации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</w:t>
      </w:r>
      <w:r>
        <w:rPr>
          <w:rFonts w:eastAsia="Calibri"/>
          <w:sz w:val="18"/>
          <w:szCs w:val="18"/>
          <w:lang w:eastAsia="en-US"/>
        </w:rPr>
        <w:t xml:space="preserve">53-Р), принятого в соответствии с </w:t>
      </w:r>
      <w:r>
        <w:rPr>
          <w:rFonts w:eastAsia="Calibri"/>
          <w:sz w:val="18"/>
          <w:szCs w:val="18"/>
          <w:lang w:eastAsia="en-US"/>
        </w:rPr>
        <w:t xml:space="preserve">ПП</w:t>
      </w:r>
      <w:r>
        <w:rPr>
          <w:rFonts w:eastAsia="Calibri"/>
          <w:sz w:val="18"/>
          <w:szCs w:val="18"/>
          <w:lang w:eastAsia="en-US"/>
        </w:rPr>
        <w:t xml:space="preserve">РФ от 25.10.2023 </w:t>
      </w:r>
      <w:r>
        <w:rPr>
          <w:rFonts w:eastAsia="Calibri"/>
          <w:sz w:val="18"/>
          <w:szCs w:val="18"/>
          <w:lang w:eastAsia="en-US"/>
        </w:rPr>
        <w:t xml:space="preserve">№ 1780.</w:t>
      </w:r>
      <w:r>
        <w:rPr>
          <w:rFonts w:eastAsia="Calibri"/>
          <w:sz w:val="18"/>
          <w:szCs w:val="18"/>
          <w:lang w:eastAsia="en-US"/>
        </w:rPr>
        <w:t xml:space="preserve">.</w:t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rPr>
          <w:rFonts w:eastAsia="Calibri"/>
          <w:sz w:val="18"/>
          <w:szCs w:val="18"/>
          <w:lang w:eastAsia="en-US"/>
        </w:rPr>
        <w:outlineLvl w:val="5"/>
      </w:pPr>
      <w:r>
        <w:rPr>
          <w:rFonts w:eastAsia="Calibri"/>
          <w:sz w:val="18"/>
          <w:szCs w:val="18"/>
          <w:lang w:eastAsia="en-US"/>
        </w:rPr>
        <w:t xml:space="preserve">- при кредитовании в рамках решения М</w:t>
      </w:r>
      <w:r>
        <w:rPr>
          <w:rFonts w:eastAsia="Calibri"/>
          <w:sz w:val="18"/>
          <w:szCs w:val="18"/>
          <w:lang w:eastAsia="en-US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rFonts w:eastAsia="Calibri"/>
          <w:sz w:val="18"/>
          <w:szCs w:val="18"/>
          <w:lang w:eastAsia="en-US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rFonts w:eastAsia="Calibri"/>
          <w:sz w:val="18"/>
          <w:szCs w:val="18"/>
          <w:lang w:eastAsia="en-US"/>
        </w:rPr>
        <w:t xml:space="preserve">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rFonts w:eastAsia="Calibri"/>
          <w:sz w:val="18"/>
          <w:szCs w:val="18"/>
          <w:lang w:eastAsia="en-US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rFonts w:eastAsia="Calibri"/>
          <w:sz w:val="18"/>
          <w:szCs w:val="18"/>
          <w:lang w:eastAsia="en-US"/>
        </w:rPr>
        <w:br/>
        <w:t xml:space="preserve">№ 1780.</w:t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ind w:firstLine="709"/>
        <w:jc w:val="both"/>
        <w:spacing w:after="40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3.2. Таблицу «Перечень льготных программ» изложить в следующей редакции: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«№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/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982-Р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 »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1780)»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</w:tbl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pStyle w:val="1114"/>
        <w:contextualSpacing w:val="0"/>
        <w:ind w:left="0" w:firstLine="426"/>
        <w:jc w:val="both"/>
        <w:spacing w:after="120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</w:t>
      </w:r>
      <w:r>
        <w:rPr>
          <w:bCs/>
          <w:iCs/>
          <w:sz w:val="20"/>
          <w:szCs w:val="20"/>
        </w:rPr>
        <w:t xml:space="preserve">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center"/>
        <w:tabs>
          <w:tab w:val="left" w:pos="2188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pStyle w:val="1087"/>
        <w:ind w:firstLine="0"/>
        <w:spacing w:before="0" w:after="0"/>
        <w:rPr>
          <w:lang w:eastAsia="en-US"/>
        </w:rPr>
      </w:pPr>
      <w:r/>
      <w:bookmarkStart w:id="10" w:name="_Toc10"/>
      <w:r>
        <w:rPr>
          <w:lang w:eastAsia="en-US"/>
        </w:rPr>
        <w:t xml:space="preserve">13.</w:t>
      </w:r>
      <w:r>
        <w:rPr>
          <w:lang w:eastAsia="en-US"/>
        </w:rPr>
        <w:t xml:space="preserve"> </w:t>
      </w:r>
      <w:r>
        <w:rPr>
          <w:lang w:eastAsia="en-US"/>
        </w:rPr>
        <w:t xml:space="preserve">Обслуживание торгово-сервисных предприятий</w:t>
      </w:r>
      <w:r>
        <w:rPr>
          <w:lang w:eastAsia="en-US"/>
        </w:rPr>
        <w:t xml:space="preserve">*</w:t>
      </w:r>
      <w:r>
        <w:rPr>
          <w:lang w:eastAsia="en-US"/>
        </w:rP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r/>
      <w:bookmarkEnd w:id="10"/>
      <w:r/>
      <w:r>
        <w:rPr>
          <w:lang w:eastAsia="en-US"/>
        </w:rPr>
      </w:r>
    </w:p>
    <w:tbl>
      <w:tblPr>
        <w:tblW w:w="1023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969"/>
        <w:gridCol w:w="1985"/>
        <w:gridCol w:w="3545"/>
      </w:tblGrid>
      <w:tr>
        <w:tblPrEx/>
        <w:trPr>
          <w:trHeight w:val="227"/>
          <w:tblHeader/>
        </w:trPr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23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 Комиссия за </w:t>
            </w:r>
            <w:r>
              <w:rPr>
                <w:sz w:val="20"/>
                <w:szCs w:val="20"/>
              </w:rPr>
              <w:t xml:space="preserve">услугу «Торговый </w:t>
            </w:r>
            <w:r>
              <w:rPr>
                <w:sz w:val="20"/>
                <w:szCs w:val="20"/>
              </w:rPr>
              <w:t xml:space="preserve">эквайринг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«Торговый </w:t>
            </w:r>
            <w:r>
              <w:rPr>
                <w:sz w:val="20"/>
                <w:szCs w:val="20"/>
              </w:rPr>
              <w:t xml:space="preserve">эквайринг</w:t>
            </w:r>
            <w:r>
              <w:rPr>
                <w:sz w:val="20"/>
                <w:szCs w:val="20"/>
              </w:rPr>
              <w:t xml:space="preserve">», </w:t>
            </w:r>
            <w:r>
              <w:rPr>
                <w:iCs/>
                <w:color w:val="000000"/>
                <w:sz w:val="20"/>
                <w:szCs w:val="20"/>
              </w:rPr>
              <w:t xml:space="preserve">подключенную путем присоединения к</w:t>
            </w:r>
            <w:r>
              <w:rPr>
                <w:sz w:val="20"/>
                <w:szCs w:val="20"/>
              </w:rPr>
              <w:t xml:space="preserve"> Правилам </w:t>
            </w:r>
            <w:r>
              <w:rPr>
                <w:sz w:val="20"/>
                <w:szCs w:val="20"/>
              </w:rPr>
              <w:t xml:space="preserve">эквайрингового</w:t>
            </w:r>
            <w:r>
              <w:rPr>
                <w:sz w:val="20"/>
                <w:szCs w:val="20"/>
              </w:rPr>
              <w:t xml:space="preserve"> обслуживания клиентов АО «Россельхозбанк», </w:t>
            </w:r>
            <w:r>
              <w:rPr>
                <w:sz w:val="20"/>
                <w:szCs w:val="20"/>
              </w:rPr>
              <w:br/>
              <w:t xml:space="preserve">с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Комиссия за услугу «Торговый </w:t>
            </w:r>
            <w:r>
              <w:rPr>
                <w:iCs/>
                <w:color w:val="000000"/>
                <w:sz w:val="20"/>
                <w:szCs w:val="20"/>
              </w:rPr>
              <w:t xml:space="preserve">эквайринг</w:t>
            </w:r>
            <w:r>
              <w:rPr>
                <w:iCs/>
                <w:color w:val="000000"/>
                <w:sz w:val="20"/>
                <w:szCs w:val="20"/>
              </w:rPr>
              <w:t xml:space="preserve">», подключенную путем присоединения к Условиям </w:t>
            </w:r>
            <w:r>
              <w:rPr>
                <w:iCs/>
                <w:color w:val="000000"/>
                <w:sz w:val="20"/>
                <w:szCs w:val="20"/>
              </w:rPr>
              <w:t xml:space="preserve">эквайрингового</w:t>
            </w:r>
            <w:r>
              <w:rPr>
                <w:iCs/>
                <w:color w:val="000000"/>
                <w:sz w:val="20"/>
                <w:szCs w:val="20"/>
              </w:rPr>
              <w:t xml:space="preserve"> обслуживания клиентов АО «Россельхозбанк» </w:t>
            </w:r>
            <w:r>
              <w:rPr>
                <w:iCs/>
                <w:color w:val="000000"/>
                <w:sz w:val="20"/>
                <w:szCs w:val="20"/>
              </w:rPr>
              <w:br/>
              <w:t xml:space="preserve">в соответствии с тарифами Банка*, </w:t>
            </w:r>
            <w:r>
              <w:rPr>
                <w:iCs/>
                <w:color w:val="000000"/>
                <w:sz w:val="20"/>
                <w:szCs w:val="20"/>
              </w:rPr>
              <w:br/>
              <w:t xml:space="preserve">с использованием карты JCB </w:t>
            </w:r>
            <w:r>
              <w:rPr>
                <w:iCs/>
                <w:color w:val="000000"/>
                <w:sz w:val="20"/>
                <w:szCs w:val="20"/>
              </w:rPr>
              <w:t xml:space="preserve">International</w:t>
            </w:r>
            <w:r>
              <w:rPr>
                <w:iCs/>
                <w:color w:val="000000"/>
                <w:sz w:val="20"/>
                <w:szCs w:val="20"/>
              </w:rPr>
              <w:t xml:space="preserve">, </w:t>
            </w:r>
            <w:r>
              <w:rPr>
                <w:iCs/>
                <w:color w:val="000000"/>
                <w:sz w:val="20"/>
                <w:szCs w:val="20"/>
              </w:rPr>
              <w:t xml:space="preserve">UnionPay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</w:rPr>
              <w:t xml:space="preserve">International</w:t>
            </w:r>
            <w:r>
              <w:rPr>
                <w:iCs/>
                <w:color w:val="000000"/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/>
              <w:t xml:space="preserve">Приложению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tbl>
      <w:tblPr>
        <w:tblW w:w="18508" w:type="dxa"/>
        <w:tblInd w:w="-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377"/>
        <w:gridCol w:w="8131"/>
      </w:tblGrid>
      <w:tr>
        <w:tblPrEx/>
        <w:trPr>
          <w:trHeight w:val="227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77" w:type="dxa"/>
            <w:textDirection w:val="lrTb"/>
            <w:noWrap w:val="false"/>
          </w:tcPr>
          <w:p>
            <w:pPr>
              <w:ind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83"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Тарифы, установленные пунктом 13.1.2, применяются при предоставлении услуг новым Клиентам Банка. Новым Клиентом является Клиент, у которого на момент подключения услуги отсутствует действующий Договор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 в рамках одного регионального филиала Банка/внутреннего структурного подразделения Банка и ранее действующие Договоры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 были расторгнуты Клиентом/Банком более 3 месяцев назад.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31" w:type="dxa"/>
            <w:textDirection w:val="lrTb"/>
            <w:noWrap w:val="false"/>
          </w:tcPr>
          <w:p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</w:p>
        </w:tc>
      </w:tr>
    </w:tbl>
    <w:p>
      <w:r/>
      <w:r/>
    </w:p>
    <w:tbl>
      <w:tblPr>
        <w:tblW w:w="10804" w:type="dxa"/>
        <w:tblInd w:w="-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3969"/>
        <w:gridCol w:w="1985"/>
        <w:gridCol w:w="3545"/>
      </w:tblGrid>
      <w:tr>
        <w:tblPrEx/>
        <w:trPr>
          <w:trHeight w:val="227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0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</w:tcBorders>
            <w:tcW w:w="130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комиссионного вознаграждения может быть изменен в сторону увеличения.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13.3.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Комиссия за совершение операции в сети Интернет: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13.3.1.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</w:t>
            </w:r>
            <w:r>
              <w:t xml:space="preserve"> осуществление операций </w:t>
            </w:r>
            <w:r>
              <w:br/>
            </w:r>
            <w:r>
              <w:rPr>
                <w:sz w:val="20"/>
                <w:szCs w:val="20"/>
              </w:rPr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(кроме карт, выпущенных АО «Россельхозбанк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По договоренности</w:t>
            </w:r>
            <w:r>
              <w:rPr>
                <w:sz w:val="20"/>
                <w:szCs w:val="22"/>
                <w:lang w:val="en-US"/>
              </w:rPr>
              <w:t xml:space="preserve"> </w:t>
            </w:r>
            <w:r>
              <w:rPr>
                <w:sz w:val="20"/>
                <w:szCs w:val="22"/>
              </w:rPr>
              <w:t xml:space="preserve">сторон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13.3.2.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 «Россельхозбанк» (JCB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По договоренности сторон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13.4.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По договоренности сторон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Комиссия за совершение операции с использованием сервиса быстрых платежей платежной системы Банка России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13.5.1.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t xml:space="preserve">В зависимости от классификации получателя по типу деятельности: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13.5.1.1.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Государственные платежи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бесплатно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13.5.1.2.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</w:t>
            </w:r>
            <w:r>
              <w:rPr>
                <w:sz w:val="20"/>
                <w:szCs w:val="20"/>
              </w:rPr>
              <w:t xml:space="preserve"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sz w:val="20"/>
                <w:szCs w:val="20"/>
              </w:rPr>
              <w:t xml:space="preserve"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0,40% от суммы операции, но не более 1 500 руб. за операцию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13.5.1.3.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  <w:br/>
              <w:t xml:space="preserve">но не более 10 руб. </w:t>
            </w:r>
            <w:r>
              <w:rPr>
                <w:sz w:val="20"/>
                <w:szCs w:val="20"/>
              </w:rPr>
              <w:br/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</w:t>
            </w:r>
            <w:r>
              <w:rPr>
                <w:sz w:val="20"/>
                <w:szCs w:val="20"/>
              </w:rPr>
              <w:br/>
              <w:t xml:space="preserve">за операцию»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13.5.2.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Бесплатно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13.6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 одного перевода – 999 999,99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13.6.2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18"/>
          <w:szCs w:val="16"/>
        </w:rPr>
      </w:pPr>
      <w:r>
        <w:rPr>
          <w:sz w:val="18"/>
          <w:szCs w:val="16"/>
        </w:rPr>
        <w:t xml:space="preserve">*</w:t>
      </w:r>
      <w:r>
        <w:rPr>
          <w:sz w:val="28"/>
        </w:rPr>
        <w:t xml:space="preserve"> </w:t>
      </w:r>
      <w:r>
        <w:rPr>
          <w:sz w:val="18"/>
          <w:szCs w:val="16"/>
        </w:rPr>
        <w:t xml:space="preserve">Под торгово-сервисным предприятием (ТСП) для целей настоящего р</w:t>
      </w:r>
      <w:r>
        <w:rPr>
          <w:sz w:val="18"/>
          <w:szCs w:val="16"/>
        </w:rPr>
        <w:t xml:space="preserve">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</w:t>
      </w:r>
      <w:r>
        <w:rPr>
          <w:sz w:val="18"/>
          <w:szCs w:val="16"/>
        </w:rPr>
        <w:t xml:space="preserve">эквайринга</w:t>
      </w:r>
      <w:r>
        <w:rPr>
          <w:sz w:val="18"/>
          <w:szCs w:val="16"/>
        </w:rPr>
        <w:t xml:space="preserve"> или договор, предусматривающий обслуживание в сервисе быстрых платежей платежной системы Банка России».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Примечание: Обслуживание бюджетных учреждений, принимающих к оплате платежные карты, осуществляется бесплатно.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jc w:val="center"/>
        <w:tabs>
          <w:tab w:val="left" w:pos="3460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jc w:val="center"/>
        <w:tabs>
          <w:tab w:val="left" w:pos="3460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jc w:val="center"/>
        <w:tabs>
          <w:tab w:val="left" w:pos="3460" w:leader="none"/>
        </w:tabs>
        <w:rPr>
          <w:b/>
          <w:lang w:eastAsia="en-US"/>
        </w:rPr>
      </w:pPr>
      <w:r>
        <w:rPr>
          <w:rStyle w:val="1096"/>
        </w:rPr>
        <w:t xml:space="preserve">14.Депозитарные услуги</w:t>
      </w:r>
      <w:r>
        <w:rPr>
          <w:b/>
          <w:lang w:eastAsia="en-US"/>
        </w:rPr>
        <w:t xml:space="preserve">**</w:t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jc w:val="center"/>
        <w:tabs>
          <w:tab w:val="left" w:pos="3460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1034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30"/>
        <w:gridCol w:w="3827"/>
        <w:gridCol w:w="1134"/>
        <w:gridCol w:w="43"/>
        <w:gridCol w:w="949"/>
        <w:gridCol w:w="3402"/>
      </w:tblGrid>
      <w:tr>
        <w:tblPrEx/>
        <w:trPr>
          <w:trHeight w:val="227"/>
          <w:tblHeader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 Административные операции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индивидуального раздела на </w:t>
            </w:r>
            <w:r>
              <w:rPr>
                <w:sz w:val="20"/>
                <w:szCs w:val="20"/>
              </w:rPr>
              <w:t xml:space="preserve">междепозитарном</w:t>
            </w:r>
            <w:r>
              <w:rPr>
                <w:sz w:val="20"/>
                <w:szCs w:val="20"/>
              </w:rPr>
              <w:t xml:space="preserve"> счете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в НКО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НРД и в других депозитариях по поручению клиента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 руб. за каждый раздел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20 000 </w:t>
            </w:r>
            <w:r>
              <w:rPr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 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pStyle w:val="1115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14.2.1.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pStyle w:val="1115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15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115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.2.2.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pStyle w:val="1115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15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годовых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115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Borders>
              <w:bottom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Хранение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</w:t>
            </w:r>
            <w:r>
              <w:rPr>
                <w:sz w:val="20"/>
                <w:szCs w:val="20"/>
              </w:rPr>
              <w:t xml:space="preserve">имо от количества ценных бумаг.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1115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Хранение и учет ценных бумаг, являющихся обеспечением по кредитам, выданным АО «Россельхозбанк»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pStyle w:val="1115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115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стоимости».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576"/>
        </w:trPr>
        <w:tc>
          <w:tcPr>
            <w:gridSpan w:val="2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</w:t>
            </w:r>
            <w:r>
              <w:rPr>
                <w:bCs/>
                <w:sz w:val="20"/>
                <w:szCs w:val="20"/>
              </w:rPr>
              <w:t xml:space="preserve">7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5"/>
            <w:tcW w:w="935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</w:t>
            </w:r>
            <w:r>
              <w:rPr>
                <w:bCs/>
                <w:sz w:val="20"/>
                <w:szCs w:val="20"/>
              </w:rPr>
              <w:t xml:space="preserve">ет </w:t>
            </w:r>
            <w:r>
              <w:rPr>
                <w:bCs/>
                <w:sz w:val="20"/>
                <w:szCs w:val="20"/>
              </w:rPr>
              <w:t xml:space="preserve">на торговом счете ДЕПО</w:t>
            </w:r>
            <w:r>
              <w:rPr>
                <w:bCs/>
                <w:sz w:val="20"/>
                <w:szCs w:val="20"/>
              </w:rPr>
              <w:t xml:space="preserve"> ценных бумаг Депонентов, </w:t>
            </w:r>
            <w:r>
              <w:rPr>
                <w:bCs/>
                <w:iCs/>
                <w:sz w:val="20"/>
                <w:szCs w:val="20"/>
              </w:rPr>
              <w:t xml:space="preserve">принятых </w:t>
            </w:r>
            <w:r>
              <w:rPr>
                <w:bCs/>
                <w:iCs/>
                <w:sz w:val="20"/>
                <w:szCs w:val="20"/>
              </w:rPr>
              <w:t xml:space="preserve">АО </w:t>
            </w:r>
            <w:r>
              <w:rPr>
                <w:bCs/>
                <w:iCs/>
                <w:sz w:val="20"/>
                <w:szCs w:val="20"/>
              </w:rPr>
              <w:t xml:space="preserve">«Россельхозбанк» на брокерское обслуживание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</w:tr>
      <w:tr>
        <w:tblPrEx/>
        <w:trPr>
          <w:trHeight w:val="127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1177" w:type="dxa"/>
            <w:textDirection w:val="lrTb"/>
            <w:noWrap w:val="false"/>
          </w:tcPr>
          <w:p>
            <w:pPr>
              <w:ind w:left="-72" w:right="-101"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</w:t>
            </w:r>
            <w:r>
              <w:rPr>
                <w:color w:val="000000"/>
                <w:sz w:val="18"/>
                <w:szCs w:val="18"/>
              </w:rPr>
              <w:t xml:space="preserve">редневзвешенн</w:t>
            </w:r>
            <w:r>
              <w:rPr>
                <w:color w:val="000000"/>
                <w:sz w:val="18"/>
                <w:szCs w:val="18"/>
              </w:rPr>
              <w:t xml:space="preserve">ая </w:t>
            </w:r>
            <w:r>
              <w:rPr>
                <w:color w:val="000000"/>
                <w:sz w:val="18"/>
                <w:szCs w:val="18"/>
              </w:rPr>
              <w:t xml:space="preserve">стоимост</w:t>
            </w:r>
            <w:r>
              <w:rPr>
                <w:color w:val="000000"/>
                <w:sz w:val="18"/>
                <w:szCs w:val="18"/>
              </w:rPr>
              <w:t xml:space="preserve">ь</w:t>
            </w:r>
            <w:r>
              <w:rPr>
                <w:rStyle w:val="1109"/>
                <w:sz w:val="20"/>
                <w:szCs w:val="20"/>
              </w:rPr>
              <w:footnoteReference w:id="6"/>
            </w:r>
            <w:r>
              <w:rPr>
                <w:color w:val="000000"/>
                <w:sz w:val="18"/>
                <w:szCs w:val="18"/>
              </w:rPr>
              <w:t xml:space="preserve"> ценных бумаг </w:t>
            </w:r>
            <w:r>
              <w:rPr>
                <w:color w:val="000000"/>
                <w:sz w:val="18"/>
                <w:szCs w:val="18"/>
              </w:rPr>
              <w:t xml:space="preserve">(</w:t>
            </w:r>
            <w:r>
              <w:rPr>
                <w:color w:val="000000"/>
                <w:sz w:val="18"/>
                <w:szCs w:val="18"/>
              </w:rPr>
              <w:t xml:space="preserve">млрд. руб.)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%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ind w:left="-72" w:right="-101"/>
              <w:jc w:val="center"/>
              <w:rPr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328"/>
        </w:trPr>
        <w:tc>
          <w:tcPr>
            <w:gridSpan w:val="2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gridSpan w:val="2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14.2.7.3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 xml:space="preserve">за исключением </w:t>
            </w:r>
            <w:r>
              <w:rPr>
                <w:bCs/>
                <w:sz w:val="20"/>
                <w:szCs w:val="20"/>
              </w:rPr>
              <w:t xml:space="preserve">паев</w:t>
            </w:r>
            <w:r>
              <w:rPr>
                <w:bCs/>
                <w:sz w:val="20"/>
                <w:szCs w:val="20"/>
              </w:rPr>
              <w:t xml:space="preserve"> инвестиционных фондов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1115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pStyle w:val="1115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115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/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  <w:lang w:val="en-US"/>
              </w:rPr>
              <w:t xml:space="preserve">.2.7.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1115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pStyle w:val="1115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115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 Прием/выдача сертификатов ценных бумаг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</w:t>
            </w:r>
            <w:r>
              <w:rPr>
                <w:sz w:val="20"/>
                <w:szCs w:val="20"/>
              </w:rPr>
              <w:t xml:space="preserve">эмисcионных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 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ценных бумаг на счета АО «Россельхозбанк» в реестрах/на </w:t>
            </w:r>
            <w:r>
              <w:rPr>
                <w:sz w:val="20"/>
                <w:szCs w:val="20"/>
              </w:rPr>
              <w:t xml:space="preserve">междепозитарные</w:t>
            </w:r>
            <w:r>
              <w:rPr>
                <w:sz w:val="20"/>
                <w:szCs w:val="20"/>
              </w:rPr>
              <w:t xml:space="preserve"> счета 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Списание ценных бумаг со счетов АО «Россельхозбанк» в реестрах/</w:t>
            </w:r>
            <w:r>
              <w:rPr>
                <w:sz w:val="20"/>
                <w:szCs w:val="20"/>
              </w:rPr>
              <w:t xml:space="preserve">междепозитарных</w:t>
            </w:r>
            <w:r>
              <w:rPr>
                <w:sz w:val="20"/>
                <w:szCs w:val="20"/>
              </w:rPr>
              <w:t xml:space="preserve"> счетов 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совершенным через брокера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Borders>
              <w:top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 Операции по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.5.1.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4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8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2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1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 Корпоративные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96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385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bCs/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96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385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</w:tcBorders>
            <w:tcW w:w="96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385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 перевод дохода не производится, сумма зачисляется в доход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ЦБ РФ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000 руб.</w:t>
            </w:r>
            <w:r>
              <w:rPr>
                <w:sz w:val="20"/>
                <w:szCs w:val="20"/>
              </w:rPr>
              <w:t xml:space="preserve"> для номинальных держателей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 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 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14.8.</w:t>
            </w: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rFonts w:eastAsia="Arial Unicode MS"/>
                <w:sz w:val="16"/>
                <w:szCs w:val="16"/>
              </w:rPr>
            </w:r>
            <w:r>
              <w:rPr>
                <w:rFonts w:eastAsia="Arial Unicode MS"/>
                <w:sz w:val="16"/>
                <w:szCs w:val="16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tabs>
          <w:tab w:val="center" w:pos="1260" w:leader="none"/>
          <w:tab w:val="right" w:pos="9355" w:leader="none"/>
        </w:tabs>
        <w:rPr>
          <w:sz w:val="18"/>
          <w:szCs w:val="16"/>
        </w:rPr>
      </w:pPr>
      <w:r>
        <w:rPr>
          <w:sz w:val="18"/>
          <w:szCs w:val="16"/>
        </w:rPr>
        <w:t xml:space="preserve">*</w:t>
      </w:r>
      <w:r>
        <w:rPr>
          <w:sz w:val="18"/>
          <w:szCs w:val="16"/>
        </w:rPr>
        <w:t xml:space="preserve">*</w:t>
      </w:r>
      <w:r>
        <w:rPr>
          <w:sz w:val="18"/>
          <w:szCs w:val="16"/>
        </w:rPr>
        <w:t xml:space="preserve"> Порядок расчета и взимания комиссии осуществляется на основании Условий осуществления депозитарной деятельности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jc w:val="center"/>
        <w:tabs>
          <w:tab w:val="left" w:pos="346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tabs>
          <w:tab w:val="left" w:pos="346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87"/>
      </w:pPr>
      <w:r/>
      <w:bookmarkStart w:id="11" w:name="_Toc11"/>
      <w:r>
        <w:t xml:space="preserve">15. Операции с монетами из драгоценных металлов</w:t>
      </w:r>
      <w:r/>
      <w:bookmarkEnd w:id="11"/>
      <w:r/>
      <w:r/>
    </w:p>
    <w:p>
      <w:pPr>
        <w:jc w:val="center"/>
        <w:tabs>
          <w:tab w:val="left" w:pos="3460" w:leader="none"/>
        </w:tabs>
      </w:pPr>
      <w:r/>
      <w:r/>
    </w:p>
    <w:tbl>
      <w:tblPr>
        <w:tblW w:w="104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968"/>
        <w:gridCol w:w="2552"/>
        <w:gridCol w:w="3118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tabs>
          <w:tab w:val="left" w:pos="3460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pStyle w:val="1087"/>
        <w:rPr>
          <w:lang w:eastAsia="en-US"/>
        </w:rPr>
      </w:pPr>
      <w:r/>
      <w:bookmarkStart w:id="12" w:name="_Toc12"/>
      <w:r>
        <w:rPr>
          <w:lang w:eastAsia="en-US"/>
        </w:rPr>
        <w:t xml:space="preserve">16. Операции с драгоценными металлами</w:t>
      </w:r>
      <w:r/>
      <w:bookmarkEnd w:id="12"/>
      <w:r/>
      <w:r>
        <w:rPr>
          <w:lang w:eastAsia="en-US"/>
        </w:rPr>
      </w:r>
    </w:p>
    <w:tbl>
      <w:tblPr>
        <w:tblW w:w="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2160"/>
        <w:gridCol w:w="297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  <w:r>
              <w:rPr>
                <w:b/>
                <w:sz w:val="20"/>
                <w:szCs w:val="20"/>
                <w:lang w:eastAsia="en-US"/>
              </w:rPr>
              <w:br/>
              <w:t xml:space="preserve">п/п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Наименование услуги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Тариф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Примечание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В российских рублях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16.1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5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Ведение </w:t>
            </w:r>
            <w:r>
              <w:rPr>
                <w:b/>
                <w:iCs/>
                <w:sz w:val="20"/>
                <w:szCs w:val="20"/>
                <w:lang w:eastAsia="en-US"/>
              </w:rPr>
              <w:t xml:space="preserve">банковского счета в драгоценных металлах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Открытие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Закрытие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Ежемесячное обслуживание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16.1.4.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Предоставление выписки по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банковскому счету в драгоценных металлах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16.1.4.1.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Предоставление дубликата выписки по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банковскому счету в драгоценных металлах</w:t>
            </w:r>
            <w:r>
              <w:rPr>
                <w:sz w:val="20"/>
                <w:szCs w:val="20"/>
                <w:lang w:eastAsia="en-US"/>
              </w:rPr>
              <w:t xml:space="preserve"> по запросу клиента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 руб. за лист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16.1.5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Предоставление справки по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банковскому счету в драгоценных металлах</w:t>
            </w:r>
            <w:r>
              <w:rPr>
                <w:sz w:val="20"/>
                <w:szCs w:val="20"/>
                <w:lang w:eastAsia="en-US"/>
              </w:rPr>
              <w:t xml:space="preserve"> по запросу клиента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 руб. за лист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16.2.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5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Операции по </w:t>
            </w:r>
            <w:r>
              <w:rPr>
                <w:b/>
                <w:iCs/>
                <w:sz w:val="20"/>
                <w:szCs w:val="20"/>
                <w:lang w:eastAsia="en-US"/>
              </w:rPr>
              <w:t xml:space="preserve">банковским счетам в драгоценных металлах</w:t>
            </w:r>
            <w:r>
              <w:rPr>
                <w:b/>
                <w:sz w:val="20"/>
                <w:szCs w:val="20"/>
                <w:vertAlign w:val="superscript"/>
                <w:lang w:eastAsia="en-US"/>
              </w:rPr>
              <w:footnoteReference w:id="7"/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Прием слитков драгоценных металлов для зачисления на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банковский счет в драгоценных металлах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Золото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16.2.1.1.1.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  <w:t xml:space="preserve">**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16.2.1.1.2.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не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16.2.1.1.3.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Серебро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16.2.1.2.1.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16.2.1.2.2.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не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16.2.1.2.3.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Металлы платиновой группы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16.2.1.3.1.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16.2.1.3.2.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Выдача слитков драгоценных металлов со списанием с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Золото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16.2.2.1.1.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0,05 % </w:t>
            </w:r>
            <w:r>
              <w:rPr>
                <w:sz w:val="20"/>
                <w:szCs w:val="20"/>
                <w:lang w:eastAsia="en-US"/>
              </w:rPr>
              <w:br/>
              <w:t xml:space="preserve">от стоимости драгоценного металла</w:t>
            </w:r>
            <w:r>
              <w:rPr>
                <w:sz w:val="20"/>
                <w:szCs w:val="20"/>
                <w:vertAlign w:val="superscript"/>
                <w:lang w:eastAsia="en-US"/>
              </w:rPr>
              <w:footnoteReference w:id="8"/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16.2.2.1.2.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не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16.2.2.1.3.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Серебро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16.2.2.2.1.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0,50 % </w:t>
            </w:r>
            <w:r>
              <w:rPr>
                <w:sz w:val="20"/>
                <w:szCs w:val="20"/>
                <w:lang w:eastAsia="en-US"/>
              </w:rPr>
              <w:br/>
              <w:t xml:space="preserve">от стоимости драгоценного металла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16.2.2.2.2.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не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16.2.2.2.3.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Металлы платиновой группы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16.2.2.3.1.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16.2.2.3.2.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tabs>
          <w:tab w:val="left" w:pos="3460" w:leader="none"/>
        </w:tabs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</w:r>
      <w:r>
        <w:rPr>
          <w:sz w:val="18"/>
          <w:szCs w:val="18"/>
          <w:lang w:eastAsia="en-US"/>
        </w:rPr>
      </w:r>
      <w:r>
        <w:rPr>
          <w:sz w:val="18"/>
          <w:szCs w:val="18"/>
          <w:lang w:eastAsia="en-US"/>
        </w:rPr>
      </w:r>
    </w:p>
    <w:p>
      <w:pPr>
        <w:tabs>
          <w:tab w:val="left" w:pos="3460" w:leader="none"/>
        </w:tabs>
        <w:rPr>
          <w:rStyle w:val="1100"/>
          <w:i/>
          <w:sz w:val="18"/>
          <w:szCs w:val="18"/>
        </w:rPr>
      </w:pPr>
      <w:r>
        <w:rPr>
          <w:i/>
          <w:sz w:val="18"/>
          <w:szCs w:val="18"/>
        </w:rPr>
      </w:r>
      <w:r>
        <w:rPr>
          <w:rStyle w:val="1100"/>
          <w:i/>
          <w:sz w:val="18"/>
          <w:szCs w:val="18"/>
        </w:rPr>
      </w:r>
      <w:r>
        <w:rPr>
          <w:rStyle w:val="1100"/>
          <w:i/>
          <w:sz w:val="18"/>
          <w:szCs w:val="18"/>
        </w:rPr>
      </w:r>
    </w:p>
    <w:p>
      <w:pPr>
        <w:pStyle w:val="1087"/>
      </w:pPr>
      <w:r/>
      <w:bookmarkStart w:id="13" w:name="_Toc13"/>
      <w:r>
        <w:t xml:space="preserve">17. Обслуживание с использованием Торговой системы РСХБ-</w:t>
      </w:r>
      <w:r>
        <w:t xml:space="preserve">Дилинг</w:t>
      </w:r>
      <w:r>
        <w:t xml:space="preserve"> АО «Россельхозбанк», Торговой системы РСХБ-</w:t>
      </w:r>
      <w:r>
        <w:t xml:space="preserve">Дилинг</w:t>
      </w:r>
      <w:r>
        <w:t xml:space="preserve"> 2.0</w:t>
      </w:r>
      <w:r/>
      <w:bookmarkEnd w:id="13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33"/>
        <w:gridCol w:w="2969"/>
        <w:gridCol w:w="1839"/>
        <w:gridCol w:w="4242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rStyle w:val="1109"/>
                <w:bCs/>
                <w:sz w:val="20"/>
                <w:szCs w:val="20"/>
              </w:rPr>
              <w:footnoteReference w:id="9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rStyle w:val="1109"/>
                <w:bCs/>
                <w:sz w:val="20"/>
                <w:szCs w:val="20"/>
              </w:rPr>
              <w:footnoteReference w:id="10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18 «Операции с использованием цифрового рубля» 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tbl>
      <w:tblPr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2126"/>
        <w:gridCol w:w="3261"/>
      </w:tblGrid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услуги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Тариф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Примечание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left="-425" w:right="-284" w:firstLine="709"/>
        <w:jc w:val="both"/>
        <w:spacing w:before="120"/>
      </w:pPr>
      <w:r>
        <w:t xml:space="preserve">* Срок действия – до 31.12.2025 (включительно).».</w:t>
      </w:r>
      <w:r/>
    </w:p>
    <w:p>
      <w:pPr>
        <w:ind w:firstLine="709"/>
        <w:jc w:val="both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spacing w:after="40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spacing w:after="40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spacing w:after="40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2.</w:t>
      </w:r>
      <w:r>
        <w:rPr>
          <w:sz w:val="20"/>
          <w:szCs w:val="20"/>
        </w:rPr>
        <w:t xml:space="preserve">В случае если на момент оказания услуги клиент не имеет счетов, открыт</w:t>
      </w:r>
      <w:r>
        <w:rPr>
          <w:sz w:val="20"/>
          <w:szCs w:val="20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center"/>
        <w:tabs>
          <w:tab w:val="left" w:pos="3460" w:leader="none"/>
        </w:tabs>
        <w:rPr>
          <w:rStyle w:val="1100"/>
          <w:sz w:val="20"/>
          <w:szCs w:val="20"/>
          <w:u w:val="none"/>
        </w:rPr>
      </w:pPr>
      <w:r>
        <w:rPr>
          <w:sz w:val="20"/>
          <w:szCs w:val="20"/>
          <w:u w:val="none"/>
        </w:rPr>
      </w:r>
      <w:r>
        <w:rPr>
          <w:rStyle w:val="1100"/>
          <w:sz w:val="20"/>
          <w:szCs w:val="20"/>
          <w:u w:val="none"/>
        </w:rPr>
      </w:r>
      <w:r>
        <w:rPr>
          <w:rStyle w:val="1100"/>
          <w:sz w:val="20"/>
          <w:szCs w:val="20"/>
          <w:u w:val="none"/>
        </w:rPr>
      </w:r>
    </w:p>
    <w:sectPr>
      <w:headerReference w:type="default" r:id="rId9"/>
      <w:footnotePr>
        <w:numRestart w:val="eachPage"/>
      </w:footnotePr>
      <w:endnotePr/>
      <w:type w:val="continuous"/>
      <w:pgSz w:w="11906" w:h="16838" w:orient="portrait"/>
      <w:pgMar w:top="426" w:right="720" w:bottom="1135" w:left="993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Wingdings">
    <w:panose1 w:val="05000000000000000000"/>
  </w:font>
  <w:font w:name="Courier New">
    <w:panose1 w:val="02070409020205020404"/>
  </w:font>
  <w:font w:name="Symbol">
    <w:panose1 w:val="05010000000000000000"/>
  </w:font>
  <w:font w:name="TimesET">
    <w:panose1 w:val="02000603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07"/>
      </w:pPr>
      <w:r>
        <w:rPr>
          <w:rStyle w:val="1109"/>
          <w:rFonts w:eastAsiaTheme="minorHAnsi"/>
        </w:rPr>
        <w:footnoteRef/>
      </w:r>
      <w:r>
        <w:t xml:space="preserve">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07"/>
        <w:jc w:val="both"/>
      </w:pPr>
      <w:r>
        <w:t xml:space="preserve">При наличии графика изменения лимита кредитования – комиссия начисляется </w:t>
      </w:r>
      <w:r>
        <w:t xml:space="preserve">по формуле простых процентов </w:t>
      </w:r>
      <w:r>
        <w:t xml:space="preserve">на сумму неиспользованного остатка лимита кредитования, действующего согласно </w:t>
      </w:r>
      <w:r>
        <w:t xml:space="preserve">график</w:t>
      </w:r>
      <w:r>
        <w:t xml:space="preserve">а</w:t>
      </w:r>
      <w:r>
        <w:t xml:space="preserve"> изменения лимита кредитования</w:t>
      </w:r>
      <w:r>
        <w:t xml:space="preserve">.</w:t>
      </w:r>
      <w:r/>
    </w:p>
  </w:footnote>
  <w:footnote w:id="3">
    <w:p>
      <w:pPr>
        <w:pStyle w:val="1107"/>
      </w:pPr>
      <w:r>
        <w:rPr>
          <w:rStyle w:val="1109"/>
          <w:rFonts w:eastAsiaTheme="minorHAnsi"/>
        </w:rPr>
        <w:footnoteRef/>
      </w:r>
      <w:r>
        <w:t xml:space="preserve"> [номер сноски указывается в соответствии с нумерацией сносок в Тарифах]</w:t>
      </w:r>
      <w:r/>
    </w:p>
    <w:p>
      <w:pPr>
        <w:pStyle w:val="1107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</w:t>
      </w:r>
      <w:r>
        <w:rPr>
          <w:bCs/>
        </w:rPr>
        <w:t xml:space="preserve">.</w:t>
      </w:r>
      <w:r/>
    </w:p>
    <w:p>
      <w:pPr>
        <w:pStyle w:val="1107"/>
      </w:pPr>
      <w:r/>
      <w:r/>
    </w:p>
  </w:footnote>
  <w:footnote w:id="4">
    <w:p>
      <w:pPr>
        <w:pStyle w:val="1107"/>
        <w:jc w:val="both"/>
        <w:rPr>
          <w:rFonts w:ascii="Times New Roman" w:hAnsi="Times New Roman" w:cs="Times New Roman"/>
        </w:rPr>
      </w:pPr>
      <w:r>
        <w:rPr>
          <w:rStyle w:val="1109"/>
          <w:rFonts w:cs="Times New Roman" w:eastAsiaTheme="minorHAnsi"/>
        </w:rPr>
        <w:footnoteRef/>
      </w:r>
      <w:r>
        <w:rPr>
          <w:rFonts w:ascii="Times New Roman" w:hAnsi="Times New Roman" w:cs="Times New Roman"/>
        </w:rPr>
        <w:t xml:space="preserve">   [номер сноски указывается в соответствии с нумерацией сносок в Тарифах]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5">
    <w:p>
      <w:pPr>
        <w:pStyle w:val="1107"/>
        <w:rPr>
          <w:rFonts w:ascii="Times New Roman" w:hAnsi="Times New Roman" w:cs="Times New Roman"/>
        </w:rPr>
      </w:pPr>
      <w:r>
        <w:rPr>
          <w:rStyle w:val="1109"/>
          <w:rFonts w:cs="Times New Roman" w:eastAsiaTheme="minorHAnsi"/>
        </w:rPr>
        <w:footnoteRef/>
      </w:r>
      <w:r>
        <w:rPr>
          <w:rFonts w:ascii="Times New Roman" w:hAnsi="Times New Roman" w:cs="Times New Roman"/>
        </w:rPr>
        <w:t xml:space="preserve">   [номер сноски указывается в соответствии с нумерацией сносок в Тарифах]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пунктом 10.2 приказа АО «Россельхозбанк» от 01.08.2013 № 386-ОД.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6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sz w:val="18"/>
          <w:szCs w:val="18"/>
        </w:rPr>
      </w:pPr>
      <w:r>
        <w:rPr>
          <w:rStyle w:val="1109"/>
        </w:rPr>
        <w:footnoteRef/>
      </w:r>
      <w:r>
        <w:t xml:space="preserve"> </w:t>
      </w:r>
      <w:r>
        <w:rPr>
          <w:sz w:val="18"/>
          <w:szCs w:val="18"/>
        </w:rPr>
        <w:t xml:space="preserve">Средневзвешенн</w:t>
      </w:r>
      <w:r>
        <w:rPr>
          <w:sz w:val="18"/>
          <w:szCs w:val="18"/>
        </w:rPr>
        <w:t xml:space="preserve">ая</w:t>
      </w:r>
      <w:r>
        <w:rPr>
          <w:sz w:val="18"/>
          <w:szCs w:val="18"/>
        </w:rPr>
        <w:t xml:space="preserve"> стоимост</w:t>
      </w:r>
      <w:r>
        <w:rPr>
          <w:sz w:val="18"/>
          <w:szCs w:val="18"/>
        </w:rPr>
        <w:t xml:space="preserve">ь</w:t>
      </w:r>
      <w:r>
        <w:rPr>
          <w:sz w:val="18"/>
          <w:szCs w:val="18"/>
        </w:rPr>
        <w:t xml:space="preserve"> рассчитывае</w:t>
      </w:r>
      <w:r>
        <w:rPr>
          <w:sz w:val="18"/>
          <w:szCs w:val="18"/>
        </w:rPr>
        <w:t xml:space="preserve">тся</w:t>
      </w:r>
      <w:r>
        <w:rPr>
          <w:sz w:val="18"/>
          <w:szCs w:val="18"/>
        </w:rPr>
        <w:t xml:space="preserve"> как сумма остатков ценных бумаг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по календарным дням месяца</w:t>
      </w:r>
      <w:r>
        <w:rPr>
          <w:sz w:val="18"/>
          <w:szCs w:val="18"/>
        </w:rPr>
        <w:t xml:space="preserve"> деленная на количество дней в соответствующем месяце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  <w:t xml:space="preserve"> Стоимость остатка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</w:rPr>
        <w:t xml:space="preserve">по каждому выпуску ценных бумаг за календарный день определяется как произведение остатка в штуках на конец дня на рыночную </w:t>
      </w:r>
      <w:r>
        <w:rPr>
          <w:bCs/>
          <w:sz w:val="18"/>
        </w:rPr>
        <w:t xml:space="preserve">стоимость (для акций и депозитарных расписок) или номинальную стоимость (для облигаций и ценных бумаг, не имеющих рыночной стоимости)</w:t>
      </w:r>
      <w:r>
        <w:rPr>
          <w:bCs/>
          <w:sz w:val="18"/>
        </w:rPr>
        <w:t xml:space="preserve"> ценных бумаг этого выпуска. </w:t>
      </w:r>
      <w:r>
        <w:rPr>
          <w:bCs/>
          <w:sz w:val="18"/>
          <w:szCs w:val="18"/>
        </w:rPr>
        <w:t xml:space="preserve">Для выходных и праздничных дней значени</w:t>
      </w:r>
      <w:r>
        <w:rPr>
          <w:bCs/>
          <w:sz w:val="18"/>
          <w:szCs w:val="18"/>
        </w:rPr>
        <w:t xml:space="preserve">е</w:t>
      </w:r>
      <w:r>
        <w:rPr>
          <w:bCs/>
          <w:sz w:val="18"/>
          <w:szCs w:val="18"/>
        </w:rPr>
        <w:t xml:space="preserve"> остатка</w:t>
      </w:r>
      <w:r>
        <w:rPr>
          <w:bCs/>
          <w:sz w:val="18"/>
          <w:szCs w:val="18"/>
        </w:rPr>
        <w:t xml:space="preserve"> ценных бумаг</w:t>
      </w:r>
      <w:r>
        <w:rPr>
          <w:bCs/>
          <w:sz w:val="18"/>
          <w:szCs w:val="18"/>
        </w:rPr>
        <w:t xml:space="preserve"> принима</w:t>
      </w:r>
      <w:r>
        <w:rPr>
          <w:bCs/>
          <w:sz w:val="18"/>
          <w:szCs w:val="18"/>
        </w:rPr>
        <w:t xml:space="preserve">е</w:t>
      </w:r>
      <w:r>
        <w:rPr>
          <w:bCs/>
          <w:sz w:val="18"/>
          <w:szCs w:val="18"/>
        </w:rPr>
        <w:t xml:space="preserve">тся равным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значени</w:t>
      </w:r>
      <w:r>
        <w:rPr>
          <w:bCs/>
          <w:sz w:val="18"/>
          <w:szCs w:val="18"/>
        </w:rPr>
        <w:t xml:space="preserve">ю</w:t>
      </w:r>
      <w:r>
        <w:rPr>
          <w:bCs/>
          <w:sz w:val="18"/>
          <w:szCs w:val="18"/>
        </w:rPr>
        <w:t xml:space="preserve"> за предшествующий рабочий день.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7">
    <w:p>
      <w:pPr>
        <w:pStyle w:val="1107"/>
        <w:jc w:val="both"/>
        <w:rPr>
          <w:i/>
          <w:sz w:val="20"/>
          <w:szCs w:val="20"/>
        </w:rPr>
      </w:pPr>
      <w:r>
        <w:rPr>
          <w:rStyle w:val="1109"/>
          <w:rFonts w:eastAsiaTheme="majorEastAsia"/>
        </w:rPr>
        <w:footnoteRef/>
      </w:r>
      <w:r>
        <w:t xml:space="preserve"> </w:t>
      </w:r>
      <w:r>
        <w:rPr>
          <w:i/>
          <w:sz w:val="20"/>
          <w:szCs w:val="20"/>
        </w:rPr>
        <w:t xml:space="preserve">Комиссионное вознаграждение по операциям приема/выдачи слитков драгоценных металлов НДС не облагается.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110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</w:t>
      </w:r>
      <w:r>
        <w:rPr>
          <w:i/>
          <w:sz w:val="20"/>
          <w:szCs w:val="20"/>
        </w:rPr>
        <w:t xml:space="preserve">Здесь и далее стандартные слитки, изготовленные аффинажной организацией, соответствующей стандартам «</w:t>
      </w:r>
      <w:r>
        <w:rPr>
          <w:i/>
          <w:sz w:val="20"/>
          <w:szCs w:val="20"/>
        </w:rPr>
        <w:t xml:space="preserve">Good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Delivery</w:t>
      </w:r>
      <w:r>
        <w:rPr>
          <w:i/>
          <w:sz w:val="20"/>
          <w:szCs w:val="20"/>
        </w:rPr>
        <w:t xml:space="preserve">», должна быть включена в специальный список («</w:t>
      </w:r>
      <w:r>
        <w:rPr>
          <w:i/>
          <w:sz w:val="20"/>
          <w:szCs w:val="20"/>
        </w:rPr>
        <w:t xml:space="preserve">Good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Delivery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List</w:t>
      </w:r>
      <w:r>
        <w:rPr>
          <w:i/>
          <w:sz w:val="20"/>
          <w:szCs w:val="20"/>
        </w:rPr>
        <w:t xml:space="preserve">», GDL) Лондонской Ассоциации Участников Рынка драгоценных металлов («</w:t>
      </w:r>
      <w:r>
        <w:rPr>
          <w:i/>
          <w:sz w:val="20"/>
          <w:szCs w:val="20"/>
        </w:rPr>
        <w:t xml:space="preserve">London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Bullion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Market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Association</w:t>
      </w:r>
      <w:r>
        <w:rPr>
          <w:i/>
          <w:sz w:val="20"/>
          <w:szCs w:val="20"/>
        </w:rPr>
        <w:t xml:space="preserve">», LBMA), </w:t>
      </w:r>
      <w:hyperlink r:id="rId1" w:tooltip="http://www.lbma.org.uk" w:history="1">
        <w:r>
          <w:rPr>
            <w:rStyle w:val="1100"/>
            <w:rFonts w:cstheme="minorBidi"/>
            <w:i/>
            <w:sz w:val="20"/>
            <w:szCs w:val="20"/>
          </w:rPr>
          <w:t xml:space="preserve">www.lbma.org.uk</w:t>
        </w:r>
      </w:hyperlink>
      <w:r>
        <w:rPr>
          <w:rFonts w:ascii="Times New Roman" w:hAnsi="Times New Roman" w:eastAsia="Times New Roman"/>
          <w:i/>
          <w:sz w:val="20"/>
          <w:szCs w:val="20"/>
          <w:lang w:eastAsia="ru-RU"/>
        </w:rPr>
        <w:t xml:space="preserve">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</w:footnote>
  <w:footnote w:id="8">
    <w:p>
      <w:pPr>
        <w:pStyle w:val="1107"/>
        <w:jc w:val="both"/>
        <w:rPr>
          <w:i/>
        </w:rPr>
      </w:pPr>
      <w:r>
        <w:rPr>
          <w:rStyle w:val="1109"/>
          <w:rFonts w:eastAsiaTheme="majorEastAsia"/>
          <w:i/>
        </w:rPr>
        <w:footnoteRef/>
      </w:r>
      <w:r>
        <w:rPr>
          <w:i/>
        </w:rPr>
        <w:t xml:space="preserve"> </w:t>
      </w:r>
      <w:r>
        <w:rPr>
          <w:i/>
          <w:color w:val="000000"/>
        </w:rPr>
        <w:t xml:space="preserve">Стоимость драгоценного металла здесь и далее определяется как произведение массы драгоценного металла, зачисляемого на </w:t>
      </w:r>
      <w:r>
        <w:rPr>
          <w:bCs/>
          <w:i/>
          <w:color w:val="000000"/>
        </w:rPr>
        <w:t xml:space="preserve">банковский счет в драгоценных металлах</w:t>
      </w:r>
      <w:r>
        <w:rPr>
          <w:i/>
          <w:color w:val="000000"/>
        </w:rPr>
        <w:t xml:space="preserve"> (выдаваемого с </w:t>
      </w:r>
      <w:r>
        <w:rPr>
          <w:bCs/>
          <w:i/>
          <w:color w:val="000000"/>
        </w:rPr>
        <w:t xml:space="preserve">банковского счета в драгоценных металлах</w:t>
      </w:r>
      <w:r>
        <w:rPr>
          <w:i/>
          <w:color w:val="000000"/>
        </w:rPr>
        <w:t xml:space="preserve">), и учетной цены драгоценного металла, установленной Банком России на день совершения операции.</w:t>
      </w:r>
      <w:r>
        <w:rPr>
          <w:i/>
        </w:rPr>
      </w:r>
      <w:r>
        <w:rPr>
          <w:i/>
        </w:rPr>
      </w:r>
    </w:p>
  </w:footnote>
  <w:footnote w:id="9">
    <w:p>
      <w:pPr>
        <w:jc w:val="both"/>
        <w:rPr>
          <w:bCs/>
          <w:sz w:val="18"/>
          <w:szCs w:val="18"/>
        </w:rPr>
      </w:pPr>
      <w:r>
        <w:rPr>
          <w:rStyle w:val="1109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«Россельхозбанк»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«Россельхозбанк»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«Россельхозбанк»</w:t>
      </w:r>
      <w:r>
        <w:rPr>
          <w:bCs/>
          <w:sz w:val="18"/>
          <w:szCs w:val="18"/>
        </w:rPr>
        <w:t xml:space="preserve">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</w:footnote>
  <w:footnote w:id="10">
    <w:p>
      <w:pPr>
        <w:jc w:val="both"/>
        <w:rPr>
          <w:sz w:val="18"/>
          <w:szCs w:val="18"/>
        </w:rPr>
      </w:pPr>
      <w:r>
        <w:rPr>
          <w:rStyle w:val="1109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 –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 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3006299"/>
      <w:docPartObj>
        <w:docPartGallery w:val="Page Numbers (Top of Page)"/>
        <w:docPartUnique w:val="true"/>
      </w:docPartObj>
      <w:rPr/>
    </w:sdtPr>
    <w:sdtContent>
      <w:p>
        <w:pPr>
          <w:pStyle w:val="110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80</w:t>
        </w:r>
        <w:r>
          <w:fldChar w:fldCharType="end"/>
        </w:r>
        <w:r/>
      </w:p>
    </w:sdtContent>
  </w:sdt>
  <w:p>
    <w:pPr>
      <w:pStyle w:val="11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00"/>
      <w:numFmt w:val="decimal"/>
      <w:isLgl w:val="false"/>
      <w:suff w:val="tab"/>
      <w:lvlText w:val="%1"/>
      <w:lvlJc w:val="left"/>
      <w:pPr>
        <w:ind w:left="38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48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55" w:hanging="255"/>
        <w:tabs>
          <w:tab w:val="num" w:pos="255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731" w:hanging="360"/>
        <w:tabs>
          <w:tab w:val="num" w:pos="731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451" w:hanging="360"/>
        <w:tabs>
          <w:tab w:val="num" w:pos="1451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171" w:hanging="360"/>
        <w:tabs>
          <w:tab w:val="num" w:pos="2171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1" w:hanging="360"/>
        <w:tabs>
          <w:tab w:val="num" w:pos="2891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611" w:hanging="360"/>
        <w:tabs>
          <w:tab w:val="num" w:pos="3611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331" w:hanging="360"/>
        <w:tabs>
          <w:tab w:val="num" w:pos="4331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1" w:hanging="360"/>
        <w:tabs>
          <w:tab w:val="num" w:pos="5051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771" w:hanging="360"/>
        <w:tabs>
          <w:tab w:val="num" w:pos="5771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0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eachPage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23">
    <w:name w:val="Heading 1 Char"/>
    <w:basedOn w:val="1089"/>
    <w:link w:val="1087"/>
    <w:uiPriority w:val="9"/>
    <w:rPr>
      <w:rFonts w:ascii="Arial" w:hAnsi="Arial" w:eastAsia="Arial" w:cs="Arial"/>
      <w:sz w:val="40"/>
      <w:szCs w:val="40"/>
    </w:rPr>
  </w:style>
  <w:style w:type="paragraph" w:styleId="924">
    <w:name w:val="Heading 2"/>
    <w:basedOn w:val="1086"/>
    <w:next w:val="1086"/>
    <w:link w:val="9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25">
    <w:name w:val="Heading 2 Char"/>
    <w:basedOn w:val="1089"/>
    <w:link w:val="924"/>
    <w:uiPriority w:val="9"/>
    <w:rPr>
      <w:rFonts w:ascii="Arial" w:hAnsi="Arial" w:eastAsia="Arial" w:cs="Arial"/>
      <w:sz w:val="34"/>
    </w:rPr>
  </w:style>
  <w:style w:type="paragraph" w:styleId="926">
    <w:name w:val="Heading 3"/>
    <w:basedOn w:val="1086"/>
    <w:next w:val="1086"/>
    <w:link w:val="9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27">
    <w:name w:val="Heading 3 Char"/>
    <w:basedOn w:val="1089"/>
    <w:link w:val="926"/>
    <w:uiPriority w:val="9"/>
    <w:rPr>
      <w:rFonts w:ascii="Arial" w:hAnsi="Arial" w:eastAsia="Arial" w:cs="Arial"/>
      <w:sz w:val="30"/>
      <w:szCs w:val="30"/>
    </w:rPr>
  </w:style>
  <w:style w:type="character" w:styleId="928">
    <w:name w:val="Heading 4 Char"/>
    <w:basedOn w:val="1089"/>
    <w:link w:val="1088"/>
    <w:uiPriority w:val="9"/>
    <w:rPr>
      <w:rFonts w:ascii="Arial" w:hAnsi="Arial" w:eastAsia="Arial" w:cs="Arial"/>
      <w:b/>
      <w:bCs/>
      <w:sz w:val="26"/>
      <w:szCs w:val="26"/>
    </w:rPr>
  </w:style>
  <w:style w:type="paragraph" w:styleId="929">
    <w:name w:val="Heading 5"/>
    <w:basedOn w:val="1086"/>
    <w:next w:val="1086"/>
    <w:link w:val="9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30">
    <w:name w:val="Heading 5 Char"/>
    <w:basedOn w:val="1089"/>
    <w:link w:val="929"/>
    <w:uiPriority w:val="9"/>
    <w:rPr>
      <w:rFonts w:ascii="Arial" w:hAnsi="Arial" w:eastAsia="Arial" w:cs="Arial"/>
      <w:b/>
      <w:bCs/>
      <w:sz w:val="24"/>
      <w:szCs w:val="24"/>
    </w:rPr>
  </w:style>
  <w:style w:type="paragraph" w:styleId="931">
    <w:name w:val="Heading 6"/>
    <w:basedOn w:val="1086"/>
    <w:next w:val="1086"/>
    <w:link w:val="9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32">
    <w:name w:val="Heading 6 Char"/>
    <w:basedOn w:val="1089"/>
    <w:link w:val="931"/>
    <w:uiPriority w:val="9"/>
    <w:rPr>
      <w:rFonts w:ascii="Arial" w:hAnsi="Arial" w:eastAsia="Arial" w:cs="Arial"/>
      <w:b/>
      <w:bCs/>
      <w:sz w:val="22"/>
      <w:szCs w:val="22"/>
    </w:rPr>
  </w:style>
  <w:style w:type="paragraph" w:styleId="933">
    <w:name w:val="Heading 7"/>
    <w:basedOn w:val="1086"/>
    <w:next w:val="1086"/>
    <w:link w:val="9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4">
    <w:name w:val="Heading 7 Char"/>
    <w:basedOn w:val="1089"/>
    <w:link w:val="9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35">
    <w:name w:val="Heading 8"/>
    <w:basedOn w:val="1086"/>
    <w:next w:val="1086"/>
    <w:link w:val="9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36">
    <w:name w:val="Heading 8 Char"/>
    <w:basedOn w:val="1089"/>
    <w:link w:val="935"/>
    <w:uiPriority w:val="9"/>
    <w:rPr>
      <w:rFonts w:ascii="Arial" w:hAnsi="Arial" w:eastAsia="Arial" w:cs="Arial"/>
      <w:i/>
      <w:iCs/>
      <w:sz w:val="22"/>
      <w:szCs w:val="22"/>
    </w:rPr>
  </w:style>
  <w:style w:type="paragraph" w:styleId="937">
    <w:name w:val="Heading 9"/>
    <w:basedOn w:val="1086"/>
    <w:next w:val="1086"/>
    <w:link w:val="9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38">
    <w:name w:val="Heading 9 Char"/>
    <w:basedOn w:val="1089"/>
    <w:link w:val="937"/>
    <w:uiPriority w:val="9"/>
    <w:rPr>
      <w:rFonts w:ascii="Arial" w:hAnsi="Arial" w:eastAsia="Arial" w:cs="Arial"/>
      <w:i/>
      <w:iCs/>
      <w:sz w:val="21"/>
      <w:szCs w:val="21"/>
    </w:rPr>
  </w:style>
  <w:style w:type="paragraph" w:styleId="939">
    <w:name w:val="No Spacing"/>
    <w:uiPriority w:val="1"/>
    <w:qFormat/>
    <w:pPr>
      <w:spacing w:before="0" w:after="0" w:line="240" w:lineRule="auto"/>
    </w:pPr>
  </w:style>
  <w:style w:type="character" w:styleId="940">
    <w:name w:val="Title Char"/>
    <w:basedOn w:val="1089"/>
    <w:link w:val="1094"/>
    <w:uiPriority w:val="10"/>
    <w:rPr>
      <w:sz w:val="48"/>
      <w:szCs w:val="48"/>
    </w:rPr>
  </w:style>
  <w:style w:type="paragraph" w:styleId="941">
    <w:name w:val="Subtitle"/>
    <w:basedOn w:val="1086"/>
    <w:next w:val="1086"/>
    <w:link w:val="942"/>
    <w:uiPriority w:val="11"/>
    <w:qFormat/>
    <w:pPr>
      <w:spacing w:before="200" w:after="200"/>
    </w:pPr>
    <w:rPr>
      <w:sz w:val="24"/>
      <w:szCs w:val="24"/>
    </w:rPr>
  </w:style>
  <w:style w:type="character" w:styleId="942">
    <w:name w:val="Subtitle Char"/>
    <w:basedOn w:val="1089"/>
    <w:link w:val="941"/>
    <w:uiPriority w:val="11"/>
    <w:rPr>
      <w:sz w:val="24"/>
      <w:szCs w:val="24"/>
    </w:rPr>
  </w:style>
  <w:style w:type="paragraph" w:styleId="943">
    <w:name w:val="Quote"/>
    <w:basedOn w:val="1086"/>
    <w:next w:val="1086"/>
    <w:link w:val="944"/>
    <w:uiPriority w:val="29"/>
    <w:qFormat/>
    <w:pPr>
      <w:ind w:left="720" w:right="720"/>
    </w:pPr>
    <w:rPr>
      <w:i/>
    </w:rPr>
  </w:style>
  <w:style w:type="character" w:styleId="944">
    <w:name w:val="Quote Char"/>
    <w:link w:val="943"/>
    <w:uiPriority w:val="29"/>
    <w:rPr>
      <w:i/>
    </w:rPr>
  </w:style>
  <w:style w:type="paragraph" w:styleId="945">
    <w:name w:val="Intense Quote"/>
    <w:basedOn w:val="1086"/>
    <w:next w:val="1086"/>
    <w:link w:val="9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46">
    <w:name w:val="Intense Quote Char"/>
    <w:link w:val="945"/>
    <w:uiPriority w:val="30"/>
    <w:rPr>
      <w:i/>
    </w:rPr>
  </w:style>
  <w:style w:type="character" w:styleId="947">
    <w:name w:val="Header Char"/>
    <w:basedOn w:val="1089"/>
    <w:link w:val="1102"/>
    <w:uiPriority w:val="99"/>
  </w:style>
  <w:style w:type="character" w:styleId="948">
    <w:name w:val="Footer Char"/>
    <w:basedOn w:val="1089"/>
    <w:link w:val="1104"/>
    <w:uiPriority w:val="99"/>
  </w:style>
  <w:style w:type="paragraph" w:styleId="949">
    <w:name w:val="Caption"/>
    <w:basedOn w:val="1086"/>
    <w:next w:val="10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50">
    <w:name w:val="Caption Char"/>
    <w:basedOn w:val="949"/>
    <w:link w:val="1104"/>
    <w:uiPriority w:val="99"/>
  </w:style>
  <w:style w:type="table" w:styleId="951">
    <w:name w:val="Table Grid Light"/>
    <w:basedOn w:val="10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2">
    <w:name w:val="Plain Table 1"/>
    <w:basedOn w:val="10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3">
    <w:name w:val="Plain Table 2"/>
    <w:basedOn w:val="10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4">
    <w:name w:val="Plain Table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55">
    <w:name w:val="Plain Table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Plain Table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57">
    <w:name w:val="Grid Table 1 Light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Grid Table 1 Light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Grid Table 1 Light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Grid Table 1 Light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Grid Table 1 Light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Grid Table 1 Light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Grid Table 1 Light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2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Grid Table 2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Grid Table 2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Grid Table 2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2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2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3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3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3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3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3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4"/>
    <w:basedOn w:val="10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79">
    <w:name w:val="Grid Table 4 - Accent 1"/>
    <w:basedOn w:val="10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80">
    <w:name w:val="Grid Table 4 - Accent 2"/>
    <w:basedOn w:val="10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81">
    <w:name w:val="Grid Table 4 - Accent 3"/>
    <w:basedOn w:val="10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82">
    <w:name w:val="Grid Table 4 - Accent 4"/>
    <w:basedOn w:val="10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83">
    <w:name w:val="Grid Table 4 - Accent 5"/>
    <w:basedOn w:val="10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84">
    <w:name w:val="Grid Table 4 - Accent 6"/>
    <w:basedOn w:val="10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85">
    <w:name w:val="Grid Table 5 Dark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86">
    <w:name w:val="Grid Table 5 Dark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87">
    <w:name w:val="Grid Table 5 Dark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88">
    <w:name w:val="Grid Table 5 Dark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89">
    <w:name w:val="Grid Table 5 Dark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90">
    <w:name w:val="Grid Table 5 Dark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91">
    <w:name w:val="Grid Table 5 Dark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92">
    <w:name w:val="Grid Table 6 Colorful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93">
    <w:name w:val="Grid Table 6 Colorful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94">
    <w:name w:val="Grid Table 6 Colorful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95">
    <w:name w:val="Grid Table 6 Colorful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96">
    <w:name w:val="Grid Table 6 Colorful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97">
    <w:name w:val="Grid Table 6 Colorful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98">
    <w:name w:val="Grid Table 6 Colorful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99">
    <w:name w:val="Grid Table 7 Colorful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7 Colorful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7 Colorful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7 Colorful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7 Colorful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7 Colorful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7 Colorful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List Table 1 Light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List Table 1 Light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List Table 1 Light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List Table 1 Light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List Table 1 Light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List Table 1 Light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14">
    <w:name w:val="List Table 2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15">
    <w:name w:val="List Table 2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16">
    <w:name w:val="List Table 2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17">
    <w:name w:val="List Table 2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18">
    <w:name w:val="List Table 2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19">
    <w:name w:val="List Table 2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20">
    <w:name w:val="List Table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List Table 3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>
    <w:name w:val="List Table 3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>
    <w:name w:val="List Table 3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List Table 3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List Table 3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3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4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4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4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4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4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5 Dark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5">
    <w:name w:val="List Table 5 Dark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6">
    <w:name w:val="List Table 5 Dark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7">
    <w:name w:val="List Table 5 Dark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8">
    <w:name w:val="List Table 5 Dark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9">
    <w:name w:val="List Table 5 Dark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0">
    <w:name w:val="List Table 5 Dark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1">
    <w:name w:val="List Table 6 Colorful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42">
    <w:name w:val="List Table 6 Colorful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3">
    <w:name w:val="List Table 6 Colorful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44">
    <w:name w:val="List Table 6 Colorful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45">
    <w:name w:val="List Table 6 Colorful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46">
    <w:name w:val="List Table 6 Colorful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47">
    <w:name w:val="List Table 6 Colorful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48">
    <w:name w:val="List Table 7 Colorful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49">
    <w:name w:val="List Table 7 Colorful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50">
    <w:name w:val="List Table 7 Colorful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51">
    <w:name w:val="List Table 7 Colorful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52">
    <w:name w:val="List Table 7 Colorful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53">
    <w:name w:val="List Table 7 Colorful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54">
    <w:name w:val="List Table 7 Colorful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55">
    <w:name w:val="Lined - Accent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56">
    <w:name w:val="Lined - Accent 1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57">
    <w:name w:val="Lined - Accent 2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58">
    <w:name w:val="Lined - Accent 3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59">
    <w:name w:val="Lined - Accent 4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60">
    <w:name w:val="Lined - Accent 5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61">
    <w:name w:val="Lined - Accent 6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62">
    <w:name w:val="Bordered &amp; Lined - Accent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3">
    <w:name w:val="Bordered &amp; Lined - Accent 1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64">
    <w:name w:val="Bordered &amp; Lined - Accent 2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65">
    <w:name w:val="Bordered &amp; Lined - Accent 3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66">
    <w:name w:val="Bordered &amp; Lined - Accent 4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67">
    <w:name w:val="Bordered &amp; Lined - Accent 5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68">
    <w:name w:val="Bordered &amp; Lined - Accent 6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69">
    <w:name w:val="Bordered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70">
    <w:name w:val="Bordered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1">
    <w:name w:val="Bordered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72">
    <w:name w:val="Bordered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73">
    <w:name w:val="Bordered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74">
    <w:name w:val="Bordered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75">
    <w:name w:val="Bordered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76">
    <w:name w:val="Footnote Text Char"/>
    <w:link w:val="1107"/>
    <w:uiPriority w:val="99"/>
    <w:rPr>
      <w:sz w:val="18"/>
    </w:rPr>
  </w:style>
  <w:style w:type="character" w:styleId="1077">
    <w:name w:val="Endnote Text Char"/>
    <w:link w:val="1110"/>
    <w:uiPriority w:val="99"/>
    <w:rPr>
      <w:sz w:val="20"/>
    </w:rPr>
  </w:style>
  <w:style w:type="paragraph" w:styleId="1078">
    <w:name w:val="toc 3"/>
    <w:basedOn w:val="1086"/>
    <w:next w:val="1086"/>
    <w:uiPriority w:val="39"/>
    <w:unhideWhenUsed/>
    <w:pPr>
      <w:ind w:left="567" w:right="0" w:firstLine="0"/>
      <w:spacing w:after="57"/>
    </w:pPr>
  </w:style>
  <w:style w:type="paragraph" w:styleId="1079">
    <w:name w:val="toc 4"/>
    <w:basedOn w:val="1086"/>
    <w:next w:val="1086"/>
    <w:uiPriority w:val="39"/>
    <w:unhideWhenUsed/>
    <w:pPr>
      <w:ind w:left="850" w:right="0" w:firstLine="0"/>
      <w:spacing w:after="57"/>
    </w:pPr>
  </w:style>
  <w:style w:type="paragraph" w:styleId="1080">
    <w:name w:val="toc 5"/>
    <w:basedOn w:val="1086"/>
    <w:next w:val="1086"/>
    <w:uiPriority w:val="39"/>
    <w:unhideWhenUsed/>
    <w:pPr>
      <w:ind w:left="1134" w:right="0" w:firstLine="0"/>
      <w:spacing w:after="57"/>
    </w:pPr>
  </w:style>
  <w:style w:type="paragraph" w:styleId="1081">
    <w:name w:val="toc 6"/>
    <w:basedOn w:val="1086"/>
    <w:next w:val="1086"/>
    <w:uiPriority w:val="39"/>
    <w:unhideWhenUsed/>
    <w:pPr>
      <w:ind w:left="1417" w:right="0" w:firstLine="0"/>
      <w:spacing w:after="57"/>
    </w:pPr>
  </w:style>
  <w:style w:type="paragraph" w:styleId="1082">
    <w:name w:val="toc 7"/>
    <w:basedOn w:val="1086"/>
    <w:next w:val="1086"/>
    <w:uiPriority w:val="39"/>
    <w:unhideWhenUsed/>
    <w:pPr>
      <w:ind w:left="1701" w:right="0" w:firstLine="0"/>
      <w:spacing w:after="57"/>
    </w:pPr>
  </w:style>
  <w:style w:type="paragraph" w:styleId="1083">
    <w:name w:val="toc 8"/>
    <w:basedOn w:val="1086"/>
    <w:next w:val="1086"/>
    <w:uiPriority w:val="39"/>
    <w:unhideWhenUsed/>
    <w:pPr>
      <w:ind w:left="1984" w:right="0" w:firstLine="0"/>
      <w:spacing w:after="57"/>
    </w:pPr>
  </w:style>
  <w:style w:type="paragraph" w:styleId="1084">
    <w:name w:val="toc 9"/>
    <w:basedOn w:val="1086"/>
    <w:next w:val="1086"/>
    <w:uiPriority w:val="39"/>
    <w:unhideWhenUsed/>
    <w:pPr>
      <w:ind w:left="2268" w:right="0" w:firstLine="0"/>
      <w:spacing w:after="57"/>
    </w:pPr>
  </w:style>
  <w:style w:type="paragraph" w:styleId="1085">
    <w:name w:val="table of figures"/>
    <w:basedOn w:val="1086"/>
    <w:next w:val="1086"/>
    <w:uiPriority w:val="99"/>
    <w:unhideWhenUsed/>
    <w:pPr>
      <w:spacing w:after="0" w:afterAutospacing="0"/>
    </w:pPr>
  </w:style>
  <w:style w:type="paragraph" w:styleId="108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7">
    <w:name w:val="Heading 1"/>
    <w:basedOn w:val="1086"/>
    <w:next w:val="1086"/>
    <w:link w:val="1096"/>
    <w:qFormat/>
    <w:pPr>
      <w:ind w:firstLine="709"/>
      <w:jc w:val="center"/>
      <w:keepNext/>
      <w:spacing w:before="240" w:after="60"/>
      <w:outlineLvl w:val="0"/>
    </w:pPr>
    <w:rPr>
      <w:b/>
      <w:bCs/>
    </w:rPr>
  </w:style>
  <w:style w:type="paragraph" w:styleId="1088">
    <w:name w:val="Heading 4"/>
    <w:basedOn w:val="1086"/>
    <w:next w:val="1086"/>
    <w:link w:val="1099"/>
    <w:uiPriority w:val="9"/>
    <w:semiHidden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1089" w:default="1">
    <w:name w:val="Default Paragraph Font"/>
    <w:uiPriority w:val="1"/>
    <w:semiHidden/>
    <w:unhideWhenUsed/>
  </w:style>
  <w:style w:type="table" w:styleId="10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91" w:default="1">
    <w:name w:val="No List"/>
    <w:uiPriority w:val="99"/>
    <w:semiHidden/>
    <w:unhideWhenUsed/>
  </w:style>
  <w:style w:type="paragraph" w:styleId="1092" w:customStyle="1">
    <w:name w:val="Без интервала1"/>
    <w:link w:val="1093"/>
    <w:pPr>
      <w:spacing w:after="0" w:line="240" w:lineRule="auto"/>
    </w:pPr>
    <w:rPr>
      <w:rFonts w:ascii="Calibri" w:hAnsi="Calibri" w:eastAsia="Times New Roman" w:cs="Times New Roman"/>
    </w:rPr>
  </w:style>
  <w:style w:type="character" w:styleId="1093" w:customStyle="1">
    <w:name w:val="No Spacing Char"/>
    <w:link w:val="1092"/>
    <w:rPr>
      <w:rFonts w:ascii="Calibri" w:hAnsi="Calibri" w:eastAsia="Times New Roman" w:cs="Times New Roman"/>
    </w:rPr>
  </w:style>
  <w:style w:type="paragraph" w:styleId="1094">
    <w:name w:val="Title"/>
    <w:basedOn w:val="1086"/>
    <w:link w:val="1095"/>
    <w:qFormat/>
    <w:pPr>
      <w:jc w:val="center"/>
    </w:pPr>
    <w:rPr>
      <w:b/>
      <w:bCs/>
      <w:sz w:val="28"/>
      <w:szCs w:val="28"/>
    </w:rPr>
  </w:style>
  <w:style w:type="character" w:styleId="1095" w:customStyle="1">
    <w:name w:val="Заголовок Знак"/>
    <w:basedOn w:val="1089"/>
    <w:link w:val="1094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1096" w:customStyle="1">
    <w:name w:val="Заголовок 1 Знак"/>
    <w:basedOn w:val="1089"/>
    <w:link w:val="1087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97">
    <w:name w:val="Balloon Text"/>
    <w:basedOn w:val="1086"/>
    <w:link w:val="1098"/>
    <w:uiPriority w:val="99"/>
    <w:semiHidden/>
    <w:unhideWhenUsed/>
    <w:rPr>
      <w:rFonts w:ascii="Tahoma" w:hAnsi="Tahoma" w:cs="Tahoma"/>
      <w:sz w:val="16"/>
      <w:szCs w:val="16"/>
    </w:rPr>
  </w:style>
  <w:style w:type="character" w:styleId="1098" w:customStyle="1">
    <w:name w:val="Текст выноски Знак"/>
    <w:basedOn w:val="1089"/>
    <w:link w:val="109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1099" w:customStyle="1">
    <w:name w:val="Заголовок 4 Знак"/>
    <w:basedOn w:val="1089"/>
    <w:link w:val="1088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1100">
    <w:name w:val="Hyperlink"/>
    <w:uiPriority w:val="99"/>
    <w:rPr>
      <w:rFonts w:cs="Times New Roman"/>
      <w:color w:val="0000ff"/>
      <w:u w:val="single"/>
    </w:rPr>
  </w:style>
  <w:style w:type="paragraph" w:styleId="1101">
    <w:name w:val="toc 1"/>
    <w:basedOn w:val="1086"/>
    <w:next w:val="1086"/>
    <w:uiPriority w:val="39"/>
    <w:pPr>
      <w:spacing w:line="360" w:lineRule="auto"/>
      <w:tabs>
        <w:tab w:val="right" w:pos="9960" w:leader="dot"/>
      </w:tabs>
    </w:pPr>
    <w:rPr>
      <w:sz w:val="22"/>
    </w:rPr>
  </w:style>
  <w:style w:type="paragraph" w:styleId="1102">
    <w:name w:val="Header"/>
    <w:basedOn w:val="1086"/>
    <w:link w:val="110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03" w:customStyle="1">
    <w:name w:val="Верхний колонтитул Знак"/>
    <w:basedOn w:val="1089"/>
    <w:link w:val="110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4">
    <w:name w:val="Footer"/>
    <w:basedOn w:val="1086"/>
    <w:link w:val="110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05" w:customStyle="1">
    <w:name w:val="Нижний колонтитул Знак"/>
    <w:basedOn w:val="1089"/>
    <w:link w:val="110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06" w:customStyle="1">
    <w:name w:val="Текст сноски Знак"/>
    <w:link w:val="1107"/>
  </w:style>
  <w:style w:type="paragraph" w:styleId="1107">
    <w:name w:val="footnote text"/>
    <w:basedOn w:val="1086"/>
    <w:link w:val="1106"/>
    <w:uiPriority w:val="99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1108" w:customStyle="1">
    <w:name w:val="Текст сноски Знак1"/>
    <w:basedOn w:val="1089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09">
    <w:name w:val="footnote reference"/>
    <w:uiPriority w:val="99"/>
    <w:unhideWhenUsed/>
    <w:qFormat/>
    <w:rPr>
      <w:rFonts w:ascii="Times New Roman" w:hAnsi="Times New Roman" w:eastAsia="Times New Roman"/>
      <w:b/>
      <w:sz w:val="24"/>
      <w:szCs w:val="24"/>
      <w:vertAlign w:val="superscript"/>
      <w:lang w:eastAsia="ru-RU"/>
    </w:rPr>
  </w:style>
  <w:style w:type="paragraph" w:styleId="1110">
    <w:name w:val="endnote text"/>
    <w:basedOn w:val="1086"/>
    <w:link w:val="1111"/>
    <w:uiPriority w:val="99"/>
    <w:semiHidden/>
    <w:unhideWhenUsed/>
    <w:rPr>
      <w:sz w:val="20"/>
      <w:szCs w:val="20"/>
    </w:rPr>
  </w:style>
  <w:style w:type="character" w:styleId="1111" w:customStyle="1">
    <w:name w:val="Текст концевой сноски Знак"/>
    <w:basedOn w:val="1089"/>
    <w:link w:val="1110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12">
    <w:name w:val="endnote reference"/>
    <w:basedOn w:val="1089"/>
    <w:uiPriority w:val="99"/>
    <w:semiHidden/>
    <w:unhideWhenUsed/>
    <w:rPr>
      <w:vertAlign w:val="superscript"/>
    </w:rPr>
  </w:style>
  <w:style w:type="paragraph" w:styleId="1113" w:customStyle="1">
    <w:name w:val="Нормальный"/>
    <w:pPr>
      <w:spacing w:after="0" w:line="240" w:lineRule="auto"/>
    </w:pPr>
    <w:rPr>
      <w:rFonts w:ascii="TimesET" w:hAnsi="TimesET" w:eastAsia="Times New Roman" w:cs="TimesET"/>
      <w:b/>
      <w:bCs/>
      <w:i/>
      <w:iCs/>
      <w:smallCaps/>
      <w:sz w:val="24"/>
      <w:szCs w:val="24"/>
      <w:lang w:eastAsia="ru-RU"/>
    </w:rPr>
  </w:style>
  <w:style w:type="paragraph" w:styleId="1114">
    <w:name w:val="List Paragraph"/>
    <w:basedOn w:val="1086"/>
    <w:link w:val="1120"/>
    <w:uiPriority w:val="34"/>
    <w:qFormat/>
    <w:pPr>
      <w:contextualSpacing/>
      <w:ind w:left="720"/>
    </w:pPr>
  </w:style>
  <w:style w:type="paragraph" w:styleId="111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1116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1117">
    <w:name w:val="Table Grid"/>
    <w:basedOn w:val="10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18">
    <w:name w:val="TOC Heading"/>
    <w:basedOn w:val="1087"/>
    <w:next w:val="1086"/>
    <w:uiPriority w:val="39"/>
    <w:unhideWhenUsed/>
    <w:qFormat/>
    <w:pPr>
      <w:ind w:firstLine="0"/>
      <w:jc w:val="left"/>
      <w:keepLines/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</w:rPr>
  </w:style>
  <w:style w:type="paragraph" w:styleId="1119">
    <w:name w:val="toc 2"/>
    <w:basedOn w:val="1086"/>
    <w:next w:val="1086"/>
    <w:uiPriority w:val="39"/>
    <w:unhideWhenUsed/>
    <w:pPr>
      <w:ind w:left="240"/>
      <w:spacing w:after="100"/>
    </w:pPr>
  </w:style>
  <w:style w:type="character" w:styleId="1120" w:customStyle="1">
    <w:name w:val="Абзац списка Знак"/>
    <w:link w:val="1114"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://www.lbma.org.uk" TargetMode="External"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A501D-5C45-4E7B-BEE3-603F1BF2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RSHB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Kozlova-TV</dc:creator>
  <cp:revision>12</cp:revision>
  <dcterms:created xsi:type="dcterms:W3CDTF">2024-07-24T15:12:00Z</dcterms:created>
  <dcterms:modified xsi:type="dcterms:W3CDTF">2025-08-13T09:21:27Z</dcterms:modified>
</cp:coreProperties>
</file>