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2"/>
        <w:jc w:val="right"/>
        <w:spacing w:after="0" w:line="240" w:lineRule="auto"/>
        <w:rPr>
          <w:rFonts w:ascii="Times New Roman" w:hAnsi="Times New Roman"/>
          <w:i/>
          <w:sz w:val="20"/>
          <w:szCs w:val="20"/>
        </w:rPr>
      </w:pP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sz w:val="20"/>
          <w:szCs w:val="20"/>
        </w:rPr>
      </w:r>
      <w:r>
        <w:rPr>
          <w:rFonts w:ascii="Times New Roman" w:hAnsi="Times New Roman"/>
          <w:i/>
          <w:sz w:val="20"/>
          <w:szCs w:val="20"/>
        </w:rPr>
      </w:r>
    </w:p>
    <w:p>
      <w:pPr>
        <w:pStyle w:val="1172"/>
        <w:jc w:val="center"/>
        <w:keepNext/>
        <w:spacing w:after="120" w:line="360" w:lineRule="auto"/>
        <w:rPr>
          <w:rFonts w:ascii="Times New Roman" w:hAnsi="Times New Roman" w:eastAsia="Times New Roman"/>
          <w:b/>
          <w:bCs/>
          <w:sz w:val="32"/>
          <w:szCs w:val="20"/>
          <w:lang w:val="en-US" w:eastAsia="en-US"/>
        </w:rPr>
        <w:outlineLvl w:val="5"/>
      </w:pPr>
      <w:r>
        <w:rPr>
          <w:rFonts w:ascii="Times New Roman" w:hAnsi="Times New Roman" w:eastAsia="Times New Roman"/>
          <w:b/>
          <w:bCs/>
          <w:sz w:val="32"/>
          <w:szCs w:val="20"/>
          <w:lang w:val="en-US" w:eastAsia="en-US"/>
        </w:rPr>
        <w:t xml:space="preserve">ТАРИФЫ </w:t>
      </w:r>
      <w:r>
        <w:rPr>
          <w:rFonts w:ascii="Times New Roman" w:hAnsi="Times New Roman" w:eastAsia="Times New Roman"/>
          <w:b/>
          <w:bCs/>
          <w:sz w:val="32"/>
          <w:szCs w:val="20"/>
          <w:lang w:val="en-US" w:eastAsia="en-US"/>
        </w:rPr>
      </w:r>
      <w:r>
        <w:rPr>
          <w:rFonts w:ascii="Times New Roman" w:hAnsi="Times New Roman" w:eastAsia="Times New Roman"/>
          <w:b/>
          <w:bCs/>
          <w:sz w:val="32"/>
          <w:szCs w:val="20"/>
          <w:lang w:val="en-US" w:eastAsia="en-US"/>
        </w:rPr>
      </w:r>
    </w:p>
    <w:p>
      <w:pPr>
        <w:pStyle w:val="1172"/>
        <w:jc w:val="center"/>
        <w:spacing w:after="0" w:line="360" w:lineRule="auto"/>
        <w:rPr>
          <w:rFonts w:ascii="Times New Roman" w:hAnsi="Times New Roman" w:eastAsia="Times New Roman"/>
          <w:b/>
          <w:sz w:val="32"/>
          <w:szCs w:val="32"/>
          <w:lang w:eastAsia="ru-RU"/>
        </w:rPr>
      </w:pPr>
      <w:r>
        <w:rPr>
          <w:rFonts w:ascii="Times New Roman" w:hAnsi="Times New Roman" w:eastAsia="Times New Roman"/>
          <w:b/>
          <w:sz w:val="32"/>
          <w:szCs w:val="32"/>
          <w:lang w:eastAsia="ru-RU"/>
        </w:rPr>
        <w:t xml:space="preserve">КОМИССИОННОГО ВОЗНАГРАЖДЕНИЯ НА УСЛУГИ ЯКУТСКОГО РФ АО «РОССЕЛЬХОЗБАНК» ЮРИДИЧЕСКИМ ЛИЦАМ, </w:t>
      </w:r>
      <w:r>
        <w:rPr>
          <w:rFonts w:ascii="Times New Roman" w:hAnsi="Times New Roman" w:eastAsia="Times New Roman"/>
          <w:b/>
          <w:sz w:val="32"/>
          <w:szCs w:val="32"/>
          <w:lang w:eastAsia="ru-RU"/>
        </w:rPr>
        <w:t xml:space="preserve">СУБЪЕКТАМ РОССИЙСКОЙ ФЕДЕРАЦИИ, МУНИЦИПАЛЬНЫМ ОБРАЗОВАНИЯМ, </w:t>
      </w:r>
      <w:r>
        <w:rPr>
          <w:rFonts w:ascii="Times New Roman" w:hAnsi="Times New Roman" w:eastAsia="Times New Roman"/>
          <w:b/>
          <w:sz w:val="32"/>
          <w:szCs w:val="32"/>
          <w:lang w:eastAsia="ru-RU"/>
        </w:rPr>
        <w:t xml:space="preserve">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sz w:val="32"/>
          <w:szCs w:val="32"/>
          <w:lang w:eastAsia="ru-RU"/>
        </w:rPr>
      </w:r>
      <w:r>
        <w:rPr>
          <w:rFonts w:ascii="Times New Roman" w:hAnsi="Times New Roman" w:eastAsia="Times New Roman"/>
          <w:b/>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t xml:space="preserve">Действуют с 01</w:t>
      </w:r>
      <w:r>
        <w:rPr>
          <w:rFonts w:ascii="Times New Roman" w:hAnsi="Times New Roman" w:eastAsia="Times New Roman"/>
          <w:sz w:val="32"/>
          <w:szCs w:val="32"/>
          <w:lang w:eastAsia="ru-RU"/>
        </w:rPr>
        <w:t xml:space="preserve">.</w:t>
      </w:r>
      <w:r>
        <w:rPr>
          <w:rFonts w:ascii="Times New Roman" w:hAnsi="Times New Roman" w:eastAsia="Times New Roman"/>
          <w:sz w:val="32"/>
          <w:szCs w:val="32"/>
          <w:lang w:eastAsia="ru-RU"/>
        </w:rPr>
        <w:t xml:space="preserve">01.2026</w:t>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r>
            <w:r>
              <w:rPr>
                <w:rFonts w:ascii="Times New Roman" w:hAnsi="Times New Roman" w:eastAsia="Times New Roman"/>
                <w:sz w:val="24"/>
                <w:szCs w:val="24"/>
                <w:highlight w:val="none"/>
              </w:rPr>
              <w:t xml:space="preserve">Департамент транзакционных продуктов и сервисов (ДТПиС)</w:t>
            </w: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b/>
        </w:rPr>
      </w:pPr>
      <w:r>
        <w:rPr>
          <w:rFonts w:ascii="Times New Roman" w:hAnsi="Times New Roman"/>
          <w:b/>
        </w:rPr>
        <w:t xml:space="preserve">СОДЕРЖАНИЕ: </w:t>
      </w:r>
      <w:r>
        <w:rPr>
          <w:rFonts w:ascii="Times New Roman" w:hAnsi="Times New Roman"/>
          <w:b/>
        </w:rPr>
      </w:r>
      <w:r>
        <w:rPr>
          <w:rFonts w:ascii="Times New Roman" w:hAnsi="Times New Roman"/>
          <w:b/>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Открытие и ведение счетов….……………………………………………………………………</w:t>
      </w:r>
      <w:r>
        <w:rPr>
          <w:rFonts w:ascii="Times New Roman" w:hAnsi="Times New Roman"/>
        </w:rPr>
        <w:t xml:space="preserve">..</w:t>
      </w:r>
      <w:r>
        <w:rPr>
          <w:rFonts w:ascii="Times New Roman" w:hAnsi="Times New Roman"/>
        </w:rPr>
        <w:t xml:space="preserve">…3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….22</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Выполнение функций агента валютного контроля… ..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…27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ценными бумагами…………………………………………………………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...34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Документарные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…35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Гарантийные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……44</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Дистанционное банковское обслуживание (ДБО)…………………….……………………</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…49</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Хранение ценностей клиентов в хранилище ценностей Банка……</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…56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Аренда клиентами индивидуальных сейфовых ячеек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..57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Услуги инкассации………………………………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…..58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по покупке-продаже иностранной валюты…………</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Кредитные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…...60 </w:t>
      </w:r>
      <w:r>
        <w:rPr>
          <w:rFonts w:ascii="Times New Roman" w:hAnsi="Times New Roman"/>
        </w:rPr>
      </w:r>
      <w:r>
        <w:rPr>
          <w:rFonts w:ascii="Times New Roman" w:hAnsi="Times New Roman"/>
        </w:rPr>
      </w:r>
    </w:p>
    <w:p>
      <w:pPr>
        <w:pStyle w:val="1172"/>
        <w:numPr>
          <w:ilvl w:val="0"/>
          <w:numId w:val="18"/>
        </w:numPr>
        <w:ind w:left="851" w:hanging="1014"/>
        <w:jc w:val="both"/>
        <w:spacing w:after="0" w:line="240" w:lineRule="auto"/>
        <w:tabs>
          <w:tab w:val="left" w:pos="851"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w:t>
      </w:r>
      <w:r>
        <w:rPr>
          <w:rFonts w:ascii="Times New Roman" w:hAnsi="Times New Roman"/>
        </w:rPr>
        <w:t xml:space="preserve"> </w:t>
      </w:r>
      <w:r>
        <w:rPr>
          <w:rFonts w:ascii="Times New Roman" w:hAnsi="Times New Roman"/>
        </w:rPr>
        <w:t xml:space="preserve">а </w:t>
      </w:r>
      <w:r>
        <w:rPr>
          <w:rFonts w:ascii="Times New Roman" w:hAnsi="Times New Roman"/>
        </w:rPr>
        <w:t xml:space="preserve">также</w:t>
      </w:r>
      <w:r>
        <w:rPr>
          <w:rFonts w:ascii="Times New Roman" w:hAnsi="Times New Roman"/>
        </w:rPr>
        <w:t xml:space="preserve"> </w:t>
      </w:r>
      <w:r>
        <w:rPr>
          <w:rFonts w:ascii="Times New Roman" w:hAnsi="Times New Roman"/>
        </w:rPr>
        <w:t xml:space="preserve">принимающих оплату через сервис быстрых платежей платежной системы Банка </w:t>
      </w:r>
      <w:r>
        <w:rPr>
          <w:rFonts w:ascii="Times New Roman" w:hAnsi="Times New Roman"/>
        </w:rPr>
        <w:t xml:space="preserve">        </w:t>
      </w:r>
      <w:r>
        <w:rPr>
          <w:rFonts w:ascii="Times New Roman" w:hAnsi="Times New Roman"/>
        </w:rPr>
      </w:r>
      <w:r>
        <w:rPr>
          <w:rFonts w:ascii="Times New Roman" w:hAnsi="Times New Roman"/>
        </w:rPr>
      </w:r>
    </w:p>
    <w:p>
      <w:pPr>
        <w:pStyle w:val="1172"/>
        <w:ind w:left="851"/>
        <w:spacing w:after="0" w:line="240" w:lineRule="auto"/>
        <w:tabs>
          <w:tab w:val="left" w:pos="851" w:leader="none"/>
        </w:tabs>
        <w:rPr>
          <w:rFonts w:ascii="Times New Roman" w:hAnsi="Times New Roman"/>
        </w:rPr>
      </w:pPr>
      <w:r>
        <w:rPr>
          <w:rFonts w:ascii="Times New Roman" w:hAnsi="Times New Roman"/>
        </w:rPr>
        <w:t xml:space="preserve">России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...80</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Депозитарные услуги…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………..…82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Обслуживание с использованием Торговой системы РСХБ-Дилин</w:t>
      </w:r>
      <w:r>
        <w:rPr>
          <w:rFonts w:ascii="Times New Roman" w:hAnsi="Times New Roman"/>
        </w:rPr>
        <w:t xml:space="preserve">г АО «Россельхозбанк»,</w:t>
      </w:r>
      <w:r>
        <w:rPr>
          <w:rFonts w:ascii="Times New Roman" w:hAnsi="Times New Roman"/>
        </w:rPr>
      </w:r>
      <w:r>
        <w:rPr>
          <w:rFonts w:ascii="Times New Roman" w:hAnsi="Times New Roman"/>
        </w:rPr>
      </w:r>
    </w:p>
    <w:p>
      <w:pPr>
        <w:pStyle w:val="1172"/>
        <w:ind w:left="851"/>
        <w:spacing w:after="0" w:line="240" w:lineRule="auto"/>
        <w:tabs>
          <w:tab w:val="left" w:pos="851" w:leader="none"/>
        </w:tabs>
        <w:rPr>
          <w:rFonts w:ascii="Times New Roman" w:hAnsi="Times New Roman"/>
        </w:rPr>
      </w:pPr>
      <w:r>
        <w:rPr>
          <w:rFonts w:ascii="Times New Roman" w:hAnsi="Times New Roman"/>
        </w:rPr>
        <w:t xml:space="preserve">Торговой системы РСХБ-Дилинг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…..92 </w:t>
      </w:r>
      <w:r>
        <w:rPr>
          <w:rFonts w:ascii="Times New Roman" w:hAnsi="Times New Roman"/>
        </w:rPr>
      </w:r>
      <w:r>
        <w:rPr>
          <w:rFonts w:ascii="Times New Roman" w:hAnsi="Times New Roman"/>
        </w:rPr>
      </w:r>
    </w:p>
    <w:p>
      <w:pPr>
        <w:pStyle w:val="1172"/>
        <w:ind w:left="851" w:hanging="1014"/>
        <w:spacing w:after="0" w:line="240" w:lineRule="auto"/>
        <w:tabs>
          <w:tab w:val="left" w:pos="85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Приложение 1……………………………………………...…………………………</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…95</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2"/>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2500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w:t>
            </w:r>
            <w:r>
              <w:rPr>
                <w:rFonts w:ascii="Times New Roman" w:hAnsi="Times New Roman" w:eastAsia="Times New Roman"/>
                <w:bCs/>
                <w:lang w:eastAsia="ru-RU"/>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numPr>
                <w:ilvl w:val="0"/>
                <w:numId w:val="11"/>
              </w:numPr>
              <w:ind w:left="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72"/>
              <w:numPr>
                <w:ilvl w:val="0"/>
                <w:numId w:val="11"/>
              </w:numPr>
              <w:ind w:left="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w:t>
            </w:r>
            <w:r>
              <w:rPr>
                <w:rFonts w:ascii="Times New Roman" w:hAnsi="Times New Roman" w:eastAsia="Times New Roman"/>
                <w:color w:val="000000"/>
                <w:lang w:eastAsia="ru-RU"/>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w:t>
            </w:r>
            <w:r>
              <w:rPr>
                <w:rFonts w:ascii="Times New Roman" w:hAnsi="Times New Roman"/>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lang w:eastAsia="en-US"/>
              </w:rPr>
            </w:pPr>
            <w:r>
              <w:rPr>
                <w:rFonts w:ascii="Times New Roman" w:hAnsi="Times New Roman" w:eastAsia="Times New Roman"/>
                <w:bCs/>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72"/>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ascii="Times New Roman" w:hAnsi="Times New Roman"/>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72"/>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rPr>
            </w:r>
            <w:r>
              <w:rPr>
                <w:rFonts w:ascii="Times New Roman" w:hAnsi="Times New Roman"/>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br w:type="textWrapping" w:clear="all"/>
              <w:t xml:space="preserve">до 100 млн. руб. (включительно)</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72"/>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2"/>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72"/>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jc w:val="both"/>
              <w:spacing w:after="0" w:line="240" w:lineRule="auto"/>
              <w:rPr>
                <w:rFonts w:ascii="Times New Roman" w:hAnsi="Times New Roman"/>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rPr>
              <w:t xml:space="preserve">300 руб. </w:t>
            </w:r>
            <w:r>
              <w:rPr>
                <w:rFonts w:ascii="Times New Roman" w:hAnsi="Times New Roman"/>
              </w:rPr>
              <w:t xml:space="preserve">за </w:t>
            </w:r>
            <w:r>
              <w:rPr>
                <w:rFonts w:ascii="Times New Roman" w:hAnsi="Times New Roman"/>
              </w:rPr>
              <w:t xml:space="preserve">перевод</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до 150 000,00 руб. (включительно)</w:t>
            </w:r>
            <w:r>
              <w:rPr>
                <w:rFonts w:ascii="Times New Roman" w:hAnsi="Times New Roman"/>
              </w:rPr>
              <w:t xml:space="preserve"> в месяц</w:t>
            </w:r>
            <w:r>
              <w:rPr>
                <w:rFonts w:ascii="Times New Roman" w:hAnsi="Times New Roman"/>
              </w:rPr>
              <w:t xml:space="preserve">;</w:t>
            </w: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 от суммы </w:t>
            </w:r>
            <w:r>
              <w:rPr>
                <w:rFonts w:ascii="Times New Roman" w:hAnsi="Times New Roman"/>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150 000,01 руб. до 300 000,00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1,7%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300 000,01 руб. </w:t>
            </w:r>
            <w:r>
              <w:rPr>
                <w:rFonts w:ascii="Times New Roman" w:hAnsi="Times New Roman"/>
              </w:rPr>
              <w:t xml:space="preserve">до 2 000 000,00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rPr>
              <w:t xml:space="preserve">3,7% от суммы </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2 000 000,01 руб. </w:t>
            </w:r>
            <w:r>
              <w:rPr>
                <w:rFonts w:ascii="Times New Roman" w:hAnsi="Times New Roman"/>
              </w:rPr>
              <w:t xml:space="preserve">до 5 000 000,00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14:ligatures w14:val="none"/>
              </w:rPr>
            </w:r>
            <w:r>
              <w:rPr>
                <w:rFonts w:ascii="Times New Roman" w:hAnsi="Times New Roman"/>
                <w14:ligatures w14:val="none"/>
              </w:rPr>
            </w:r>
          </w:p>
          <w:p>
            <w:pPr>
              <w:pStyle w:val="1172"/>
              <w:jc w:val="center"/>
              <w:spacing w:after="120" w:line="240" w:lineRule="auto"/>
              <w:rPr>
                <w:rFonts w:ascii="Times New Roman" w:hAnsi="Times New Roman"/>
              </w:rPr>
            </w:pPr>
            <w:r>
              <w:rPr>
                <w:rFonts w:ascii="Times New Roman" w:hAnsi="Times New Roman"/>
              </w:rPr>
              <w:t xml:space="preserve">6%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свыше 5 000 000,00 руб.</w:t>
            </w:r>
            <w:r>
              <w:rPr>
                <w:rFonts w:ascii="Times New Roman" w:hAnsi="Times New Roman"/>
              </w:rPr>
              <w:t xml:space="preserve"> в месяц</w:t>
            </w:r>
            <w:r/>
            <w:r>
              <w:rPr>
                <w:rFonts w:ascii="Times New Roman" w:hAnsi="Times New Roman"/>
                <w:highlight w:val="none"/>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172"/>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w:t>
            </w:r>
            <w:r>
              <w:rPr>
                <w:rFonts w:ascii="Times New Roman" w:hAnsi="Times New Roman"/>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4. </w:t>
            </w:r>
            <w:r>
              <w:rPr>
                <w:rFonts w:ascii="Times New Roman" w:hAnsi="Times New Roman"/>
              </w:rPr>
            </w:r>
            <w:r>
              <w:rPr>
                <w:rFonts w:ascii="Times New Roman" w:hAnsi="Times New Roman"/>
              </w:rPr>
              <w:t xml:space="preserve">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
              <w:rPr>
                <w:rFonts w:ascii="Times New Roman" w:hAnsi="Times New Roman"/>
              </w:rPr>
            </w:r>
          </w:p>
          <w:p>
            <w:pPr>
              <w:pStyle w:val="1172"/>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w:t>
            </w:r>
            <w:r>
              <w:rPr>
                <w:rFonts w:ascii="Times New Roman" w:hAnsi="Times New Roman"/>
                <w:sz w:val="24"/>
                <w:szCs w:val="24"/>
                <w:highlight w:val="none"/>
              </w:rPr>
              <w:t xml:space="preserve">Суммарный объем</w:t>
            </w:r>
            <w:r>
              <w:rPr>
                <w:rFonts w:ascii="Times New Roman" w:hAnsi="Times New Roman"/>
              </w:rPr>
              <w:t xml:space="preserve">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sz w:val="24"/>
                <w:szCs w:val="24"/>
                <w:highlight w:val="none"/>
              </w:rPr>
              <w:t xml:space="preserve">Суммарный объем</w:t>
            </w:r>
            <w:r>
              <w:rPr>
                <w:rFonts w:ascii="Times New Roman" w:hAnsi="Times New Roman"/>
              </w:rPr>
              <w:t xml:space="preserve"> денежных средств.</w:t>
            </w:r>
            <w:r>
              <w:rPr>
                <w:rFonts w:ascii="Times New Roman" w:hAnsi="Times New Roman"/>
              </w:rPr>
            </w:r>
            <w:r>
              <w:rPr>
                <w:rFonts w:ascii="Times New Roman" w:hAnsi="Times New Roman"/>
              </w:rPr>
            </w:r>
          </w:p>
          <w:p>
            <w:pPr>
              <w:pStyle w:val="1172"/>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r>
            <w:r>
              <w:rPr>
                <w:rFonts w:ascii="Times New Roman" w:hAnsi="Times New Roman"/>
                <w:sz w:val="24"/>
                <w:szCs w:val="24"/>
                <w:highlight w:val="none"/>
              </w:rPr>
              <w:t xml:space="preserve">При этом комиссия за перевод</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перевода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r>
              <w:rPr>
                <w:rFonts w:ascii="Times New Roman" w:hAnsi="Times New Roman"/>
              </w:rPr>
            </w:r>
            <w:r>
              <w:rPr>
                <w:rFonts w:ascii="Times New Roman" w:hAnsi="Times New Roman"/>
              </w:rPr>
            </w: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w:t>
            </w:r>
            <w:r>
              <w:rPr>
                <w:rFonts w:ascii="Times New Roman" w:hAnsi="Times New Roman" w:eastAsia="Times New Roman"/>
                <w:bCs/>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w:t>
            </w:r>
            <w:r>
              <w:rPr>
                <w:rFonts w:ascii="Times New Roman" w:hAnsi="Times New Roman" w:eastAsia="Times New Roman"/>
                <w:bCs/>
                <w:lang w:eastAsia="ru-RU"/>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2"/>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72"/>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34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72"/>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72"/>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 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72"/>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72"/>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72"/>
        <w:jc w:val="both"/>
        <w:spacing w:before="60"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2"/>
        <w:jc w:val="both"/>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2"/>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 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72"/>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2. Кассовые операции* (В соответствии с Федеральным законом от 10 июля 2</w:t>
      </w:r>
      <w:r>
        <w:rPr>
          <w:rFonts w:ascii="Times New Roman" w:hAnsi="Times New Roman" w:eastAsia="Times New Roman"/>
          <w:b/>
          <w:bCs/>
          <w:sz w:val="24"/>
          <w:szCs w:val="24"/>
          <w:lang w:eastAsia="ru-RU"/>
        </w:rPr>
        <w:t xml:space="preserve">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w:t>
      </w:r>
      <w:r>
        <w:rPr>
          <w:rFonts w:ascii="Times New Roman" w:hAnsi="Times New Roman" w:eastAsia="Times New Roman"/>
          <w:b/>
          <w:bCs/>
          <w:sz w:val="24"/>
          <w:szCs w:val="24"/>
          <w:lang w:eastAsia="ru-RU"/>
        </w:rPr>
        <w:t xml:space="preserve">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денежной чековой книжки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листов – 200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листов –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2"/>
              <w:jc w:val="both"/>
              <w:spacing w:after="0" w:line="240" w:lineRule="auto"/>
              <w:rPr>
                <w:rFonts w:ascii="Times New Roman" w:hAnsi="Times New Roman" w:eastAsia="Times New Roman"/>
                <w:bCs/>
                <w:sz w:val="20"/>
                <w:szCs w:val="20"/>
                <w:lang w:eastAsia="ru-RU"/>
              </w:rPr>
            </w:pPr>
            <w:r>
              <w:rPr>
                <w:rFonts w:ascii="Times New Roman" w:hAnsi="Times New Roman"/>
                <w:sz w:val="24"/>
                <w:szCs w:val="24"/>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0,9% от суммы,</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bCs/>
              </w:rPr>
            </w:pPr>
            <w:r>
              <w:rPr>
                <w:rFonts w:ascii="Times New Roman" w:hAnsi="Times New Roman"/>
                <w:bCs/>
              </w:rPr>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rPr>
                <w:rFonts w:ascii="Times New Roman" w:hAnsi="Times New Roman"/>
              </w:rPr>
            </w:pPr>
            <w:r>
              <w:rPr>
                <w:rFonts w:ascii="Times New Roman" w:hAnsi="Times New Roman"/>
              </w:rPr>
              <w:t xml:space="preserve">2.2.2.</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на другие цели, </w:t>
            </w:r>
            <w:r>
              <w:rPr>
                <w:rFonts w:ascii="Times New Roman" w:hAnsi="Times New Roman"/>
                <w:bC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r>
            <w:r>
              <w:rPr>
                <w:rFonts w:ascii="Times New Roman" w:hAnsi="Times New Roman"/>
                <w:bCs/>
              </w:rPr>
            </w:r>
          </w:p>
          <w:p>
            <w:pPr>
              <w:pStyle w:val="1172"/>
              <w:jc w:val="both"/>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rPr>
              <w:t xml:space="preserve">2% от суммы</w:t>
            </w:r>
            <w:r>
              <w:rPr>
                <w:rFonts w:ascii="Times New Roman" w:hAnsi="Times New Roman"/>
                <w:bCs/>
              </w:rPr>
              <w:t xml:space="preserve"> выдачи</w:t>
            </w:r>
            <w:r>
              <w:rPr>
                <w:rFonts w:ascii="Times New Roman" w:hAnsi="Times New Roman"/>
                <w:bCs/>
              </w:rPr>
              <w:t xml:space="preserve"> </w:t>
            </w:r>
            <w:r>
              <w:rPr>
                <w:rFonts w:ascii="Times New Roman" w:hAnsi="Times New Roman"/>
                <w:bCs/>
              </w:rPr>
              <w:t xml:space="preserve">при Суммарном объеме выдачи денежных средств </w:t>
            </w:r>
            <w:r>
              <w:rPr>
                <w:rFonts w:ascii="Times New Roman" w:hAnsi="Times New Roman"/>
                <w:bCs/>
              </w:rPr>
              <w:t xml:space="preserve">до 300 000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t xml:space="preserve">выдачи</w:t>
            </w:r>
            <w:r>
              <w:rPr>
                <w:rFonts w:ascii="Times New Roman" w:hAnsi="Times New Roman"/>
                <w:bCs/>
              </w:rPr>
              <w:t xml:space="preserve">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 с </w:t>
            </w:r>
            <w:r>
              <w:rPr>
                <w:rFonts w:ascii="Times New Roman" w:hAnsi="Times New Roman"/>
                <w:bCs/>
              </w:rPr>
              <w:t xml:space="preserve">300 000,01 руб. </w:t>
            </w:r>
            <w:r>
              <w:rPr>
                <w:rFonts w:ascii="Times New Roman" w:hAnsi="Times New Roman"/>
                <w:bCs/>
              </w:rPr>
              <w:t xml:space="preserve">до 1 500 000,00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1 500 000,01 руб. </w:t>
            </w:r>
            <w:r>
              <w:rPr>
                <w:rFonts w:ascii="Times New Roman" w:hAnsi="Times New Roman"/>
                <w:bCs/>
              </w:rPr>
              <w:t xml:space="preserve">до 4 000 000,00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rPr>
            </w:pPr>
            <w:r>
              <w:rPr>
                <w:rFonts w:ascii="Times New Roman" w:hAnsi="Times New Roman"/>
                <w:bCs/>
              </w:rPr>
              <w:t xml:space="preserve">10% от суммы</w:t>
            </w:r>
            <w:r>
              <w:rPr>
                <w:rFonts w:ascii="Times New Roman" w:hAnsi="Times New Roman"/>
                <w:bCs/>
              </w:rPr>
              <w:t xml:space="preserve"> 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4 000 000,01 руб.</w:t>
            </w:r>
            <w:r>
              <w:rPr>
                <w:rFonts w:ascii="Times New Roman" w:hAnsi="Times New Roman"/>
                <w:bCs/>
              </w:rPr>
              <w:t xml:space="preserve"> </w:t>
            </w:r>
            <w:r>
              <w:rPr>
                <w:rFonts w:ascii="Times New Roman" w:hAnsi="Times New Roman"/>
                <w:bCs/>
              </w:rPr>
              <w:t xml:space="preserve">и выше в </w:t>
            </w:r>
            <w:r>
              <w:rPr>
                <w:rFonts w:ascii="Times New Roman" w:hAnsi="Times New Roman"/>
                <w:bCs/>
              </w:rPr>
              <w:t xml:space="preserve">месяц</w:t>
            </w: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after="0" w:line="240" w:lineRule="auto"/>
              <w:tabs>
                <w:tab w:val="left" w:pos="0" w:leader="none"/>
                <w:tab w:val="left" w:pos="1134" w:leader="none"/>
              </w:tabs>
              <w:rPr>
                <w:rFonts w:ascii="Times New Roman" w:hAnsi="Times New Roman" w:eastAsia="Times New Roman"/>
                <w:highlight w:val="none"/>
                <w:lang w:eastAsia="ru-RU"/>
              </w:rPr>
            </w:pPr>
            <w:r>
              <w:rPr>
                <w:rFonts w:ascii="Times New Roman" w:hAnsi="Times New Roman" w:eastAsia="Times New Roman"/>
                <w:bCs/>
                <w:lang w:eastAsia="ru-RU"/>
              </w:rPr>
              <w:t xml:space="preserve">Для определения размера тарифа по каждой операции рассчитывается С</w:t>
            </w:r>
            <w:r>
              <w:rPr>
                <w:rFonts w:ascii="Times New Roman" w:hAnsi="Times New Roman"/>
                <w:sz w:val="24"/>
                <w:szCs w:val="24"/>
                <w:highlight w:val="none"/>
              </w:rPr>
              <w:t xml:space="preserve">уммарный объем</w:t>
            </w:r>
            <w:r>
              <w:rPr>
                <w:rFonts w:ascii="Times New Roman" w:hAnsi="Times New Roman" w:eastAsia="Times New Roman"/>
                <w:bCs/>
                <w:lang w:eastAsia="ru-RU"/>
              </w:rPr>
              <w:t xml:space="preserve">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after="0" w:line="240" w:lineRule="auto"/>
              <w:tabs>
                <w:tab w:val="left" w:pos="0" w:leader="none"/>
                <w:tab w:val="left" w:pos="1134" w:leader="none"/>
              </w:tabs>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sz w:val="24"/>
                <w:szCs w:val="24"/>
                <w:highlight w:val="none"/>
              </w:rPr>
              <w:t xml:space="preserve">При этом комиссия за выдачу наличных денежных средств</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выдачи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tabs>
                <w:tab w:val="left" w:pos="0"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4"/>
                <w:szCs w:val="24"/>
                <w:lang w:eastAsia="ru-RU"/>
              </w:rPr>
              <w:t xml:space="preserve">Суммарного объем</w:t>
            </w:r>
            <w:r>
              <w:rPr>
                <w:rFonts w:ascii="Times New Roman" w:hAnsi="Times New Roman" w:eastAsia="Times New Roman"/>
                <w:bCs/>
                <w:lang w:eastAsia="ru-RU"/>
              </w:rPr>
              <w:t xml:space="preserve">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bC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bC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rPr>
              <w:t xml:space="preserve">1,3%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до 3 500 000,00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1,5%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3 500 000,01</w:t>
            </w:r>
            <w:r>
              <w:rPr>
                <w:rFonts w:ascii="Times New Roman" w:hAnsi="Times New Roman"/>
              </w:rPr>
              <w:t xml:space="preserve"> </w:t>
            </w:r>
            <w:r>
              <w:rPr>
                <w:rFonts w:ascii="Times New Roman" w:hAnsi="Times New Roman"/>
              </w:rPr>
              <w:t xml:space="preserve">до 6 000 000,00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3%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6 000 000,01</w:t>
            </w:r>
            <w:r>
              <w:rPr>
                <w:rFonts w:ascii="Times New Roman" w:hAnsi="Times New Roman"/>
              </w:rPr>
              <w:t xml:space="preserve"> </w:t>
            </w:r>
            <w:r>
              <w:rPr>
                <w:rFonts w:ascii="Times New Roman" w:hAnsi="Times New Roman"/>
              </w:rPr>
              <w:t xml:space="preserve">до 10 000 000,00 руб. (включительно) </w:t>
            </w:r>
            <w:r>
              <w:rPr>
                <w:rFonts w:ascii="Times New Roman" w:hAnsi="Times New Roman"/>
              </w:rPr>
              <w:t xml:space="preserve">в</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5%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10 000 000,01</w:t>
            </w:r>
            <w:r>
              <w:rPr>
                <w:rFonts w:ascii="Times New Roman" w:hAnsi="Times New Roman"/>
              </w:rPr>
              <w:t xml:space="preserve"> </w:t>
            </w:r>
            <w:r>
              <w:rPr>
                <w:rFonts w:ascii="Times New Roman" w:hAnsi="Times New Roman"/>
              </w:rPr>
              <w:t xml:space="preserve">до 15 000 000,00 руб. (включительно) </w:t>
            </w:r>
            <w:r>
              <w:rPr>
                <w:rFonts w:ascii="Times New Roman" w:hAnsi="Times New Roman"/>
              </w:rPr>
              <w:t xml:space="preserve">в </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rPr>
              <w:t xml:space="preserve">10%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c 15 000 000,01 руб. и выше в </w:t>
            </w:r>
            <w:r>
              <w:rPr>
                <w:rFonts w:ascii="Times New Roman" w:hAnsi="Times New Roman"/>
              </w:rPr>
              <w:t xml:space="preserve">месяц</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bCs/>
              </w:rPr>
            </w:pP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Cs w:val="20"/>
              </w:rPr>
              <w:t xml:space="preserve">Для определения размера тарифа по каждой операции рассчитывается </w:t>
            </w:r>
            <w:r>
              <w:rPr>
                <w:rFonts w:ascii="Times New Roman" w:hAnsi="Times New Roman"/>
                <w:sz w:val="24"/>
                <w:szCs w:val="24"/>
                <w:highlight w:val="none"/>
              </w:rPr>
              <w:t xml:space="preserve">Суммарный объем</w:t>
            </w:r>
            <w:r>
              <w:rPr>
                <w:rFonts w:ascii="Times New Roman" w:hAnsi="Times New Roman"/>
                <w:bCs/>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none"/>
              </w:rPr>
            </w:r>
            <w:r>
              <w:rPr>
                <w:rFonts w:ascii="Times New Roman" w:hAnsi="Times New Roman"/>
                <w:highlight w:val="none"/>
              </w:rPr>
            </w:r>
          </w:p>
          <w:p>
            <w:pPr>
              <w:jc w:val="both"/>
              <w:spacing w:before="40" w:after="0" w:line="240" w:lineRule="auto"/>
              <w:tabs>
                <w:tab w:val="left" w:pos="0" w:leader="none"/>
                <w:tab w:val="left" w:pos="1134" w:leader="none"/>
              </w:tabs>
              <w:rPr>
                <w:rFonts w:ascii="Times New Roman" w:hAnsi="Times New Roman"/>
              </w:rPr>
            </w:pPr>
            <w:r>
              <w:rPr>
                <w:rFonts w:ascii="Times New Roman" w:hAnsi="Times New Roman"/>
                <w:bCs/>
                <w:szCs w:val="20"/>
                <w:highlight w:val="none"/>
              </w:rPr>
            </w:r>
            <w:r>
              <w:rPr>
                <w:rFonts w:ascii="Times New Roman" w:hAnsi="Times New Roman"/>
                <w:sz w:val="24"/>
                <w:szCs w:val="24"/>
                <w:highlight w:val="none"/>
              </w:rPr>
              <w:t xml:space="preserve">При этом комиссия за выдачу наличных денежных средств</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выдачи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rPr>
            </w:r>
            <w:r>
              <w:rPr>
                <w:rFonts w:ascii="Times New Roman" w:hAnsi="Times New Roman"/>
              </w:rPr>
            </w:r>
          </w:p>
          <w:p>
            <w:pPr>
              <w:pStyle w:val="1172"/>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72"/>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4"/>
                <w:szCs w:val="24"/>
                <w:lang w:eastAsia="ru-RU"/>
              </w:rPr>
              <w:t xml:space="preserve">Суммарного объема</w:t>
            </w:r>
            <w:r>
              <w:rPr>
                <w:rFonts w:ascii="Times New Roman" w:hAnsi="Times New Roman"/>
                <w:bCs/>
                <w:szCs w:val="20"/>
              </w:rPr>
              <w:t xml:space="preserve"> денежных средств.</w:t>
            </w:r>
            <w:r>
              <w:rPr>
                <w:rFonts w:ascii="Times New Roman" w:hAnsi="Times New Roman"/>
                <w:bCs/>
                <w:szCs w:val="20"/>
              </w:rPr>
            </w:r>
            <w:r>
              <w:rPr>
                <w:rFonts w:ascii="Times New Roman" w:hAnsi="Times New Roman"/>
                <w:bCs/>
                <w:szCs w:val="20"/>
              </w:rPr>
            </w:r>
            <w:r>
              <w:rPr>
                <w:rFonts w:ascii="Times New Roman" w:hAnsi="Times New Roman"/>
                <w:bCs/>
                <w:szCs w:val="20"/>
              </w:rPr>
            </w:r>
            <w:r>
              <w:rPr>
                <w:rFonts w:ascii="Times New Roman" w:hAnsi="Times New Roman"/>
                <w:bCs/>
                <w:szCs w:val="20"/>
              </w:rPr>
            </w:r>
            <w:r>
              <w:rPr>
                <w:rFonts w:ascii="Times New Roman" w:hAnsi="Times New Roman"/>
                <w:bCs/>
                <w:szCs w:val="20"/>
              </w:rPr>
            </w:r>
            <w:r>
              <w:rPr>
                <w:rFonts w:ascii="Times New Roman" w:hAnsi="Times New Roman"/>
                <w:bCs/>
                <w:szCs w:val="20"/>
              </w:rPr>
            </w: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Выдача остатка денежной наличности при закрытии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2.4.1.</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2.4.2.</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2.4.3.</w:t>
            </w:r>
            <w:r>
              <w:rPr>
                <w:rFonts w:ascii="Times New Roman" w:hAnsi="Times New Roman"/>
              </w:rPr>
            </w:r>
            <w:r>
              <w:rPr>
                <w:rFonts w:ascii="Times New Roman" w:hAnsi="Times New Roman"/>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line="240" w:lineRule="auto"/>
              <w:rPr>
                <w:rFonts w:ascii="Times New Roman" w:hAnsi="Times New Roman"/>
              </w:rPr>
            </w:pPr>
            <w:r>
              <w:rPr>
                <w:rFonts w:ascii="Times New Roman" w:hAnsi="Times New Roman"/>
              </w:rPr>
              <w:t xml:space="preserve">2.4.4.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rPr>
            </w:pPr>
            <w:r>
              <w:rPr>
                <w:rFonts w:ascii="Times New Roman" w:hAnsi="Times New Roman"/>
                <w:bCs/>
              </w:rPr>
              <w:t xml:space="preserve">Поступившей по объявлению на взнос наличными (банкноты);</w:t>
            </w:r>
            <w:r>
              <w:rPr>
                <w:rFonts w:ascii="Times New Roman" w:hAnsi="Times New Roman"/>
              </w:rPr>
            </w:r>
            <w:r>
              <w:rPr>
                <w:rFonts w:ascii="Times New Roman" w:hAnsi="Times New Roman"/>
              </w:rPr>
            </w:r>
          </w:p>
          <w:p>
            <w:pPr>
              <w:pStyle w:val="1172"/>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w:t>
            </w:r>
            <w:r>
              <w:rPr>
                <w:rFonts w:ascii="Times New Roman" w:hAnsi="Times New Roman"/>
                <w:bCs/>
              </w:rPr>
              <w:t xml:space="preserve">организаций, а также иных организаций, привлекаемых для оказания услуг по перевозке ценностей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Прием и пересчет монет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0,40% от суммы, минимум 250 руб.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0,25% от суммы,</w:t>
              <w:br w:type="textWrapping" w:clear="all"/>
              <w:t xml:space="preserve">минимум 250 руб.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0,2% от суммы, минимум 250 руб.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2% от суммы, минимум 250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72"/>
              <w:spacing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lang w:eastAsia="ru-RU"/>
              </w:rPr>
              <w:t xml:space="preserve">.</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минимум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7"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172"/>
              <w:jc w:val="both"/>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172"/>
        <w:spacing w:after="0" w:line="240" w:lineRule="auto"/>
        <w:rPr>
          <w:rFonts w:ascii="Times New Roman" w:hAnsi="Times New Roman" w:eastAsia="Times New Roman"/>
          <w:bCs/>
          <w:u w:val="single"/>
          <w:lang w:eastAsia="ru-RU"/>
        </w:rPr>
      </w:pPr>
      <w:r>
        <w:rPr>
          <w:rFonts w:ascii="Times New Roman" w:hAnsi="Times New Roman" w:eastAsia="Times New Roman"/>
          <w:bCs/>
          <w:u w:val="single"/>
          <w:lang w:eastAsia="ru-RU"/>
        </w:rPr>
      </w:r>
      <w:r>
        <w:rPr>
          <w:rFonts w:ascii="Times New Roman" w:hAnsi="Times New Roman" w:eastAsia="Times New Roman"/>
          <w:bCs/>
          <w:u w:val="single"/>
          <w:lang w:eastAsia="ru-RU"/>
        </w:rPr>
      </w:r>
      <w:r>
        <w:rPr>
          <w:rFonts w:ascii="Times New Roman" w:hAnsi="Times New Roman" w:eastAsia="Times New Roman"/>
          <w:bCs/>
          <w:u w:val="single"/>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u w:val="single"/>
          <w:lang w:eastAsia="ru-RU"/>
        </w:rPr>
        <w:t xml:space="preserve">Примечание</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sz w:val="24"/>
          <w:szCs w:val="24"/>
          <w:lang w:eastAsia="ru-RU"/>
        </w:rPr>
      </w:pPr>
      <w:r>
        <w:rPr>
          <w:rFonts w:ascii="Times New Roman" w:hAnsi="Times New Roman"/>
          <w:bCs/>
          <w:sz w:val="24"/>
          <w:szCs w:val="24"/>
        </w:rPr>
        <w:t xml:space="preserve">Операции по обслуживанию бюджетных счетов (счета, открываемые на балансовых позициях 401-404)</w:t>
      </w:r>
      <w:r>
        <w:rPr>
          <w:rFonts w:eastAsia="Times New Roman"/>
          <w:lang w:eastAsia="ru-RU"/>
        </w:rPr>
        <w:t xml:space="preserve">, </w:t>
      </w:r>
      <w:r>
        <w:rPr>
          <w:rFonts w:ascii="Times New Roman" w:hAnsi="Times New Roman"/>
          <w:bCs/>
          <w:sz w:val="24"/>
          <w:szCs w:val="24"/>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4"/>
          <w:szCs w:val="24"/>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Предварительная заявка клиента – это письменное заявление</w:t>
      </w:r>
      <w:r>
        <w:rPr>
          <w:rFonts w:ascii="Times New Roman" w:hAnsi="Times New Roman" w:eastAsia="Times New Roman"/>
          <w:bCs/>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sz w:val="24"/>
          <w:szCs w:val="24"/>
        </w:rPr>
      </w:pPr>
      <w:r>
        <w:rPr>
          <w:rFonts w:ascii="Times New Roman" w:hAnsi="Times New Roman" w:eastAsia="Times New Roman"/>
          <w:bCs/>
          <w:lang w:eastAsia="ru-RU"/>
        </w:rPr>
        <w:t xml:space="preserve">01 - Растениеводство</w:t>
      </w:r>
      <w:r>
        <w:rPr>
          <w:rFonts w:ascii="Times New Roman" w:hAnsi="Times New Roman"/>
          <w:sz w:val="24"/>
          <w:szCs w:val="24"/>
        </w:rPr>
        <w:t xml:space="preserve">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10 - Производство пищевых продуктов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11 - Производство напитков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12 - Производство табачных изделий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46.2 - Торговля оптовая сельскохозяйственным сырьем и живыми животными.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46.21.1 - Торговля оптовая зерном, семенами и кормами для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46.21.11 - Торговля оптовая зерном.</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46.21.12 - Торговля оптовая семенами, кроме семян масличных культур.</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46.21.13 - Торговля оптовая масличными семенами и маслосодержащими плодами.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46.21.14 - Торговля оптовая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46.21.19 - Торговля оптовая сельскохозяйственным сырьем, не включенным в другие группировки.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46.22 - Торговля оптовая цветами и растениями.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46.23 - Торговля оптовая живыми животными.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46.31 - Торговля оптовая фруктами и овощами.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46.31.1 - Торговля оптовая свежими овощами, фруктами и орехами.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46.31.11 - Торговля оптовая свежим картофелем.</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46.31.12 - Торговля оптовая прочими свежими овощами.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46.31.13 - Торговля оптовая свежими фруктами и орехами.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46.32 - Торговля оптовая мясом и мясными продуктами.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46.32.1 - Торговля оптовая мясом и мясом птицы, включая субпродукты.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46.32.2 - Торговля оптовая продуктами из мяса и мяса птицы.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46.32.3 - Торговля оптовая консервами из мяса и мяса птицы.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46.33 - Торговля оптовая молочными продуктами, яйцами и пищевыми маслами и жирами.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46.33.1 - Торговля оптовая молочными продуктами.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46.33.2 - Торговля оптовая яйцами.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46.33.3 - Торговля оптовая пищевыми маслами и жирами.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47.21 - Торговля розничная фруктами и овощами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47.22 - Торговля розничная мясом и мясными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47.22.1 - Торговля розничная мясом и мясом птицы, включая субпродукты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47.22.2 - Торговля розничная продуктами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47.22.3 - Торговля розничная консервами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47.29.1 - Торговля розничная молочными продуктами и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47.29.11 - Торговля розничная молочными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47.29.12 - Торговля розничная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47.29.2 - Торговля розничная пищевыми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47.29.21 - Торговля розничная животными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sz w:val="24"/>
          <w:szCs w:val="24"/>
        </w:rPr>
        <w:t xml:space="preserve">47.29.22 - Торговля розничная растительными маслами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72"/>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72"/>
        <w:jc w:val="center"/>
        <w:spacing w:before="120" w:after="120" w:line="240" w:lineRule="auto"/>
        <w:tabs>
          <w:tab w:val="left" w:pos="426" w:leader="none"/>
          <w:tab w:val="left" w:pos="1134" w:leader="none"/>
        </w:tabs>
        <w:rPr>
          <w:rFonts w:ascii="Times New Roman" w:hAnsi="Times New Roman"/>
          <w:b/>
          <w:sz w:val="24"/>
          <w:szCs w:val="24"/>
        </w:rPr>
      </w:pPr>
      <w:r>
        <w:rPr>
          <w:rFonts w:ascii="Times New Roman" w:hAnsi="Times New Roman" w:eastAsia="Times New Roman"/>
          <w:b/>
          <w:bCs/>
          <w:sz w:val="24"/>
          <w:szCs w:val="24"/>
          <w:lang w:eastAsia="ru-RU"/>
        </w:rPr>
        <w:t xml:space="preserve">3. </w:t>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72"/>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72"/>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72"/>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72"/>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72"/>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72"/>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72"/>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72"/>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72"/>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10 000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0,15 % минимум 500 руб., максимум </w:t>
              <w:br w:type="textWrapping" w:clear="all"/>
              <w:t xml:space="preserve">80 000 руб. для ГО, ЦРМБ и ЦКБ,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72"/>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для ГО, ЦРМБ и ЦКБ,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72"/>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72"/>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72"/>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72"/>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72"/>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72"/>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72"/>
        <w:jc w:val="both"/>
        <w:spacing w:before="120" w:after="0" w:line="240" w:lineRule="auto"/>
        <w:rPr>
          <w:rFonts w:ascii="Times New Roman" w:hAnsi="Times New Roman"/>
          <w:bCs/>
          <w:sz w:val="20"/>
          <w:szCs w:val="20"/>
        </w:rPr>
      </w:pPr>
      <w:r>
        <w:rPr>
          <w:rFonts w:ascii="Times New Roman" w:hAnsi="Times New Roman"/>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72"/>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72"/>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72"/>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72"/>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72"/>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72"/>
        <w:numPr>
          <w:ilvl w:val="0"/>
          <w:numId w:val="8"/>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72"/>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72"/>
        <w:numPr>
          <w:ilvl w:val="0"/>
          <w:numId w:val="8"/>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172"/>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72"/>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72"/>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2"/>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305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 в региональных филиалах                      АО</w:t>
            </w:r>
            <w:r>
              <w:rPr>
                <w:rFonts w:ascii="Times New Roman" w:hAnsi="Times New Roman" w:eastAsia="Times New Roman"/>
                <w:lang w:eastAsia="ru-RU"/>
              </w:rPr>
              <w:t xml:space="preserve"> </w:t>
            </w:r>
            <w:r>
              <w:rPr>
                <w:rFonts w:ascii="Times New Roman" w:hAnsi="Times New Roman" w:eastAsia="Times New Roman"/>
                <w:bCs/>
                <w:lang w:eastAsia="ru-RU"/>
              </w:rPr>
              <w:t xml:space="preserve">«Россельхозбанк»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305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менее 30 дней</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30 дней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АО «Россельхозбанк»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«Россельхозбанк» серии «К» головным офисом и региональным филиалом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31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АО «Россельхозбанк»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72"/>
              <w:jc w:val="center"/>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4.4</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3422" w:type="dxa"/>
            <w:vAlign w:val="top"/>
            <w:textDirection w:val="lrTb"/>
            <w:noWrap w:val="false"/>
          </w:tcPr>
          <w:p>
            <w:pPr>
              <w:pStyle w:val="1172"/>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Предоставление копий сообщений и иных документов, обязательное раскрыт</w:t>
            </w:r>
            <w:r>
              <w:rPr>
                <w:rFonts w:ascii="Times New Roman" w:hAnsi="Times New Roman" w:eastAsia="Times New Roman"/>
                <w:lang w:eastAsia="ru-RU"/>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2485" w:type="dxa"/>
            <w:vAlign w:val="top"/>
            <w:textDirection w:val="lrTb"/>
            <w:noWrap w:val="false"/>
          </w:tcPr>
          <w:p>
            <w:pPr>
              <w:pStyle w:val="1172"/>
              <w:jc w:val="center"/>
              <w:spacing w:before="40"/>
              <w:rPr>
                <w:rFonts w:ascii="Times New Roman" w:hAnsi="Times New Roman" w:eastAsia="Times New Roman"/>
                <w:lang w:eastAsia="ru-RU"/>
              </w:rPr>
            </w:pPr>
            <w:r>
              <w:rPr>
                <w:rFonts w:ascii="Times New Roman" w:hAnsi="Times New Roman" w:eastAsia="Times New Roman"/>
                <w:lang w:eastAsia="ru-RU"/>
              </w:rPr>
              <w:t xml:space="preserve">11 руб. за один лист с односторонним расположением текста</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center"/>
        <w:keepNext/>
        <w:spacing w:after="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2"/>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172"/>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откр</w:t>
            </w:r>
            <w:r>
              <w:rPr>
                <w:rFonts w:ascii="Times New Roman" w:hAnsi="Times New Roman"/>
                <w:iCs/>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долларах США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максимум 50000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w:t>
            </w:r>
            <w:r>
              <w:rPr>
                <w:rFonts w:ascii="Times New Roman" w:hAnsi="Times New Roman"/>
                <w:iCs/>
              </w:rPr>
              <w:t xml:space="preserve">90 последовательных календарных дней,</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72"/>
              <w:jc w:val="both"/>
              <w:spacing w:after="0" w:line="240" w:lineRule="auto"/>
              <w:rPr>
                <w:rFonts w:ascii="Times New Roman" w:hAnsi="Times New Roman" w:eastAsia="Times New Roman"/>
                <w:bCs/>
                <w:color w:val="000000"/>
                <w:lang w:eastAsia="ru-RU"/>
              </w:rPr>
            </w:pPr>
            <w:r>
              <w:rPr>
                <w:rFonts w:ascii="Times New Roman" w:hAnsi="Times New Roman"/>
                <w:iCs/>
              </w:rPr>
              <w:t xml:space="preserve">Комиссия уплачив</w:t>
            </w:r>
            <w:r>
              <w:rPr>
                <w:rFonts w:ascii="Times New Roman" w:hAnsi="Times New Roman"/>
                <w:iCs/>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numPr>
                <w:ilvl w:val="0"/>
                <w:numId w:val="9"/>
              </w:numPr>
              <w:ind w:left="184" w:hanging="153"/>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ккредитива/отзыв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аккредитива/тратты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увеличением суммы, комиссия начисляется на сумму увеличения.</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w:t>
            </w:r>
            <w:r>
              <w:rPr>
                <w:rFonts w:ascii="Times New Roman" w:hAnsi="Times New Roman"/>
                <w:iCs/>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rFonts w:ascii="Times New Roman" w:hAnsi="Times New Roman"/>
                <w:iCs/>
              </w:rPr>
            </w:r>
            <w:r>
              <w:rPr>
                <w:rFonts w:ascii="Times New Roman" w:hAnsi="Times New Roman"/>
                <w:iCs/>
              </w:rPr>
            </w:r>
          </w:p>
          <w:p>
            <w:pPr>
              <w:pStyle w:val="1172"/>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рублях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(не применяется при изменении условий и аннуляции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172"/>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172"/>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Комиссия уплачивается в начисленной сумме п</w:t>
            </w:r>
            <w:r>
              <w:rPr>
                <w:rFonts w:ascii="Times New Roman" w:hAnsi="Times New Roman"/>
                <w:iCs/>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iCs/>
              </w:rPr>
            </w:r>
            <w:r>
              <w:rPr>
                <w:rFonts w:ascii="Times New Roman" w:hAnsi="Times New Roman"/>
                <w:iCs/>
              </w:rPr>
            </w:r>
          </w:p>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1 500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72"/>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50 евро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Чистое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Инкассо финансовых документов за исключением чеков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5.4.6.</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Переписка по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Комиссии по Разделам 5.2 «Документарные аккредитивы, открытые АО «Россельхозбанк» для расчетов по внешнеторговым сделкам (импо</w:t>
      </w:r>
      <w:r>
        <w:rPr>
          <w:rFonts w:ascii="Times New Roman" w:hAnsi="Times New Roman" w:eastAsia="Times New Roman"/>
          <w:sz w:val="20"/>
          <w:szCs w:val="20"/>
          <w:lang w:eastAsia="ru-RU"/>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rFonts w:ascii="Times New Roman" w:hAnsi="Times New Roman" w:eastAsia="Times New Roman"/>
          <w:sz w:val="20"/>
          <w:szCs w:val="20"/>
          <w:lang w:eastAsia="ru-RU"/>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кросс-курсом Банка России понимается отношение курса одной иностранной валюты к курсу другой иностранной валюты, р</w:t>
      </w:r>
      <w:r>
        <w:rPr>
          <w:rFonts w:ascii="Times New Roman" w:hAnsi="Times New Roman" w:eastAsia="Times New Roman"/>
          <w:sz w:val="20"/>
          <w:szCs w:val="20"/>
          <w:lang w:eastAsia="ru-RU"/>
        </w:rPr>
        <w:t xml:space="preserve">ассчитанное по официальным курсам этих валют по отношению к рублю, установленным Банком России.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Если уплата комиссионного вознагра</w:t>
      </w:r>
      <w:r>
        <w:rPr>
          <w:rFonts w:ascii="Times New Roman" w:hAnsi="Times New Roman" w:eastAsia="Times New Roman"/>
          <w:sz w:val="20"/>
          <w:szCs w:val="20"/>
          <w:lang w:eastAsia="ru-RU"/>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Комиссии, уплаченные Банку за оказание услуг (кроме ошибочно удержанных), возврату не подлежат.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208"/>
        <w:gridCol w:w="2126"/>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0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4961"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По соглашению сторон,</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szCs w:val="24"/>
              </w:rPr>
            </w:pPr>
            <w:r>
              <w:rPr>
                <w:rFonts w:ascii="Times New Roman" w:hAnsi="Times New Roman"/>
                <w:szCs w:val="24"/>
              </w:rPr>
              <w:t xml:space="preserve">Размер комиссии за выдачу гарантии определяется с учетом минимальных тарифов комиссионного вознаграждения по гарантийным сделкам (Прило</w:t>
            </w:r>
            <w:r>
              <w:rPr>
                <w:rFonts w:ascii="Times New Roman" w:hAnsi="Times New Roman"/>
                <w:szCs w:val="24"/>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szCs w:val="24"/>
              </w:rPr>
            </w:r>
            <w:r>
              <w:rPr>
                <w:rFonts w:ascii="Times New Roman" w:hAnsi="Times New Roman"/>
                <w:szCs w:val="24"/>
              </w:rPr>
            </w:r>
          </w:p>
          <w:p>
            <w:pPr>
              <w:pStyle w:val="1172"/>
              <w:jc w:val="both"/>
              <w:spacing w:before="40" w:after="0" w:line="240" w:lineRule="auto"/>
              <w:rPr>
                <w:rFonts w:ascii="Times New Roman" w:hAnsi="Times New Roman" w:eastAsia="Times New Roman"/>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172"/>
              <w:jc w:val="both"/>
              <w:spacing w:before="120" w:after="12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выдачи банковской гарантии</w:t>
            </w:r>
            <w:r>
              <w:rPr>
                <w:rFonts w:ascii="Times New Roman" w:hAnsi="Times New Roman" w:eastAsia="Times New Roman"/>
                <w:bCs/>
                <w:szCs w:val="24"/>
                <w:lang w:eastAsia="ru-RU"/>
              </w:rPr>
            </w:r>
            <w:r>
              <w:rPr>
                <w:rFonts w:ascii="Times New Roman" w:hAnsi="Times New Roman"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w:t>
            </w:r>
            <w:r>
              <w:rPr>
                <w:rFonts w:ascii="Times New Roman" w:hAnsi="Times New Roman"/>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eastAsia="Times New Roman"/>
                <w:bCs/>
                <w:lang w:eastAsia="ru-RU"/>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6.2.2.</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tabs>
                <w:tab w:val="center" w:pos="1260" w:leader="none"/>
                <w:tab w:val="right" w:pos="9355" w:leader="none"/>
              </w:tabs>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w:t>
            </w:r>
            <w:r>
              <w:rPr>
                <w:rFonts w:ascii="Times New Roman" w:hAnsi="Times New Roman" w:eastAsia="Times New Roman"/>
                <w:szCs w:val="24"/>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szCs w:val="24"/>
                <w:lang w:eastAsia="ru-RU"/>
              </w:rPr>
              <w:t xml:space="preserve">условий гарантии, не указанных в п. 6.2.1</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5 000 руб.</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устанавливается в абсолютном выражении (твердая денежная сумма).</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не взимается в следующих случаях:</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eastAsia="Times New Roman"/>
                <w:b/>
                <w:bCs/>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гарантии, авизование изменения гарантии,</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связанного с увеличением</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ее суммы,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0,1% от суммы гарантии или ее увеличения,</w:t>
            </w:r>
            <w:r>
              <w:rPr>
                <w:rFonts w:ascii="Times New Roman" w:hAnsi="Times New Roman"/>
                <w:bCs/>
              </w:rPr>
            </w:r>
            <w:r>
              <w:rPr>
                <w:rFonts w:ascii="Times New Roman" w:hAnsi="Times New Roman"/>
                <w:bCs/>
              </w:rPr>
            </w:r>
          </w:p>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мин. 55 евро, </w:t>
            </w:r>
            <w:r>
              <w:rPr>
                <w:rFonts w:ascii="Times New Roman" w:hAnsi="Times New Roman"/>
                <w:bCs/>
              </w:rPr>
            </w:r>
            <w:r>
              <w:rPr>
                <w:rFonts w:ascii="Times New Roman" w:hAnsi="Times New Roman"/>
                <w:bCs/>
              </w:rPr>
            </w:r>
          </w:p>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макс. 305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
                <w:bCs/>
              </w:rPr>
            </w:pPr>
            <w:r>
              <w:rPr>
                <w:rFonts w:ascii="Times New Roman" w:hAnsi="Times New Roman"/>
                <w:bCs/>
              </w:rPr>
              <w:t xml:space="preserve">6.4.</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изменения гарантии, не связанного с</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увеличением ее суммы/</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rPr>
            </w:pPr>
            <w:r>
              <w:rPr>
                <w:rFonts w:ascii="Times New Roman" w:hAnsi="Times New Roman"/>
                <w:bCs/>
              </w:rPr>
              <w:t xml:space="preserve">авизование запроса на аннуляцию гарантии/авизование сообщения по гарантии без обязательств со стороны АО «Россельхозбанк»</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rPr>
            </w:pPr>
            <w:r>
              <w:rPr>
                <w:rFonts w:ascii="Times New Roman" w:hAnsi="Times New Roman"/>
              </w:rPr>
              <w:t xml:space="preserve">55 евро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
                <w:bCs/>
              </w:rPr>
            </w:pPr>
            <w:r>
              <w:rPr>
                <w:rFonts w:ascii="Times New Roman" w:hAnsi="Times New Roman"/>
                <w:bCs/>
              </w:rPr>
              <w:t xml:space="preserve">6.5.</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spacing w:line="240" w:lineRule="auto"/>
              <w:tabs>
                <w:tab w:val="left" w:pos="709" w:leader="none"/>
              </w:tabs>
              <w:rPr>
                <w:rFonts w:ascii="Times New Roman" w:hAnsi="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line="240" w:lineRule="auto"/>
              <w:tabs>
                <w:tab w:val="left" w:pos="709" w:leader="none"/>
              </w:tabs>
              <w:rPr>
                <w:rFonts w:ascii="Times New Roman" w:hAnsi="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55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6.7.</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line="240" w:lineRule="auto"/>
              <w:tabs>
                <w:tab w:val="left" w:pos="709" w:leader="none"/>
              </w:tabs>
              <w:rPr>
                <w:rFonts w:ascii="Times New Roman" w:hAnsi="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bl>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Примечание к пунктам 6.3-6.7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исходя из минимального или максимального значения Тарифов, начисляется в валюте Тарифов (в евро).</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rFonts w:ascii="Times New Roman" w:hAnsi="Times New Roman" w:eastAsia="Times New Roman"/>
          <w:bCs/>
          <w:iCs/>
          <w:sz w:val="20"/>
          <w:szCs w:val="20"/>
          <w:lang w:eastAsia="ru-RU"/>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Тарифов (в е</w:t>
      </w:r>
      <w:r>
        <w:rPr>
          <w:rFonts w:ascii="Times New Roman" w:hAnsi="Times New Roman" w:eastAsia="Times New Roman"/>
          <w:bCs/>
          <w:iCs/>
          <w:sz w:val="20"/>
          <w:szCs w:val="20"/>
          <w:lang w:eastAsia="ru-RU"/>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Размер комиссионного вознаграждения, отличный от установленного в Тарифах, определяется на основании отдельного соглашения.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уплаченное Банку за оказание услуг (кроме ошибочно удержанных), возврату не подлежит.</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before="120" w:after="120" w:line="240" w:lineRule="auto"/>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910"/>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910"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51"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center"/>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910"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Якутску</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w:t>
            </w:r>
            <w:r>
              <w:rPr>
                <w:rFonts w:ascii="Times New Roman" w:hAnsi="Times New Roman" w:eastAsia="Times New Roman"/>
                <w:bCs/>
                <w:lang w:eastAsia="ru-RU"/>
              </w:rPr>
              <w:t xml:space="preserve">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«Банк-Клиент»/«Интернет-Клиент»/«Свой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Саха (Якутия)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351"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910" w:type="dxa"/>
            <w:vAlign w:val="top"/>
            <w:textDirection w:val="lrTb"/>
            <w:noWrap w:val="false"/>
          </w:tcPr>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tcBorders>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lang w:val="en-U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счетов данного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пользовании клиентом услуг Банка по п.п. 7.3.2-7.3.3 комиссия по п. 7.3.1 Банком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Мобильного приложения «Свой Бизнес Мобайл» возможно только при условии подключения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После выполнения обязательств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в полном объеме, комиссия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910" w:type="dxa"/>
            <w:vAlign w:val="top"/>
            <w:textDirection w:val="lrTb"/>
            <w:noWrap w:val="false"/>
          </w:tcPr>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tcBorders>
              <w:top w:val="none" w:color="000000" w:sz="4" w:space="0"/>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bCs/>
              </w:rPr>
            </w:pPr>
            <w:r>
              <w:rPr>
                <w:rFonts w:ascii="Times New Roman" w:hAnsi="Times New Roman"/>
                <w:bCs/>
              </w:rPr>
              <w:t xml:space="preserve">900 руб. в месяц </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«Интернет-Клиент»/«Свой бизнес», являющихся садоводческими или огородническими некоммерческими товариществами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Федеральным законом от 29.07.2017 № 217-ФЗ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веден</w:t>
            </w:r>
            <w:r>
              <w:rPr>
                <w:rFonts w:ascii="Times New Roman" w:hAnsi="Times New Roman" w:eastAsia="Times New Roman"/>
                <w:bCs/>
                <w:lang w:eastAsia="ru-RU"/>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имеющих обязательства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отношении которых введена любая из процедур, применяемых в деле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банкротстве в соответствии с Федеральным законом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26.10.2002 № 127-ФЗ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2"/>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«Интернет-Клиент»/«Свой Бизнес».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910"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tcBorders>
              <w:top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910" w:type="dxa"/>
            <w:vAlign w:val="top"/>
            <w:textDirection w:val="lrTb"/>
            <w:noWrap w:val="false"/>
          </w:tcPr>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постоянных сертификатов ключей проверки электронной подписи на ключевом носителе Банка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35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vMerge w:val="restart"/>
            <w:textDirection w:val="lrTb"/>
            <w:noWrap w:val="false"/>
          </w:tcPr>
          <w:p>
            <w:pPr>
              <w:pStyle w:val="1172"/>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351" w:type="dxa"/>
            <w:vAlign w:val="top"/>
            <w:textDirection w:val="lrTb"/>
            <w:noWrap w:val="false"/>
          </w:tcPr>
          <w:p>
            <w:pPr>
              <w:pStyle w:val="1172"/>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tabs>
                <w:tab w:val="left" w:pos="981" w:leader="none"/>
                <w:tab w:val="left" w:pos="1131"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п.7.6.1</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7.7.</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Доступ к сервису проверки контрагентов</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290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при подключении услуги и далее ежемесячно в первый рабочий день месяца.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доступна в «Интернет-Клиент», «Мобильный банк»,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неполный месяц обслуживания плата взимается в размере установленного тарифа.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tcW w:w="2351" w:type="dxa"/>
            <w:vAlign w:val="top"/>
            <w:textDirection w:val="lrTb"/>
            <w:noWrap w:val="false"/>
          </w:tcPr>
          <w:p>
            <w:pPr>
              <w:pStyle w:val="11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72"/>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gridSpan w:val="3"/>
            <w:tcW w:w="9189" w:type="dxa"/>
            <w:vAlign w:val="center"/>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bottom w:val="single" w:color="000000" w:sz="4" w:space="0"/>
            </w:tcBorders>
            <w:tcW w:w="2910"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tc>
        <w:tc>
          <w:tcPr>
            <w:tcBorders>
              <w:bottom w:val="single" w:color="000000" w:sz="4" w:space="0"/>
            </w:tcBorders>
            <w:tcW w:w="2351"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172"/>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72"/>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72"/>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r>
            <w:r>
              <w:rPr>
                <w:rFonts w:ascii="Times New Roman" w:hAnsi="Times New Roman"/>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2"/>
                <w:szCs w:val="22"/>
              </w:rPr>
              <w:t xml:space="preserve">Комиссионное вознаграждение (абонентская плата) за предоставление услуги </w:t>
            </w:r>
            <w:r>
              <w:rPr>
                <w:rFonts w:ascii="Times New Roman" w:hAnsi="Times New Roman"/>
                <w:sz w:val="22"/>
                <w:szCs w:val="22"/>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1 000 руб. </w:t>
            </w:r>
            <w:r>
              <w:rPr>
                <w:rFonts w:ascii="Times New Roman" w:hAnsi="Times New Roman"/>
                <w:sz w:val="22"/>
                <w:szCs w:val="22"/>
              </w:rPr>
              <w:t xml:space="preserve">в месяц</w:t>
            </w:r>
            <w:r>
              <w:rPr>
                <w:rFonts w:ascii="Times New Roman" w:hAnsi="Times New Roman"/>
                <w:sz w:val="22"/>
                <w:szCs w:val="22"/>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2"/>
                <w:szCs w:val="22"/>
                <w:highlight w:val="none"/>
                <w:lang w:eastAsia="ru-RU"/>
              </w:rPr>
              <w:t xml:space="preserve">Услуга предоставляется </w:t>
            </w:r>
            <w:r>
              <w:rPr>
                <w:rFonts w:ascii="Times New Roman" w:hAnsi="Times New Roman" w:eastAsia="Times New Roman"/>
                <w:bCs/>
                <w:sz w:val="22"/>
                <w:szCs w:val="22"/>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2"/>
                <w:szCs w:val="22"/>
                <w:highlight w:val="none"/>
              </w:rPr>
              <w:t xml:space="preserve">Комиссия взимается за каждый банковский счет/ транзитный валютный счет </w:t>
            </w:r>
            <w:r>
              <w:rPr>
                <w:rFonts w:ascii="Times New Roman" w:hAnsi="Times New Roman"/>
                <w:sz w:val="22"/>
                <w:szCs w:val="22"/>
                <w:highlight w:val="none"/>
              </w:rPr>
              <w:t xml:space="preserve">Контролируемой организации</w:t>
            </w:r>
            <w:r>
              <w:rPr>
                <w:rFonts w:ascii="Times New Roman" w:hAnsi="Times New Roman"/>
                <w:sz w:val="22"/>
                <w:szCs w:val="22"/>
                <w:highlight w:val="none"/>
              </w:rPr>
              <w:t xml:space="preserve">, </w:t>
            </w:r>
            <w:r>
              <w:rPr>
                <w:rFonts w:ascii="Times New Roman" w:hAnsi="Times New Roman"/>
                <w:sz w:val="22"/>
                <w:szCs w:val="22"/>
                <w:highlight w:val="none"/>
              </w:rPr>
              <w:t xml:space="preserve">по которому Контролирующей организации предоставляется услуга.</w:t>
            </w:r>
            <w:r>
              <w:rPr>
                <w:rFonts w:ascii="Times New Roman" w:hAnsi="Times New Roman"/>
                <w:sz w:val="22"/>
                <w:szCs w:val="22"/>
                <w:highlight w:val="none"/>
              </w:rPr>
              <w:t xml:space="preserve"> </w:t>
            </w:r>
            <w:r>
              <w:rPr>
                <w:rFonts w:ascii="Times New Roman" w:hAnsi="Times New Roman"/>
                <w:sz w:val="22"/>
                <w:szCs w:val="22"/>
                <w:highlight w:val="none"/>
              </w:rPr>
              <w:t xml:space="preserve">Расчетным периодом (месяцем) является календарный месяц. </w:t>
            </w:r>
            <w:r>
              <w:rPr>
                <w:rFonts w:ascii="Times New Roman" w:hAnsi="Times New Roman"/>
                <w:sz w:val="22"/>
                <w:szCs w:val="22"/>
                <w:highlight w:val="none"/>
              </w:rPr>
              <w:t xml:space="preserve">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месяца единой </w:t>
            </w:r>
            <w:r>
              <w:rPr>
                <w:rFonts w:ascii="Times New Roman" w:hAnsi="Times New Roman" w:eastAsia="Times New Roman"/>
                <w:bCs/>
                <w:sz w:val="22"/>
                <w:szCs w:val="22"/>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lang w:eastAsia="ru-RU"/>
              </w:rPr>
              <w:t xml:space="preserve">такого банковского счета/ транзитного валютного счета </w:t>
            </w:r>
            <w:r>
              <w:rPr>
                <w:rFonts w:ascii="Times New Roman" w:hAnsi="Times New Roman" w:eastAsia="Times New Roman"/>
                <w:bCs/>
                <w:sz w:val="22"/>
                <w:szCs w:val="22"/>
                <w:lang w:eastAsia="ru-RU"/>
              </w:rPr>
              <w:t xml:space="preserve">Контролируем</w:t>
            </w:r>
            <w:r>
              <w:rPr>
                <w:rFonts w:ascii="Times New Roman" w:hAnsi="Times New Roman" w:eastAsia="Times New Roman"/>
                <w:bCs/>
                <w:sz w:val="22"/>
                <w:szCs w:val="22"/>
                <w:lang w:eastAsia="ru-RU"/>
              </w:rPr>
              <w:t xml:space="preserve">ой</w:t>
            </w:r>
            <w:r>
              <w:rPr>
                <w:rFonts w:ascii="Times New Roman" w:hAnsi="Times New Roman" w:eastAsia="Times New Roman"/>
                <w:bCs/>
                <w:sz w:val="22"/>
                <w:szCs w:val="22"/>
                <w:lang w:eastAsia="ru-RU"/>
              </w:rPr>
              <w:t xml:space="preserve"> организаци</w:t>
            </w:r>
            <w:r>
              <w:rPr>
                <w:rFonts w:ascii="Times New Roman" w:hAnsi="Times New Roman" w:eastAsia="Times New Roman"/>
                <w:bCs/>
                <w:sz w:val="22"/>
                <w:szCs w:val="22"/>
                <w:lang w:eastAsia="ru-RU"/>
              </w:rPr>
              <w:t xml:space="preserve">и</w:t>
            </w:r>
            <w:r>
              <w:rPr>
                <w:rFonts w:ascii="Times New Roman" w:hAnsi="Times New Roman" w:eastAsia="Times New Roman"/>
                <w:bCs/>
                <w:sz w:val="22"/>
                <w:szCs w:val="22"/>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highlight w:val="none"/>
              </w:rPr>
              <w:t xml:space="preserve">Комиссия </w:t>
            </w:r>
            <w:r>
              <w:rPr>
                <w:rFonts w:ascii="Times New Roman" w:hAnsi="Times New Roman"/>
                <w:sz w:val="22"/>
                <w:szCs w:val="22"/>
                <w:highlight w:val="none"/>
              </w:rPr>
              <w:t xml:space="preserve">является абонентской платой и </w:t>
            </w:r>
            <w:r>
              <w:rPr>
                <w:rFonts w:ascii="Times New Roman" w:hAnsi="Times New Roman"/>
                <w:sz w:val="22"/>
                <w:szCs w:val="22"/>
                <w:highlight w:val="none"/>
              </w:rPr>
              <w:t xml:space="preserve">взимается независимо от наличия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подключенн</w:t>
            </w:r>
            <w:r>
              <w:rPr>
                <w:rFonts w:ascii="Times New Roman" w:hAnsi="Times New Roman"/>
                <w:sz w:val="22"/>
                <w:szCs w:val="22"/>
                <w:highlight w:val="none"/>
              </w:rPr>
              <w:t xml:space="preserve">ому</w:t>
            </w:r>
            <w:r>
              <w:rPr>
                <w:rFonts w:ascii="Times New Roman" w:hAnsi="Times New Roman"/>
                <w:sz w:val="22"/>
                <w:szCs w:val="22"/>
                <w:highlight w:val="none"/>
              </w:rPr>
              <w:t xml:space="preserve"> к услуге (не пересчитывается/ не возмещается при отсутствии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r>
            <w:r>
              <w:rPr>
                <w:rFonts w:ascii="Times New Roman" w:hAnsi="Times New Roman"/>
                <w:sz w:val="22"/>
                <w:szCs w:val="22"/>
                <w:highlight w:val="none"/>
              </w:rPr>
              <w:t xml:space="preserve">В случае отключения услуги</w:t>
            </w:r>
            <w:r>
              <w:rPr>
                <w:rFonts w:ascii="Times New Roman" w:hAnsi="Times New Roman"/>
                <w:sz w:val="22"/>
                <w:szCs w:val="22"/>
                <w:highlight w:val="none"/>
              </w:rPr>
              <w:t xml:space="preserve"> комиссия </w:t>
            </w:r>
            <w:r>
              <w:rPr>
                <w:rFonts w:ascii="Times New Roman" w:hAnsi="Times New Roman"/>
                <w:sz w:val="22"/>
                <w:szCs w:val="22"/>
                <w:highlight w:val="none"/>
              </w:rPr>
              <w:t xml:space="preserve">за  календарный месяц, в котором отключается услуга, </w:t>
            </w:r>
            <w:r>
              <w:rPr>
                <w:rFonts w:ascii="Times New Roman" w:hAnsi="Times New Roman"/>
                <w:sz w:val="22"/>
                <w:szCs w:val="22"/>
                <w:highlight w:val="none"/>
              </w:rPr>
              <w:t xml:space="preserve">взимается пропорционально количеству рабочих дней </w:t>
            </w:r>
            <w:r>
              <w:rPr>
                <w:rFonts w:ascii="Times New Roman" w:hAnsi="Times New Roman"/>
                <w:sz w:val="22"/>
                <w:szCs w:val="22"/>
                <w:highlight w:val="none"/>
              </w:rPr>
              <w:t xml:space="preserve">предоставления</w:t>
            </w:r>
            <w:r>
              <w:rPr>
                <w:rFonts w:ascii="Times New Roman" w:hAnsi="Times New Roman"/>
                <w:sz w:val="22"/>
                <w:szCs w:val="22"/>
                <w:highlight w:val="none"/>
              </w:rPr>
              <w:t xml:space="preserve"> услуги в этом месяце</w:t>
            </w:r>
            <w:r>
              <w:rPr>
                <w:rFonts w:ascii="Times New Roman" w:hAnsi="Times New Roman"/>
                <w:sz w:val="22"/>
                <w:szCs w:val="22"/>
                <w:highlight w:val="none"/>
              </w:rPr>
              <w:t xml:space="preserve"> (включая день отключения услуги)</w:t>
            </w:r>
            <w:r>
              <w:rPr>
                <w:rFonts w:ascii="Times New Roman" w:hAnsi="Times New Roman"/>
                <w:sz w:val="22"/>
                <w:szCs w:val="22"/>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w:t>
            </w:r>
            <w:r>
              <w:rPr>
                <w:rFonts w:ascii="Times New Roman" w:hAnsi="Times New Roman"/>
                <w:sz w:val="22"/>
                <w:szCs w:val="22"/>
                <w:highlight w:val="none"/>
              </w:rPr>
              <w:t xml:space="preserve">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w:t>
            </w:r>
            <w:r>
              <w:rPr>
                <w:rFonts w:ascii="Times New Roman" w:hAnsi="Times New Roman"/>
                <w:sz w:val="22"/>
                <w:szCs w:val="22"/>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w:t>
            </w:r>
            <w:r>
              <w:rPr>
                <w:rFonts w:ascii="Times New Roman" w:hAnsi="Times New Roman"/>
                <w:sz w:val="22"/>
                <w:szCs w:val="22"/>
                <w:highlight w:val="none"/>
              </w:rPr>
              <w:t xml:space="preserve">возобновляется  в дату оплаты Контролирующей организацией  начисленной комиссии</w:t>
            </w:r>
            <w:r>
              <w:rPr>
                <w:rFonts w:ascii="Times New Roman" w:hAnsi="Times New Roman"/>
                <w:sz w:val="22"/>
                <w:szCs w:val="22"/>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Комиссионное вознаграждение не взимается за </w:t>
            </w:r>
            <w:r>
              <w:rPr>
                <w:rFonts w:ascii="Times New Roman" w:hAnsi="Times New Roman"/>
                <w:sz w:val="22"/>
                <w:szCs w:val="22"/>
                <w:highlight w:val="none"/>
              </w:rPr>
              <w:t xml:space="preserve">расчетный месяц, в котором </w:t>
            </w:r>
            <w:r>
              <w:rPr>
                <w:rFonts w:ascii="Times New Roman" w:hAnsi="Times New Roman"/>
                <w:sz w:val="22"/>
                <w:szCs w:val="22"/>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r>
            <w:r>
              <w:rPr>
                <w:rFonts w:ascii="Times New Roman" w:hAnsi="Times New Roman"/>
                <w:sz w:val="22"/>
                <w:szCs w:val="22"/>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2"/>
                <w:szCs w:val="22"/>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предоставляется Контролирующей организации</w:t>
            </w:r>
            <w:r>
              <w:rPr>
                <w:rFonts w:ascii="Times New Roman" w:hAnsi="Times New Roman"/>
                <w:sz w:val="22"/>
                <w:szCs w:val="22"/>
                <w:highlight w:val="none"/>
              </w:rPr>
              <w:t xml:space="preserve">. Комиссия взимается за ка</w:t>
            </w:r>
            <w:r>
              <w:rPr>
                <w:rFonts w:ascii="Times New Roman" w:hAnsi="Times New Roman"/>
                <w:sz w:val="22"/>
                <w:szCs w:val="22"/>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w:t>
            </w:r>
            <w:r>
              <w:rPr>
                <w:rFonts w:ascii="Times New Roman" w:hAnsi="Times New Roman" w:eastAsia="Times New Roman"/>
                <w:bCs/>
                <w:sz w:val="22"/>
                <w:szCs w:val="22"/>
                <w:lang w:eastAsia="ru-RU"/>
              </w:rPr>
              <w:t xml:space="preserve">месяца единой </w:t>
            </w:r>
            <w:r>
              <w:rPr>
                <w:rFonts w:ascii="Times New Roman" w:hAnsi="Times New Roman" w:eastAsia="Times New Roman"/>
                <w:bCs/>
                <w:sz w:val="22"/>
                <w:szCs w:val="22"/>
                <w:lang w:eastAsia="ru-RU"/>
              </w:rPr>
              <w:t xml:space="preserve">суммой (одним платежом) исходя из количества </w:t>
            </w:r>
            <w:r>
              <w:rPr>
                <w:rFonts w:ascii="Times New Roman" w:hAnsi="Times New Roman" w:eastAsia="Times New Roman"/>
                <w:bCs/>
                <w:sz w:val="22"/>
                <w:szCs w:val="22"/>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w:t>
            </w:r>
            <w:r>
              <w:rPr>
                <w:rFonts w:ascii="Times New Roman" w:hAnsi="Times New Roman"/>
                <w:sz w:val="22"/>
                <w:szCs w:val="22"/>
                <w:highlight w:val="none"/>
              </w:rPr>
              <w:t xml:space="preserve">сия является абонентской платой и взимается независимо от </w:t>
            </w:r>
            <w:r>
              <w:rPr>
                <w:rFonts w:ascii="Times New Roman" w:hAnsi="Times New Roman"/>
                <w:sz w:val="22"/>
                <w:szCs w:val="22"/>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2"/>
                <w:szCs w:val="22"/>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none"/>
              </w:rPr>
              <w:t xml:space="preserve">чета и </w:t>
            </w:r>
            <w:r>
              <w:rPr>
                <w:rFonts w:ascii="Times New Roman" w:hAnsi="Times New Roman"/>
                <w:sz w:val="22"/>
                <w:szCs w:val="22"/>
                <w:highlight w:val="none"/>
              </w:rPr>
              <w:t xml:space="preserve">т</w:t>
            </w:r>
            <w:r>
              <w:rPr>
                <w:rFonts w:ascii="Times New Roman" w:hAnsi="Times New Roman"/>
                <w:sz w:val="22"/>
                <w:szCs w:val="22"/>
                <w:highlight w:val="none"/>
              </w:rPr>
              <w:t xml:space="preserve">ранзитные валютные счета </w:t>
            </w:r>
            <w:r>
              <w:rPr>
                <w:rFonts w:ascii="Times New Roman" w:hAnsi="Times New Roman"/>
                <w:sz w:val="22"/>
                <w:szCs w:val="22"/>
                <w:highlight w:val="none"/>
              </w:rPr>
              <w:t xml:space="preserve">Контролируемых организаций в полном объеме</w:t>
            </w:r>
            <w:r>
              <w:rPr>
                <w:rFonts w:ascii="Times New Roman" w:hAnsi="Times New Roman"/>
                <w:sz w:val="22"/>
                <w:szCs w:val="22"/>
                <w:highlight w:val="none"/>
              </w:rPr>
              <w:t xml:space="preserve">. 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w:t>
            </w:r>
            <w:r>
              <w:rPr>
                <w:rFonts w:ascii="Times New Roman" w:hAnsi="Times New Roman"/>
                <w:sz w:val="22"/>
                <w:szCs w:val="22"/>
                <w:highlight w:val="none"/>
              </w:rPr>
              <w:t xml:space="preserve">ютных счет</w:t>
            </w:r>
            <w:r>
              <w:rPr>
                <w:rFonts w:ascii="Times New Roman" w:hAnsi="Times New Roman"/>
                <w:sz w:val="22"/>
                <w:szCs w:val="22"/>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2"/>
                <w:szCs w:val="22"/>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72"/>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Под обязательствами перед АО «Россельхозбанк» по кредитным сделкам понимаются: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по договорам залога, договорам поручительства (в том числе прекратившим свое действие).</w:t>
      </w:r>
      <w:r>
        <w:rPr>
          <w:rFonts w:ascii="Times New Roman" w:hAnsi="Times New Roman" w:eastAsia="Times New Roman"/>
          <w:iCs/>
          <w:sz w:val="20"/>
          <w:szCs w:val="20"/>
          <w:highlight w:val="none"/>
          <w:lang w:eastAsia="ru-RU"/>
        </w:rPr>
      </w:r>
      <w:r>
        <w:rPr>
          <w:rFonts w:ascii="Times New Roman" w:hAnsi="Times New Roman" w:eastAsia="Times New Roman"/>
          <w:iCs/>
          <w:sz w:val="20"/>
          <w:szCs w:val="20"/>
          <w:highlight w:val="none"/>
          <w:lang w:eastAsia="ru-RU"/>
        </w:rPr>
      </w:r>
    </w:p>
    <w:p>
      <w:pPr>
        <w:spacing w:after="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r>
      <w:r>
        <w:rPr>
          <w:rFonts w:eastAsia="Calibri"/>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Без взимания комиссии в Банке обслуживаются: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головного исполнителя;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исполнителя государственного оборонного заказа;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публичные депозитные счета.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основанны</w:t>
      </w:r>
      <w:r>
        <w:rPr>
          <w:rFonts w:ascii="Times New Roman" w:hAnsi="Times New Roman" w:eastAsia="Times New Roman"/>
          <w:bCs/>
          <w:iCs/>
          <w:sz w:val="20"/>
          <w:szCs w:val="20"/>
          <w:lang w:eastAsia="ru-RU"/>
        </w:rPr>
        <w:t xml:space="preserve">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единовременную операцию – 5 000 000 (Пять миллионов) рублей;</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eastAsia="Times New Roman"/>
          <w:iCs/>
          <w:sz w:val="20"/>
          <w:szCs w:val="20"/>
          <w:highlight w:val="none"/>
          <w:lang w:eastAsia="ru-RU"/>
        </w:rPr>
      </w:r>
      <w:r>
        <w:rPr>
          <w:rFonts w:ascii="Times New Roman" w:hAnsi="Times New Roman" w:eastAsia="Times New Roman"/>
          <w:iCs/>
          <w:sz w:val="20"/>
          <w:szCs w:val="20"/>
          <w:highlight w:val="none"/>
          <w:lang w:eastAsia="ru-RU"/>
        </w:rPr>
      </w:r>
    </w:p>
    <w:p>
      <w:pPr>
        <w:jc w:val="both"/>
        <w:spacing w:before="120" w:after="12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t xml:space="preserve">5. </w:t>
      </w:r>
      <w:r>
        <w:rPr>
          <w:rFonts w:ascii="Times New Roman" w:hAnsi="Times New Roman" w:eastAsia="Times New Roman" w:cs="Times New Roman"/>
          <w:color w:val="000000"/>
          <w:sz w:val="20"/>
          <w:szCs w:val="20"/>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none"/>
        </w:rPr>
        <w:t xml:space="preserve"> Условиями </w:t>
      </w:r>
      <w:r>
        <w:rPr>
          <w:rFonts w:ascii="Times New Roman" w:hAnsi="Times New Roman" w:eastAsia="Times New Roman" w:cs="Times New Roman"/>
          <w:b w:val="0"/>
          <w:bCs w:val="0"/>
          <w:iCs/>
          <w:sz w:val="20"/>
          <w:szCs w:val="20"/>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none"/>
        </w:rPr>
        <w:t xml:space="preserve">в рамках Единого сервисного договора</w:t>
      </w:r>
      <w:r>
        <w:rPr>
          <w:rFonts w:ascii="Times New Roman" w:hAnsi="Times New Roman" w:eastAsia="Times New Roman" w:cs="Times New Roman"/>
          <w:b w:val="0"/>
          <w:bCs w:val="0"/>
          <w:sz w:val="20"/>
          <w:szCs w:val="20"/>
          <w:highlight w:val="none"/>
        </w:rPr>
        <w:t xml:space="preserve"> (Приложение 2.2 к </w:t>
      </w:r>
      <w:r>
        <w:rPr>
          <w:rFonts w:ascii="Times New Roman" w:hAnsi="Times New Roman" w:eastAsia="Times New Roman" w:cs="Times New Roman"/>
          <w:b w:val="0"/>
          <w:bCs w:val="0"/>
          <w:color w:val="000000"/>
          <w:sz w:val="20"/>
          <w:szCs w:val="20"/>
          <w:highlight w:val="none"/>
        </w:rPr>
        <w:t xml:space="preserve">к Единому сер</w:t>
      </w:r>
      <w:r>
        <w:rPr>
          <w:rFonts w:ascii="Times New Roman" w:hAnsi="Times New Roman" w:eastAsia="Times New Roman" w:cs="Times New Roman"/>
          <w:b w:val="0"/>
          <w:bCs w:val="0"/>
          <w:color w:val="000000"/>
          <w:sz w:val="20"/>
          <w:szCs w:val="20"/>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none"/>
        </w:rPr>
        <w:t xml:space="preserve">ации частной практикой, в АО «Россельхозбанк»</w:t>
      </w:r>
      <w:r>
        <w:rPr>
          <w:rFonts w:ascii="Times New Roman" w:hAnsi="Times New Roman" w:eastAsia="Times New Roman" w:cs="Times New Roman"/>
          <w:b w:val="0"/>
          <w:bCs w:val="0"/>
          <w:sz w:val="20"/>
          <w:szCs w:val="20"/>
          <w:highlight w:val="none"/>
        </w:rPr>
        <w:t xml:space="preserve">).</w:t>
      </w:r>
      <w:r>
        <w:rPr>
          <w:rFonts w:ascii="Times New Roman" w:hAnsi="Times New Roman" w:eastAsia="Times New Roman" w:cs="Times New Roman"/>
          <w:bCs/>
          <w:iCs/>
          <w:sz w:val="20"/>
          <w:szCs w:val="20"/>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cs="Times New Roman"/>
          <w:sz w:val="20"/>
          <w:szCs w:val="20"/>
        </w:rPr>
      </w:r>
      <w:r>
        <w:rPr>
          <w:rFonts w:ascii="Times New Roman" w:hAnsi="Times New Roman" w:cs="Times New Roman"/>
          <w:sz w:val="20"/>
          <w:szCs w:val="20"/>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198"/>
        <w:jc w:val="center"/>
        <w:spacing w:before="12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835"/>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ind w:left="357"/>
        <w:jc w:val="center"/>
        <w:spacing w:after="0" w:line="240" w:lineRule="auto"/>
        <w:rPr>
          <w:rFonts w:ascii="Times New Roman" w:hAnsi="Times New Roman" w:eastAsia="Times New Roman"/>
          <w:b/>
          <w:bCs/>
          <w:sz w:val="24"/>
          <w:szCs w:val="24"/>
          <w:lang w:val="en-US" w:eastAsia="ru-RU"/>
        </w:rPr>
      </w:pP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p>
    <w:p>
      <w:pPr>
        <w:pStyle w:val="1172"/>
        <w:ind w:left="35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 Аренда клиентами индивидуальных сейфовых ячеек</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72"/>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125Х320Х493(мм)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300Х320Х493(мм)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175Х320Х493(мм)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600Х320Х493(мм)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Плата за единовременный допуск к сейфовой ячейке одновременно с арендатором (его представителем) дополнительно еще одного лица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момент предоставления услуги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Страховой депозит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Сумма страхового депозита уплачивается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утрату, порчу ключей, замка ячейки и/или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обнаружения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несвоевременный возврат ключей от сейфовой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возврата ключа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заключения соответствующего договора</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ind w:left="720"/>
        <w:jc w:val="center"/>
        <w:spacing w:before="120" w:after="120"/>
        <w:rPr>
          <w:rFonts w:ascii="Times New Roman" w:hAnsi="Times New Roman"/>
          <w:b/>
          <w:bCs/>
          <w:sz w:val="24"/>
          <w:szCs w:val="24"/>
        </w:rPr>
      </w:pPr>
      <w:r>
        <w:rPr>
          <w:rFonts w:ascii="Times New Roman" w:hAnsi="Times New Roman"/>
          <w:b/>
          <w:bCs/>
          <w:sz w:val="24"/>
          <w:szCs w:val="24"/>
        </w:rPr>
        <w:t xml:space="preserve">10. Услуги инкассации</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544"/>
        <w:gridCol w:w="2409"/>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w:t>
              <w:br w:type="textWrapping" w:clear="all"/>
              <w:t xml:space="preserve">п/п</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Наименование услуги</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Тариф</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72"/>
              <w:jc w:val="center"/>
              <w:spacing w:before="40" w:after="40"/>
              <w:rPr>
                <w:rFonts w:ascii="Times New Roman" w:hAnsi="Times New Roman"/>
                <w:sz w:val="24"/>
                <w:szCs w:val="24"/>
              </w:rPr>
            </w:pPr>
            <w:r>
              <w:rPr>
                <w:rFonts w:ascii="Times New Roman" w:hAnsi="Times New Roman"/>
                <w:b/>
                <w:bCs/>
                <w:sz w:val="24"/>
                <w:szCs w:val="24"/>
              </w:rPr>
              <w:t xml:space="preserve">Примечание</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10.1.1.</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51" w:firstLine="51"/>
              <w:spacing w:before="40"/>
              <w:rPr>
                <w:rFonts w:ascii="Times New Roman" w:hAnsi="Times New Roman"/>
                <w:bCs/>
                <w:sz w:val="24"/>
                <w:szCs w:val="24"/>
              </w:rPr>
            </w:pPr>
            <w:r>
              <w:rPr>
                <w:rFonts w:ascii="Times New Roman" w:hAnsi="Times New Roman"/>
                <w:bCs/>
                <w:sz w:val="24"/>
                <w:szCs w:val="24"/>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4"/>
                <w:szCs w:val="24"/>
              </w:rPr>
            </w:r>
            <w:r>
              <w:rPr>
                <w:rFonts w:ascii="Times New Roman" w:hAnsi="Times New Roman"/>
                <w:bCs/>
                <w:sz w:val="24"/>
                <w:szCs w:val="24"/>
              </w:rPr>
            </w:r>
          </w:p>
          <w:p>
            <w:pPr>
              <w:pStyle w:val="1172"/>
              <w:ind w:left="176"/>
              <w:spacing w:before="40"/>
              <w:rPr>
                <w:rFonts w:ascii="Times New Roman" w:hAnsi="Times New Roman"/>
                <w:bCs/>
                <w:sz w:val="24"/>
                <w:szCs w:val="24"/>
              </w:rPr>
            </w:pPr>
            <w:r>
              <w:rPr>
                <w:rFonts w:ascii="Times New Roman" w:hAnsi="Times New Roman"/>
                <w:bCs/>
                <w:sz w:val="24"/>
                <w:szCs w:val="24"/>
              </w:rPr>
              <w:t xml:space="preserve">- с доставкой в подразделение Банка*;</w:t>
            </w:r>
            <w:r>
              <w:rPr>
                <w:rFonts w:ascii="Times New Roman" w:hAnsi="Times New Roman"/>
                <w:bCs/>
                <w:sz w:val="24"/>
                <w:szCs w:val="24"/>
              </w:rPr>
            </w:r>
            <w:r>
              <w:rPr>
                <w:rFonts w:ascii="Times New Roman" w:hAnsi="Times New Roman"/>
                <w:bCs/>
                <w:sz w:val="24"/>
                <w:szCs w:val="24"/>
              </w:rPr>
            </w:r>
          </w:p>
          <w:p>
            <w:pPr>
              <w:pStyle w:val="1172"/>
              <w:ind w:left="176"/>
              <w:spacing w:before="40"/>
              <w:rPr>
                <w:rFonts w:ascii="Times New Roman" w:hAnsi="Times New Roman"/>
                <w:bCs/>
                <w:sz w:val="24"/>
                <w:szCs w:val="24"/>
              </w:rPr>
            </w:pPr>
            <w:r>
              <w:rPr>
                <w:rFonts w:ascii="Times New Roman" w:hAnsi="Times New Roman"/>
                <w:bCs/>
                <w:sz w:val="24"/>
                <w:szCs w:val="24"/>
              </w:rPr>
              <w:t xml:space="preserve">- с доставкой в другую кредитную организацию</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0,255% </w:t>
              <w:br w:type="textWrapping" w:clear="all"/>
              <w:t xml:space="preserve">от суммы </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до 600 000,00** руб. (включительно),</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минимум 360 руб.;</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0,10% </w:t>
              <w:br w:type="textWrapping" w:clear="all"/>
              <w:t xml:space="preserve">от суммы </w:t>
              <w:br w:type="textWrapping" w:clear="all"/>
              <w:t xml:space="preserve">с 600 000,01** руб. до 5 000 000,00* руб. (включительно); </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bCs/>
                <w:sz w:val="24"/>
                <w:szCs w:val="24"/>
              </w:rPr>
            </w:pPr>
            <w:r>
              <w:rPr>
                <w:rFonts w:ascii="Times New Roman" w:hAnsi="Times New Roman"/>
                <w:sz w:val="24"/>
                <w:szCs w:val="24"/>
              </w:rPr>
              <w:t xml:space="preserve">0,05% </w:t>
              <w:br w:type="textWrapping" w:clear="all"/>
              <w:t xml:space="preserve">от суммы с 5 000 000,01** руб. </w:t>
              <w:br w:type="textWrapping" w:clear="all"/>
              <w:t xml:space="preserve">и выше</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line="240" w:lineRule="auto"/>
              <w:rPr>
                <w:rFonts w:ascii="Times New Roman" w:hAnsi="Times New Roman"/>
                <w:bCs/>
                <w:sz w:val="24"/>
                <w:szCs w:val="24"/>
              </w:rPr>
            </w:pPr>
            <w:r>
              <w:rPr>
                <w:rFonts w:ascii="Times New Roman" w:hAnsi="Times New Roman"/>
                <w:bCs/>
                <w:sz w:val="24"/>
                <w:szCs w:val="24"/>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172"/>
              <w:jc w:val="both"/>
              <w:spacing w:before="40" w:line="240" w:lineRule="auto"/>
              <w:rPr>
                <w:rFonts w:ascii="Times New Roman" w:hAnsi="Times New Roman"/>
                <w:bCs/>
                <w:sz w:val="24"/>
                <w:szCs w:val="24"/>
                <w:lang w:val="en-US"/>
              </w:rPr>
            </w:pPr>
            <w:r>
              <w:rPr>
                <w:rFonts w:ascii="Times New Roman" w:hAnsi="Times New Roman"/>
                <w:bCs/>
                <w:sz w:val="24"/>
                <w:szCs w:val="24"/>
              </w:rPr>
              <w:t xml:space="preserve">Комиссия включает НДС.</w:t>
            </w:r>
            <w:r>
              <w:rPr>
                <w:rFonts w:ascii="Times New Roman" w:hAnsi="Times New Roman"/>
                <w:bCs/>
                <w:sz w:val="24"/>
                <w:szCs w:val="24"/>
                <w:lang w:val="en-US"/>
              </w:rPr>
            </w:r>
            <w:r>
              <w:rPr>
                <w:rFonts w:ascii="Times New Roman" w:hAnsi="Times New Roman"/>
                <w:bCs/>
                <w:sz w:val="24"/>
                <w:szCs w:val="24"/>
                <w:lang w:val="en-US"/>
              </w:rPr>
            </w:r>
          </w:p>
          <w:p>
            <w:pPr>
              <w:pStyle w:val="1172"/>
              <w:ind w:left="-52"/>
              <w:jc w:val="both"/>
              <w:spacing w:before="40"/>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51" w:firstLine="51"/>
              <w:spacing w:before="40" w:after="40"/>
              <w:rPr>
                <w:rFonts w:ascii="Times New Roman" w:hAnsi="Times New Roman"/>
                <w:bCs/>
              </w:rPr>
            </w:pPr>
            <w:r>
              <w:rPr>
                <w:rFonts w:ascii="Times New Roman" w:hAnsi="Times New Roman"/>
                <w:bCs/>
              </w:rPr>
              <w:t xml:space="preserve">Прием, пересчет ден</w:t>
            </w:r>
            <w:r>
              <w:rPr>
                <w:rFonts w:ascii="Times New Roman" w:hAnsi="Times New Roman"/>
                <w:bCs/>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0,2% от суммы, </w:t>
            </w:r>
            <w:r>
              <w:rPr>
                <w:rFonts w:ascii="Times New Roman" w:hAnsi="Times New Roman"/>
                <w:sz w:val="24"/>
                <w:szCs w:val="24"/>
              </w:rPr>
            </w:r>
            <w:r>
              <w:rPr>
                <w:rFonts w:ascii="Times New Roman" w:hAnsi="Times New Roman"/>
                <w:sz w:val="24"/>
                <w:szCs w:val="24"/>
              </w:rPr>
            </w:r>
          </w:p>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34" w:hanging="34"/>
              <w:spacing w:before="40" w:after="40"/>
              <w:rPr>
                <w:rFonts w:ascii="Times New Roman" w:hAnsi="Times New Roman"/>
                <w:bCs/>
                <w:sz w:val="24"/>
                <w:szCs w:val="24"/>
              </w:rPr>
            </w:pPr>
            <w:r>
              <w:rPr>
                <w:rFonts w:ascii="Times New Roman" w:hAnsi="Times New Roman"/>
                <w:bCs/>
                <w:sz w:val="24"/>
                <w:szCs w:val="24"/>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before="40" w:after="40"/>
              <w:rPr>
                <w:rFonts w:ascii="Times New Roman" w:hAnsi="Times New Roman"/>
                <w:bCs/>
                <w:sz w:val="24"/>
                <w:szCs w:val="24"/>
              </w:rPr>
            </w:pPr>
            <w:r>
              <w:rPr>
                <w:rFonts w:ascii="Times New Roman" w:hAnsi="Times New Roman"/>
                <w:bCs/>
                <w:sz w:val="24"/>
                <w:szCs w:val="24"/>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72"/>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172"/>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172"/>
        <w:contextualSpacing/>
        <w:ind w:left="1069"/>
        <w:spacing w:before="120" w:after="12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Fonts w:ascii="Times New Roman" w:hAnsi="Times New Roman"/>
          <w:b/>
          <w:vertAlign w:val="superscript"/>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72"/>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Сумма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center"/>
            <w:textDirection w:val="lrTb"/>
            <w:noWrap w:val="false"/>
          </w:tcPr>
          <w:p>
            <w:pPr>
              <w:pStyle w:val="11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Ставка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72"/>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Fonts w:ascii="Times New Roman" w:hAnsi="Times New Roman" w:eastAsia="Times New Roman"/>
                <w:bCs/>
                <w:vertAlign w:val="superscript"/>
                <w:lang w:eastAsia="ru-RU"/>
              </w:rPr>
              <w:footnoteReference w:id="2"/>
            </w:r>
            <w:r>
              <w:rPr>
                <w:rFonts w:ascii="Symbol" w:hAnsi="Symbol" w:eastAsia="Symbol" w:cs="Symbol"/>
                <w:bCs/>
                <w:vertAlign w:val="superscript"/>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2"/>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w:t>
            </w:r>
            <w:r>
              <w:rPr>
                <w:rFonts w:ascii="Times New Roman" w:hAnsi="Times New Roman" w:eastAsia="Times New Roman"/>
                <w:bCs/>
                <w:lang w:eastAsia="ru-RU"/>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rFonts w:ascii="Times New Roman" w:hAnsi="Times New Roman" w:eastAsia="Times New Roman"/>
                <w:bCs/>
                <w:lang w:eastAsia="ru-RU"/>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jc w:val="both"/>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172"/>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2"/>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7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72"/>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2"/>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2"/>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spacing w:before="120" w:after="0" w:line="240" w:lineRule="auto"/>
        <w:rPr>
          <w:rFonts w:ascii="Times New Roman" w:hAnsi="Times New Roman" w:eastAsia="Times New Roman"/>
          <w:color w:val="000000"/>
          <w:u w:val="single"/>
          <w:lang w:eastAsia="ru-RU"/>
        </w:rPr>
      </w:pPr>
      <w:r>
        <w:rPr>
          <w:rFonts w:ascii="Times New Roman" w:hAnsi="Times New Roman" w:eastAsia="Times New Roman"/>
          <w:iCs/>
          <w:color w:val="000000"/>
          <w:u w:val="single"/>
          <w:lang w:eastAsia="ru-RU"/>
        </w:rPr>
        <w:t xml:space="preserve">Примечание:</w:t>
      </w:r>
      <w:r>
        <w:rPr>
          <w:rFonts w:ascii="Times New Roman" w:hAnsi="Times New Roman" w:eastAsia="Times New Roman"/>
          <w:color w:val="000000"/>
          <w:u w:val="single"/>
          <w:lang w:eastAsia="ru-RU"/>
        </w:rPr>
      </w:r>
      <w:r>
        <w:rPr>
          <w:rFonts w:ascii="Times New Roman" w:hAnsi="Times New Roman" w:eastAsia="Times New Roman"/>
          <w:color w:val="000000"/>
          <w:u w:val="single"/>
          <w:lang w:eastAsia="ru-RU"/>
        </w:rPr>
      </w:r>
    </w:p>
    <w:p>
      <w:pPr>
        <w:pStyle w:val="117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color w:val="000000"/>
          <w:vertAlign w:val="superscript"/>
          <w:lang w:eastAsia="ru-RU"/>
        </w:rPr>
        <w:t xml:space="preserve">1 </w:t>
      </w:r>
      <w:r>
        <w:rPr>
          <w:rFonts w:ascii="Times New Roman" w:hAnsi="Times New Roman" w:eastAsia="Times New Roman"/>
          <w:iCs/>
          <w:color w:val="00000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7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vertAlign w:val="superscript"/>
          <w:lang w:eastAsia="ru-RU"/>
        </w:rPr>
        <w:t xml:space="preserve">2 </w:t>
      </w:r>
      <w:r>
        <w:rPr>
          <w:rFonts w:ascii="Times New Roman" w:hAnsi="Times New Roman" w:eastAsia="Times New Roman"/>
          <w:iCs/>
          <w:color w:val="00000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lang w:eastAsia="ru-RU"/>
        </w:rPr>
        <w:t xml:space="preserve">.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72"/>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vertAlign w:val="superscript"/>
          <w:lang w:eastAsia="ru-RU"/>
        </w:rPr>
        <w:t xml:space="preserve">3 </w:t>
      </w:r>
      <w:r>
        <w:rPr>
          <w:rFonts w:ascii="Times New Roman" w:hAnsi="Times New Roman" w:eastAsia="Times New Roman"/>
          <w:color w:val="000000"/>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и уплачивается в порядке, предусмотренном для упл</w:t>
            </w:r>
            <w:r>
              <w:rPr>
                <w:rFonts w:ascii="Times New Roman" w:hAnsi="Times New Roman" w:eastAsia="Times New Roman"/>
                <w:bCs/>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Резервирование (бронирование) денежных средств для выдачи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eastAsia="Times New Roman"/>
                <w:bCs/>
                <w:sz w:val="20"/>
                <w:szCs w:val="20"/>
                <w:vertAlign w:val="superscript"/>
                <w:lang w:eastAsia="ru-RU"/>
              </w:rPr>
              <w:footnoteReference w:id="3"/>
            </w:r>
            <w:r>
              <w:rPr>
                <w:rFonts w:ascii="Times New Roman" w:hAnsi="Times New Roman" w:eastAsia="Times New Roman"/>
                <w:bCs/>
                <w:sz w:val="20"/>
                <w:szCs w:val="20"/>
                <w:lang w:eastAsia="ru-RU"/>
              </w:rPr>
              <w:t xml:space="preserve"> со дня, следующего за: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отсутствии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наличии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выполнения отлагательных условий выдачи кредита/ транша.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в порядке, предусмотренном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в форме «овердрафт»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eastAsia="Times New Roman"/>
                <w:bCs/>
                <w:sz w:val="20"/>
                <w:szCs w:val="20"/>
                <w:vertAlign w:val="superscript"/>
                <w:lang w:eastAsia="ru-RU"/>
              </w:rPr>
              <w:footnoteReference w:id="4"/>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по договору об открытии кредитной линии,  заключенному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изменении: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окончательного срока возврата кредита (основного долга)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промежуточного (ых) срока(ов) возврата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6 до 30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31 до 60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60 календарных дней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w:t>
            </w:r>
            <w:r>
              <w:rPr>
                <w:rFonts w:ascii="Times New Roman" w:hAnsi="Times New Roman" w:eastAsia="Times New Roman"/>
                <w:bCs/>
                <w:sz w:val="20"/>
                <w:szCs w:val="20"/>
                <w:lang w:val="en-US" w:eastAsia="ru-RU"/>
              </w:rPr>
              <w:t xml:space="preserve">5</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сумме, на которую начисляется комиссия: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1 000 000,00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1 000 000,01 до 50 000 000,00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50 000 000,01 до 100 000 000,00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100 000 000,01 руб.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12.6.</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180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от 181 до 365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365 календарных дней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Досрочный возврат кредита (основного долга)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 в зависимости от срока, оставшегося до погашения</w:t>
            </w:r>
            <w:r>
              <w:rPr>
                <w:rFonts w:ascii="Times New Roman" w:hAnsi="Times New Roman" w:eastAsia="Times New Roman"/>
                <w:bCs/>
                <w:sz w:val="20"/>
                <w:szCs w:val="20"/>
                <w:vertAlign w:val="superscript"/>
                <w:lang w:eastAsia="ru-RU"/>
              </w:rPr>
              <w:footnoteReference w:id="5"/>
            </w:r>
            <w:r>
              <w:rPr>
                <w:rFonts w:ascii="Times New Roman" w:hAnsi="Times New Roman" w:eastAsia="Times New Roman"/>
                <w:bCs/>
                <w:sz w:val="20"/>
                <w:szCs w:val="20"/>
                <w:vertAlign w:val="superscript"/>
                <w:lang w:eastAsia="ru-RU"/>
              </w:rPr>
              <w:t xml:space="preserve">,</w:t>
            </w:r>
            <w:r>
              <w:rPr>
                <w:rFonts w:ascii="Times New Roman" w:hAnsi="Times New Roman" w:eastAsia="Times New Roman"/>
                <w:bCs/>
                <w:sz w:val="20"/>
                <w:szCs w:val="20"/>
                <w:vertAlign w:val="superscript"/>
                <w:lang w:eastAsia="ru-RU"/>
              </w:rPr>
              <w:footnoteReference w:id="6"/>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и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w:t>
            </w:r>
            <w:r>
              <w:rPr>
                <w:rFonts w:ascii="Times New Roman" w:hAnsi="Times New Roman" w:eastAsia="Times New Roman"/>
                <w:bCs/>
                <w:sz w:val="20"/>
                <w:szCs w:val="20"/>
                <w:lang w:eastAsia="ru-RU"/>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0,2% от суммы,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- 30 000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максимум - 150 000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eastAsia="Times New Roman"/>
                <w:bCs/>
                <w:sz w:val="20"/>
                <w:szCs w:val="20"/>
                <w:lang w:eastAsia="ru-RU"/>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В настоящем разделе Тарифов Банка используется следующий термин: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u w:val="single"/>
          <w:lang w:eastAsia="ru-RU"/>
        </w:rPr>
        <w:t xml:space="preserve">Лимит кредитования</w:t>
      </w:r>
      <w:r>
        <w:rPr>
          <w:rFonts w:ascii="Times New Roman" w:hAnsi="Times New Roman" w:eastAsia="Times New Roman"/>
          <w:bCs/>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eastAsia="Times New Roman"/>
          <w:bCs/>
          <w:lang w:eastAsia="ru-RU"/>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
          <w:lang w:eastAsia="ru-RU"/>
        </w:rPr>
      </w:pPr>
      <w:r>
        <w:rPr>
          <w:rFonts w:ascii="Times New Roman" w:hAnsi="Times New Roman" w:eastAsia="Times New Roman"/>
          <w:bCs/>
          <w:iCs/>
          <w:u w:val="single"/>
          <w:lang w:eastAsia="ru-RU"/>
        </w:rPr>
        <w:t xml:space="preserve">Примечание</w:t>
      </w:r>
      <w:r>
        <w:rPr>
          <w:rFonts w:ascii="Times New Roman" w:hAnsi="Times New Roman" w:eastAsia="Times New Roman"/>
          <w:bCs/>
          <w:iCs/>
          <w:lang w:eastAsia="ru-RU"/>
        </w:rPr>
        <w:t xml:space="preserve">: </w:t>
      </w:r>
      <w:r>
        <w:rPr>
          <w:rFonts w:ascii="Times New Roman" w:hAnsi="Times New Roman" w:eastAsia="Times New Roman"/>
          <w:bCs/>
          <w:i/>
          <w:lang w:eastAsia="ru-RU"/>
        </w:rPr>
      </w:r>
      <w:r>
        <w:rPr>
          <w:rFonts w:ascii="Times New Roman" w:hAnsi="Times New Roman" w:eastAsia="Times New Roman"/>
          <w:bCs/>
          <w:i/>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iCs/>
          <w:lang w:eastAsia="ru-RU"/>
        </w:rPr>
        <w:t xml:space="preserve">2.</w:t>
        <w:tab/>
        <w:t xml:space="preserve">Установление размера(ов) ком</w:t>
      </w:r>
      <w:r>
        <w:rPr>
          <w:rFonts w:ascii="Times New Roman" w:hAnsi="Times New Roman" w:eastAsia="Times New Roman"/>
          <w:bCs/>
          <w:iCs/>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возмещения кредитным организациям недополученных дохо</w:t>
      </w:r>
      <w:r>
        <w:rPr>
          <w:rFonts w:ascii="Times New Roman" w:hAnsi="Times New Roman" w:eastAsia="Times New Roman"/>
          <w:bCs/>
          <w:iCs/>
          <w:sz w:val="24"/>
          <w:szCs w:val="24"/>
          <w:lang w:eastAsia="ru-RU"/>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rFonts w:ascii="Times New Roman" w:hAnsi="Times New Roman" w:eastAsia="Times New Roman"/>
          <w:bCs/>
          <w:iCs/>
          <w:sz w:val="24"/>
          <w:szCs w:val="24"/>
          <w:lang w:eastAsia="ru-RU"/>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rFonts w:ascii="Times New Roman" w:hAnsi="Times New Roman" w:eastAsia="Times New Roman"/>
          <w:bCs/>
          <w:iCs/>
          <w:sz w:val="24"/>
          <w:szCs w:val="24"/>
          <w:lang w:eastAsia="ru-RU"/>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w:t>
      </w:r>
      <w:r>
        <w:rPr>
          <w:rFonts w:ascii="Times New Roman" w:hAnsi="Times New Roman" w:eastAsia="Times New Roman"/>
          <w:bCs/>
          <w:iCs/>
          <w:sz w:val="24"/>
          <w:szCs w:val="24"/>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4"/>
          <w:szCs w:val="24"/>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rFonts w:ascii="Times New Roman" w:hAnsi="Times New Roman" w:eastAsia="Times New Roman"/>
          <w:bCs/>
          <w:iCs/>
          <w:sz w:val="24"/>
          <w:szCs w:val="24"/>
          <w:lang w:eastAsia="ru-RU"/>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rFonts w:ascii="Times New Roman" w:hAnsi="Times New Roman" w:eastAsia="Times New Roman"/>
          <w:bCs/>
          <w:iCs/>
          <w:sz w:val="24"/>
          <w:szCs w:val="24"/>
          <w:lang w:eastAsia="ru-RU"/>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w:t>
      </w:r>
      <w:r>
        <w:rPr>
          <w:rFonts w:ascii="Times New Roman" w:hAnsi="Times New Roman" w:eastAsia="Times New Roman"/>
          <w:bCs/>
          <w:iCs/>
          <w:sz w:val="24"/>
          <w:szCs w:val="24"/>
          <w:lang w:eastAsia="ru-RU"/>
        </w:rPr>
        <w:t xml:space="preserve">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(далее – ППРФ от 02.04.2022 № 574);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w:t>
      </w:r>
      <w:r>
        <w:rPr>
          <w:rFonts w:ascii="Times New Roman" w:hAnsi="Times New Roman" w:eastAsia="Times New Roman"/>
          <w:bCs/>
          <w:iCs/>
          <w:sz w:val="24"/>
          <w:szCs w:val="24"/>
          <w:lang w:eastAsia="ru-RU"/>
        </w:rPr>
        <w:t xml:space="preserve">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br/>
        <w:t xml:space="preserve">от 18.05.2022 № 895);</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4"/>
          <w:szCs w:val="24"/>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4"/>
          <w:szCs w:val="24"/>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w:t>
      </w:r>
      <w:r>
        <w:rPr>
          <w:rFonts w:ascii="Times New Roman" w:hAnsi="Times New Roman" w:eastAsia="Times New Roman"/>
          <w:bCs/>
          <w:iCs/>
          <w:sz w:val="24"/>
          <w:szCs w:val="24"/>
          <w:lang w:eastAsia="ru-RU"/>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4"/>
          <w:szCs w:val="24"/>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4"/>
          <w:szCs w:val="24"/>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из федерального бюджета субсиди</w:t>
      </w:r>
      <w:r>
        <w:rPr>
          <w:rFonts w:ascii="Times New Roman" w:hAnsi="Times New Roman"/>
          <w:sz w:val="24"/>
          <w:szCs w:val="24"/>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4"/>
          <w:szCs w:val="24"/>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4"/>
          <w:szCs w:val="24"/>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4"/>
          <w:szCs w:val="24"/>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after="0" w:line="240" w:lineRule="auto"/>
        <w:rPr>
          <w:rFonts w:ascii="Times New Roman" w:hAnsi="Times New Roman"/>
          <w:sz w:val="24"/>
          <w:szCs w:val="24"/>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4"/>
          <w:szCs w:val="24"/>
        </w:rPr>
        <w:t xml:space="preserve">на приобр</w:t>
      </w:r>
      <w:r>
        <w:rPr>
          <w:rFonts w:ascii="Times New Roman" w:hAnsi="Times New Roman"/>
          <w:sz w:val="24"/>
          <w:szCs w:val="24"/>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w:t>
      </w:r>
      <w:r>
        <w:rPr>
          <w:rFonts w:ascii="Times New Roman" w:hAnsi="Times New Roman"/>
          <w:sz w:val="24"/>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4"/>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4"/>
          <w:szCs w:val="24"/>
        </w:rPr>
        <w:t xml:space="preserve">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w:t>
      </w:r>
      <w:r>
        <w:rPr>
          <w:rFonts w:ascii="Times New Roman" w:hAnsi="Times New Roman"/>
          <w:sz w:val="24"/>
          <w:szCs w:val="24"/>
        </w:rPr>
        <w:t xml:space="preserve">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w:t>
      </w:r>
      <w:r>
        <w:rPr>
          <w:rFonts w:ascii="Times New Roman" w:hAnsi="Times New Roman"/>
          <w:sz w:val="24"/>
          <w:szCs w:val="24"/>
        </w:rPr>
        <w:t xml:space="preserve">и с ППРФ от 25.10.2023 </w:t>
        <w:br w:type="textWrapping" w:clear="all"/>
        <w:t xml:space="preserve">№ 1780;</w:t>
      </w:r>
      <w:r>
        <w:rPr>
          <w:rFonts w:ascii="Times New Roman" w:hAnsi="Times New Roman"/>
          <w:sz w:val="24"/>
          <w:szCs w:val="24"/>
        </w:rPr>
      </w:r>
      <w:r>
        <w:rPr>
          <w:rFonts w:ascii="Times New Roman" w:hAnsi="Times New Roman"/>
          <w:sz w:val="24"/>
          <w:szCs w:val="24"/>
        </w:rPr>
      </w:r>
    </w:p>
    <w:p>
      <w:pPr>
        <w:pStyle w:val="1172"/>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72"/>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w:t>
      </w:r>
      <w:r>
        <w:rPr>
          <w:rFonts w:ascii="Times New Roman" w:hAnsi="Times New Roman" w:eastAsia="Times New Roman"/>
          <w:sz w:val="24"/>
          <w:szCs w:val="24"/>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w:t>
      </w:r>
      <w:r>
        <w:rPr>
          <w:rFonts w:ascii="Times New Roman" w:hAnsi="Times New Roman" w:eastAsia="Times New Roman"/>
          <w:sz w:val="24"/>
          <w:szCs w:val="24"/>
        </w:rPr>
        <w:t xml:space="preserve">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jc w:val="both"/>
        <w:spacing w:after="12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w:t>
              <w:br w:type="textWrapping" w:clear="all"/>
              <w:t xml:space="preserve">п/п</w:t>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льготных программ</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1</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2</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Пункты раздела 12 «Кредитные операции»</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12.1, 12.2, 12.4, 12.5, 12.8</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12.3, 12.7</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30.12.2018 № 1764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5</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6</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7</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30.12.2017 № 1706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8</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 </w:t>
              <w:br w:type="textWrapping" w:clear="all"/>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9</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10</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982-Р (в рамках ППРФ </w:t>
              <w:br w:type="textWrapping" w:clear="all"/>
              <w:t xml:space="preserve">от 25.10.2023 № 1780)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Fonts w:ascii="Times New Roman" w:hAnsi="Times New Roman" w:eastAsia="Times New Roman"/>
          <w:b/>
          <w:sz w:val="24"/>
          <w:szCs w:val="24"/>
          <w:vertAlign w:val="superscript"/>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835"/>
        <w:gridCol w:w="2977"/>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83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99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72"/>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72"/>
              <w:jc w:val="both"/>
              <w:spacing w:after="6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color w:val="ff0000"/>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jc w:val="center"/>
              <w:spacing w:after="60" w:line="240" w:lineRule="auto"/>
              <w:rPr>
                <w:rFonts w:ascii="Times New Roman" w:hAnsi="Times New Roman" w:eastAsia="Times New Roman"/>
                <w:bCs/>
                <w:lang w:eastAsia="ru-RU"/>
              </w:rPr>
            </w:pPr>
            <w:r>
              <w:rPr>
                <w:rFonts w:ascii="Times New Roman" w:hAnsi="Times New Roman"/>
              </w:rPr>
              <w:t xml:space="preserve">Согласно </w:t>
            </w:r>
            <w:r>
              <w:rPr>
                <w:rFonts w:ascii="Times New Roman" w:hAnsi="Times New Roman"/>
              </w:rPr>
              <w:br w:type="textWrapping" w:clear="all"/>
            </w:r>
            <w:r>
              <w:rPr>
                <w:rFonts w:ascii="Times New Roman" w:hAnsi="Times New Roman"/>
              </w:rPr>
              <w:t xml:space="preserve">Приложению 1</w:t>
            </w:r>
            <w:r>
              <w:rPr>
                <w:rFonts w:ascii="Times New Roman" w:hAnsi="Times New Roman"/>
              </w:rPr>
              <w:br w:type="textWrapping" w:clear="all"/>
            </w:r>
            <w:r>
              <w:rPr>
                <w:rFonts w:ascii="Times New Roman" w:hAnsi="Times New Roman"/>
              </w:rPr>
              <w:t xml:space="preserve">к Тарифам»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92" w:type="dxa"/>
            <w:vAlign w:val="top"/>
            <w:textDirection w:val="lrTb"/>
            <w:noWrap w:val="false"/>
          </w:tcPr>
          <w:p>
            <w:pPr>
              <w:pStyle w:val="1172"/>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72"/>
              <w:ind w:left="1416" w:firstLine="70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835"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gridSpan w:val="2"/>
            <w:tcW w:w="2992" w:type="dxa"/>
            <w:vAlign w:val="center"/>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rPr>
                <w:rFonts w:ascii="Times New Roman" w:hAnsi="Times New Roman"/>
                <w:bCs/>
              </w:rPr>
            </w:pPr>
            <w:r>
              <w:rPr>
                <w:rFonts w:ascii="Times New Roman" w:hAnsi="Times New Roman"/>
                <w:bCs/>
              </w:rPr>
              <w:t xml:space="preserve">13.3.</w:t>
            </w:r>
            <w:r>
              <w:rPr>
                <w:rFonts w:ascii="Times New Roman" w:hAnsi="Times New Roman"/>
                <w:bCs/>
              </w:rPr>
            </w:r>
            <w:r>
              <w:rPr>
                <w:rFonts w:ascii="Times New Roman" w:hAnsi="Times New Roman"/>
                <w:bCs/>
              </w:rPr>
            </w:r>
          </w:p>
        </w:tc>
        <w:tc>
          <w:tcPr>
            <w:tcW w:w="3260" w:type="dxa"/>
            <w:vAlign w:val="center"/>
            <w:textDirection w:val="lrTb"/>
            <w:noWrap w:val="false"/>
          </w:tcPr>
          <w:p>
            <w:pPr>
              <w:pStyle w:val="1172"/>
              <w:ind w:left="74"/>
              <w:jc w:val="both"/>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r>
              <w:rPr>
                <w:rFonts w:ascii="Times New Roman" w:hAnsi="Times New Roman"/>
                <w:bCs/>
              </w:rPr>
            </w:r>
          </w:p>
        </w:tc>
        <w:tc>
          <w:tcPr>
            <w:tcW w:w="2835" w:type="dxa"/>
            <w:vAlign w:val="top"/>
            <w:textDirection w:val="lrTb"/>
            <w:noWrap w:val="false"/>
          </w:tcPr>
          <w:p>
            <w:pPr>
              <w:pStyle w:val="1172"/>
              <w:jc w:val="center"/>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ind w:left="72"/>
              <w:jc w:val="both"/>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highlight w:val="white"/>
              </w:rPr>
            </w:r>
            <w:r>
              <w:rPr>
                <w:highlight w:val="white"/>
              </w:rPr>
            </w:r>
          </w:p>
        </w:tc>
        <w:tc>
          <w:tcPr>
            <w:tcW w:w="2835" w:type="dxa"/>
            <w:vAlign w:val="top"/>
            <w:textDirection w:val="lrTb"/>
            <w:noWrap w:val="false"/>
          </w:tcPr>
          <w:p>
            <w:pPr>
              <w:pStyle w:val="1172"/>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40" w:line="240" w:lineRule="auto"/>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172"/>
              <w:jc w:val="center"/>
              <w:spacing w:before="40" w:after="0" w:line="240" w:lineRule="auto"/>
              <w:rPr>
                <w:rFonts w:ascii="Times New Roman" w:hAnsi="Times New Roman"/>
                <w:color w:val="000000"/>
              </w:rPr>
            </w:pPr>
            <w:r>
              <w:rPr>
                <w:rFonts w:ascii="Times New Roman" w:hAnsi="Times New Roman"/>
                <w:color w:val="000000"/>
              </w:rPr>
              <w:t xml:space="preserve">лимит одного перевода – 999 999,99 руб.</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40" w:line="240" w:lineRule="auto"/>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bl>
    <w:p>
      <w:pPr>
        <w:pStyle w:val="1172"/>
        <w:jc w:val="both"/>
        <w:spacing w:before="120" w:after="0" w:line="240" w:lineRule="auto"/>
        <w:rPr>
          <w:rFonts w:ascii="Times New Roman" w:hAnsi="Times New Roman" w:eastAsia="Times New Roman"/>
          <w:lang w:eastAsia="ru-RU"/>
        </w:rPr>
      </w:pPr>
      <w:r>
        <w:rPr>
          <w:rFonts w:ascii="Times New Roman" w:hAnsi="Times New Roman" w:eastAsia="Times New Roman"/>
          <w:u w:val="single"/>
          <w:lang w:eastAsia="ru-RU"/>
        </w:rPr>
        <w:t xml:space="preserve">Примечание:</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2"/>
        <w:gridCol w:w="2482"/>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172"/>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575" w:type="pct"/>
            <w:vAlign w:val="center"/>
            <w:textDirection w:val="lrTb"/>
            <w:noWrap w:val="false"/>
          </w:tcPr>
          <w:p>
            <w:pPr>
              <w:pStyle w:val="1172"/>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224" w:type="pct"/>
            <w:vAlign w:val="center"/>
            <w:textDirection w:val="lrTb"/>
            <w:noWrap w:val="false"/>
          </w:tcPr>
          <w:p>
            <w:pPr>
              <w:pStyle w:val="1172"/>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715" w:type="pct"/>
            <w:vAlign w:val="center"/>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72"/>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дополнительных торговых разделов на междепозитарном счете АО «Россельхозбанк» в НКО ЗАО НРД и в других депозитариях</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1 000 руб. 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20 000 руб</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72"/>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right="-17"/>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месяцгодовых</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val="en-US"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38"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14.2.6.</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и учет ценных бумаг, являющихся обеспечением по кредитам, выданным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100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715"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bottom w:val="single" w:color="000000" w:sz="4" w:space="0"/>
            </w:tcBorders>
            <w:tcW w:w="4514"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highlight w:val="none"/>
                <w:lang w:eastAsia="ru-RU"/>
              </w:rPr>
            </w:pPr>
            <w:r>
              <w:rPr>
                <w:rFonts w:ascii="Times New Roman" w:hAnsi="Times New Roman" w:eastAsia="Times New Roman"/>
                <w:bCs/>
                <w:lang w:eastAsia="ru-RU"/>
              </w:rPr>
              <w:t xml:space="preserve">Хранение и учет на торговом счете ДЕПО ценных бумаг Депонентов, принятых АО «Россельхозбанк» на брокерское обслуживание</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right="-17"/>
              <w:jc w:val="both"/>
              <w:spacing w:before="40" w:after="0" w:line="240" w:lineRule="auto"/>
              <w:tabs>
                <w:tab w:val="left" w:pos="4464" w:leader="none"/>
                <w:tab w:val="left" w:pos="5760" w:leader="none"/>
              </w:tabs>
              <w:rPr>
                <w:rFonts w:ascii="Times New Roman" w:hAnsi="Times New Roman" w:cs="Times New Roman"/>
              </w:rPr>
            </w:pPr>
            <w:r>
              <w:rPr>
                <w:rFonts w:ascii="Times New Roman" w:hAnsi="Times New Roman" w:eastAsia="Times New Roman" w:cs="Times New Roman"/>
                <w:bCs/>
                <w:highlight w:val="none"/>
                <w:lang w:eastAsia="ru-RU"/>
              </w:rPr>
            </w:r>
            <w:r>
              <w:rPr>
                <w:rFonts w:ascii="Times New Roman" w:hAnsi="Times New Roman" w:eastAsia="Times New Roman" w:cs="Times New Roman"/>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rFonts w:ascii="Times New Roman" w:hAnsi="Times New Roman" w:cs="Times New Roman"/>
              </w:rPr>
            </w:r>
            <w:r>
              <w:rPr>
                <w:rFonts w:ascii="Times New Roman" w:hAnsi="Times New Roman" w:cs="Times New Roman"/>
              </w:rPr>
            </w:r>
          </w:p>
        </w:tc>
      </w:tr>
    </w:tbl>
    <w:p>
      <w:pPr>
        <w:pStyle w:val="1172"/>
        <w:jc w:val="center"/>
        <w:spacing w:before="40" w:after="40" w:line="240" w:lineRule="auto"/>
        <w:rPr>
          <w:rFonts w:ascii="Times New Roman" w:hAnsi="Times New Roman" w:eastAsia="Times New Roman"/>
          <w:bCs/>
          <w:lang w:eastAsia="ru-RU"/>
        </w:rPr>
        <w:sectPr>
          <w:headerReference w:type="default" r:id="rId9"/>
          <w:footnotePr/>
          <w:endnotePr/>
          <w:type w:val="nextPage"/>
          <w:pgSz w:w="11906" w:h="16838" w:orient="portrait"/>
          <w:pgMar w:top="709" w:right="851" w:bottom="709" w:left="1134" w:header="709" w:footer="709" w:gutter="0"/>
          <w:cols w:num="1" w:sep="0" w:space="708" w:equalWidth="1"/>
          <w:docGrid w:linePitch="360"/>
          <w:titlePg/>
        </w:sect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4"/>
        <w:gridCol w:w="1496"/>
        <w:gridCol w:w="1097"/>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Средневзвешенная стоимость</w:t>
            </w:r>
            <w:r>
              <w:rPr>
                <w:rFonts w:ascii="Times New Roman" w:hAnsi="Times New Roman" w:eastAsia="Times New Roman"/>
                <w:bCs/>
                <w:sz w:val="18"/>
                <w:vertAlign w:val="superscript"/>
                <w:lang w:eastAsia="ru-RU"/>
              </w:rPr>
              <w:footnoteReference w:id="9"/>
            </w:r>
            <w:r>
              <w:rPr>
                <w:rFonts w:ascii="Times New Roman" w:hAnsi="Times New Roman" w:eastAsia="Times New Roman"/>
                <w:bCs/>
                <w:sz w:val="18"/>
                <w:lang w:eastAsia="ru-RU"/>
              </w:rPr>
              <w:t xml:space="preserve"> ценных бумаг (млрд. руб.)</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541" w:type="pct"/>
            <w:vAlign w:val="center"/>
            <w:textDirection w:val="lrTb"/>
            <w:noWrap w:val="false"/>
          </w:tcPr>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w:t>
            </w:r>
            <w:r>
              <w:rPr>
                <w:rFonts w:ascii="Times New Roman" w:hAnsi="Times New Roman" w:eastAsia="Times New Roman"/>
                <w:bCs/>
                <w:sz w:val="18"/>
                <w:lang w:eastAsia="ru-RU"/>
              </w:rPr>
            </w:r>
            <w:r>
              <w:rPr>
                <w:rFonts w:ascii="Times New Roman" w:hAnsi="Times New Roman" w:eastAsia="Times New Roman"/>
                <w:bCs/>
                <w:sz w:val="18"/>
                <w:lang w:eastAsia="ru-RU"/>
              </w:rPr>
            </w:r>
          </w:p>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годовых</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1659"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14.2.7.1.</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облигаций,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0,026%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restart"/>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ежемесячной средневзвешенной стоимости ценных бумаг на счете депо. </w:t>
            </w:r>
            <w:r>
              <w:rPr>
                <w:rFonts w:ascii="Times New Roman" w:hAnsi="Times New Roman" w:eastAsia="Times New Roman"/>
                <w:bCs/>
                <w:lang w:eastAsia="ru-RU"/>
              </w:rPr>
            </w:r>
            <w:r>
              <w:rPr>
                <w:rFonts w:ascii="Times New Roman" w:hAnsi="Times New Roman" w:eastAsia="Times New Roman"/>
                <w:bCs/>
                <w:lang w:eastAsia="ru-RU"/>
              </w:rPr>
            </w:r>
          </w:p>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0,024 %</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5 до 10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0,0197%</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10 до 20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20 до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0,0172%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свыше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0,016%</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акций и  российских депозитарных расписок,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до 0,5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0,019%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0,5 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0,014%</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0,013%</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свыше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p>
            <w:pPr>
              <w:pStyle w:val="1172"/>
              <w:ind w:left="180"/>
              <w:spacing w:before="40" w:after="40" w:line="240" w:lineRule="auto"/>
              <w:tabs>
                <w:tab w:val="left" w:pos="54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свободная от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right="-17"/>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shd w:val="clear" w:color="auto" w:fill="ffffff"/>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АО «Россельхозбанк»,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операциям купли-продажи ценных бумаг, совершенным   через брокера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 </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максимум 5000руб.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0"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279" w:type="pct"/>
            <w:vAlign w:val="center"/>
            <w:vMerge w:val="restart"/>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34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уступки прав по договору залога ценных  бумаг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регистрация перехода прав по договору залога ценных  бумаг</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vMerge w:val="continue"/>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Оказание содействия в осуществлении депонентом прав по ценным бума</w:t>
            </w:r>
            <w:r>
              <w:rPr>
                <w:rFonts w:ascii="Times New Roman" w:hAnsi="Times New Roman" w:eastAsia="Times New Roman"/>
                <w:bCs/>
                <w:lang w:eastAsia="ru-RU"/>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1500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сумм доходов на денежные счета, открытые в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t xml:space="preserve">В случае, если сумма перевода меньше суммы комиссии, то перевод дохода не производится, сумма зачисляется в доход Банка.</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p>
            <w:pPr>
              <w:pStyle w:val="1172"/>
              <w:ind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bCs/>
                <w:sz w:val="20"/>
                <w:szCs w:val="20"/>
              </w:rPr>
            </w:pPr>
            <w:r>
              <w:rPr>
                <w:rFonts w:ascii="Times New Roman" w:hAnsi="Times New Roman" w:eastAsia="Times New Roman" w:cs="Times New Roman"/>
                <w:bCs/>
                <w:sz w:val="22"/>
                <w:szCs w:val="22"/>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cs="Times New Roman"/>
                <w:bCs/>
                <w:sz w:val="20"/>
                <w:szCs w:val="20"/>
              </w:rPr>
            </w:r>
            <w:r>
              <w:rPr>
                <w:rFonts w:ascii="Times New Roman" w:hAnsi="Times New Roman" w:cs="Times New Roman"/>
                <w:bCs/>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до 1 года</w:t>
            </w:r>
            <w:r>
              <w:rPr>
                <w:rFonts w:ascii="Times New Roman" w:hAnsi="Times New Roman" w:cs="Times New Roman"/>
                <w:sz w:val="20"/>
                <w:szCs w:val="20"/>
              </w:rPr>
            </w:r>
            <w:r>
              <w:rPr>
                <w:rFonts w:ascii="Times New Roman" w:hAnsi="Times New Roman" w:cs="Times New Roman"/>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3364" w:type="dxa"/>
            <w:vAlign w:val="top"/>
            <w:vMerge w:val="restart"/>
            <w:textDirection w:val="lrTb"/>
            <w:noWrap w:val="false"/>
          </w:tcPr>
          <w:p>
            <w:pPr>
              <w:rPr>
                <w:rFonts w:ascii="Times New Roman" w:hAnsi="Times New Roman" w:eastAsia="Times New Roman" w:cs="Times New Roman"/>
                <w:sz w:val="20"/>
                <w:szCs w:val="20"/>
              </w:rPr>
            </w:pPr>
            <w:r>
              <w:rPr>
                <w:rFonts w:ascii="Times New Roman" w:hAnsi="Times New Roman" w:eastAsia="Times New Roman" w:cs="Times New Roman"/>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rPr>
                <w:rFonts w:ascii="Times New Roman" w:hAnsi="Times New Roman" w:cs="Times New Roman"/>
              </w:rPr>
            </w:pPr>
            <w:r>
              <w:rPr>
                <w:rFonts w:ascii="Times New Roman" w:hAnsi="Times New Roman" w:eastAsia="Times New Roman" w:cs="Times New Roman"/>
                <w:sz w:val="20"/>
                <w:szCs w:val="20"/>
                <w:highlight w:val="none"/>
              </w:rPr>
            </w:r>
            <w:r>
              <w:rPr>
                <w:rFonts w:ascii="Times New Roman" w:hAnsi="Times New Roman" w:cs="Times New Roman"/>
              </w:rPr>
            </w:r>
            <w:r>
              <w:rPr>
                <w:rFonts w:ascii="Times New Roman" w:hAnsi="Times New Roman" w:cs="Times New Roman"/>
              </w:rPr>
            </w:r>
          </w:p>
          <w:p>
            <w:pP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от 1 года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(включительно)</w:t>
            </w:r>
            <w:r>
              <w:rPr>
                <w:rFonts w:ascii="Times New Roman" w:hAnsi="Times New Roman" w:eastAsia="Times New Roman" w:cs="Times New Roman"/>
                <w:sz w:val="22"/>
                <w:szCs w:val="22"/>
              </w:rPr>
              <w:t xml:space="preserve"> до 3-х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лет </w:t>
            </w:r>
            <w:r>
              <w:rPr>
                <w:rFonts w:ascii="Times New Roman" w:hAnsi="Times New Roman" w:eastAsia="Times New Roman" w:cs="Times New Roman"/>
                <w:sz w:val="22"/>
                <w:szCs w:val="22"/>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более 3-х</w:t>
            </w:r>
            <w:r>
              <w:rPr>
                <w:rFonts w:ascii="Times New Roman" w:hAnsi="Times New Roman" w:eastAsia="Times New Roman" w:cs="Times New Roman"/>
                <w:sz w:val="22"/>
                <w:szCs w:val="22"/>
              </w:rPr>
              <w:t xml:space="preserve"> лет</w:t>
            </w:r>
            <w:r>
              <w:rPr>
                <w:rFonts w:ascii="Times New Roman" w:hAnsi="Times New Roman" w:cs="Times New Roman"/>
                <w:sz w:val="20"/>
                <w:szCs w:val="20"/>
              </w:rPr>
            </w:r>
            <w:r>
              <w:rPr>
                <w:rFonts w:ascii="Times New Roman" w:hAnsi="Times New Roman" w:cs="Times New Roman"/>
                <w:sz w:val="20"/>
                <w:szCs w:val="20"/>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3000 руб.  </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2"/>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t xml:space="preserve">14.8.6.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012"/>
              <w:contextualSpacing w:val="0"/>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копий поручений,</w:t>
            </w:r>
            <w:r>
              <w:rPr>
                <w:rFonts w:ascii="Times New Roman" w:hAnsi="Times New Roman" w:cs="Times New Roman"/>
                <w:bCs/>
                <w:iCs/>
                <w:sz w:val="20"/>
                <w:szCs w:val="20"/>
              </w:rPr>
            </w:r>
            <w:r>
              <w:rPr>
                <w:rFonts w:ascii="Times New Roman" w:hAnsi="Times New Roman" w:cs="Times New Roman"/>
                <w:bCs/>
                <w:iCs/>
                <w:sz w:val="20"/>
                <w:szCs w:val="20"/>
              </w:rPr>
            </w:r>
          </w:p>
          <w:p>
            <w:pPr>
              <w:pStyle w:val="1012"/>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279" w:type="pct"/>
            <w:vAlign w:val="top"/>
            <w:textDirection w:val="lrTb"/>
            <w:noWrap w:val="false"/>
          </w:tcPr>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2"/>
                <w:szCs w:val="22"/>
              </w:rPr>
              <w:t xml:space="preserve">На бумажном носителе - </w:t>
            </w:r>
            <w:r>
              <w:rPr>
                <w:rFonts w:ascii="Times New Roman" w:hAnsi="Times New Roman" w:eastAsia="Times New Roman" w:cs="Times New Roman"/>
                <w:bCs/>
                <w:iCs/>
                <w:sz w:val="22"/>
                <w:szCs w:val="22"/>
              </w:rPr>
              <w:t xml:space="preserve">100 руб. за лист»</w:t>
            </w:r>
            <w:r>
              <w:rPr>
                <w:rFonts w:ascii="Times New Roman" w:hAnsi="Times New Roman" w:cs="Times New Roman"/>
                <w:b/>
                <w:bCs/>
                <w:iCs/>
                <w:sz w:val="20"/>
                <w:szCs w:val="20"/>
              </w:rPr>
            </w:r>
            <w:r>
              <w:rPr>
                <w:rFonts w:ascii="Times New Roman" w:hAnsi="Times New Roman" w:cs="Times New Roman"/>
                <w:b/>
                <w:bCs/>
                <w:iCs/>
                <w:sz w:val="20"/>
                <w:szCs w:val="20"/>
              </w:rPr>
            </w:r>
          </w:p>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
                <w:bCs/>
                <w:iCs/>
                <w:sz w:val="22"/>
                <w:szCs w:val="22"/>
              </w:rPr>
            </w:r>
            <w:r>
              <w:rPr>
                <w:rFonts w:ascii="Times New Roman" w:hAnsi="Times New Roman" w:cs="Times New Roman"/>
                <w:b/>
                <w:bCs/>
                <w:iCs/>
                <w:sz w:val="20"/>
                <w:szCs w:val="20"/>
              </w:rPr>
            </w:r>
            <w:r>
              <w:rPr>
                <w:rFonts w:ascii="Times New Roman" w:hAnsi="Times New Roman" w:cs="Times New Roman"/>
                <w:b/>
                <w:bCs/>
                <w:iCs/>
                <w:sz w:val="20"/>
                <w:szCs w:val="20"/>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12"/>
              <w:contextualSpacing w:val="0"/>
              <w:ind w:left="164"/>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1</w:t>
            </w:r>
            <w:r>
              <w:rPr>
                <w:rFonts w:ascii="Times New Roman" w:hAnsi="Times New Roman" w:eastAsia="Times New Roman" w:cs="Times New Roman"/>
                <w:bCs/>
                <w:iCs/>
                <w:sz w:val="22"/>
                <w:szCs w:val="22"/>
                <w:lang w:val="en-US"/>
              </w:rPr>
              <w:t xml:space="preserve">4</w:t>
            </w:r>
            <w:r>
              <w:rPr>
                <w:rFonts w:ascii="Times New Roman" w:hAnsi="Times New Roman" w:eastAsia="Times New Roman" w:cs="Times New Roman"/>
                <w:bCs/>
                <w:iCs/>
                <w:sz w:val="22"/>
                <w:szCs w:val="22"/>
              </w:rPr>
              <w:t xml:space="preserve">.8.7.</w:t>
            </w:r>
            <w:r>
              <w:rPr>
                <w:rFonts w:ascii="Times New Roman" w:hAnsi="Times New Roman" w:cs="Times New Roman"/>
                <w:bCs/>
                <w:iCs/>
                <w:sz w:val="20"/>
                <w:szCs w:val="20"/>
              </w:rPr>
            </w:r>
            <w:r>
              <w:rPr>
                <w:rFonts w:ascii="Times New Roman" w:hAnsi="Times New Roman" w:cs="Times New Roman"/>
                <w:bCs/>
                <w:iCs/>
                <w:sz w:val="20"/>
                <w:szCs w:val="20"/>
              </w:rPr>
            </w:r>
          </w:p>
        </w:tc>
        <w:tc>
          <w:tcPr>
            <w:tcW w:w="1575" w:type="pct"/>
            <w:vAlign w:val="top"/>
            <w:textDirection w:val="lrTb"/>
            <w:noWrap w:val="false"/>
          </w:tcPr>
          <w:p>
            <w:pPr>
              <w:pStyle w:val="1012"/>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rPr>
              <w:t xml:space="preserve">(за исключением документов, указанных в </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Cs/>
                <w:iCs/>
                <w:sz w:val="22"/>
                <w:szCs w:val="22"/>
              </w:rPr>
              <w:t xml:space="preserve"> 14.8.1</w:t>
            </w:r>
            <w:r>
              <w:rPr>
                <w:rFonts w:ascii="Times New Roman" w:hAnsi="Times New Roman" w:eastAsia="Times New Roman" w:cs="Times New Roman"/>
                <w:bCs/>
                <w:iCs/>
                <w:sz w:val="22"/>
                <w:szCs w:val="22"/>
              </w:rPr>
              <w:t xml:space="preserve">, 14.8.4 </w:t>
            </w:r>
            <w:r>
              <w:rPr>
                <w:rFonts w:ascii="Times New Roman" w:hAnsi="Times New Roman" w:eastAsia="Times New Roman" w:cs="Times New Roman"/>
                <w:bCs/>
                <w:iCs/>
                <w:sz w:val="22"/>
                <w:szCs w:val="22"/>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279" w:type="pct"/>
            <w:vAlign w:val="top"/>
            <w:textDirection w:val="lrTb"/>
            <w:noWrap w:val="false"/>
          </w:tcPr>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2"/>
                <w:szCs w:val="22"/>
              </w:rPr>
              <w:t xml:space="preserve">На бумажном носителе - 15</w:t>
            </w:r>
            <w:r>
              <w:rPr>
                <w:rFonts w:ascii="Times New Roman" w:hAnsi="Times New Roman" w:eastAsia="Times New Roman" w:cs="Times New Roman"/>
                <w:bCs/>
                <w:iCs/>
                <w:sz w:val="22"/>
                <w:szCs w:val="22"/>
              </w:rPr>
              <w:t xml:space="preserve">0 руб.</w:t>
            </w:r>
            <w:r>
              <w:rPr>
                <w:rFonts w:ascii="Times New Roman" w:hAnsi="Times New Roman" w:eastAsia="Times New Roman" w:cs="Times New Roman"/>
                <w:bCs/>
                <w:iCs/>
                <w:sz w:val="22"/>
                <w:szCs w:val="22"/>
              </w:rPr>
              <w:t xml:space="preserve"> </w:t>
            </w:r>
            <w:r>
              <w:rPr>
                <w:rFonts w:ascii="Times New Roman" w:hAnsi="Times New Roman" w:eastAsia="Times New Roman" w:cs="Times New Roman"/>
                <w:bCs/>
                <w:iCs/>
                <w:sz w:val="22"/>
                <w:szCs w:val="22"/>
              </w:rPr>
              <w:t xml:space="preserve">за документ (без учета количества листов)</w:t>
            </w:r>
            <w:r>
              <w:rPr>
                <w:rFonts w:ascii="Times New Roman" w:hAnsi="Times New Roman" w:eastAsia="Times New Roman" w:cs="Times New Roman"/>
                <w:bCs/>
                <w:iCs/>
                <w:sz w:val="22"/>
                <w:szCs w:val="22"/>
              </w:rPr>
              <w:t xml:space="preserve">»</w:t>
            </w:r>
            <w:r>
              <w:rPr>
                <w:rFonts w:ascii="Times New Roman" w:hAnsi="Times New Roman" w:cs="Times New Roman"/>
                <w:b/>
                <w:bCs/>
                <w:iCs/>
                <w:sz w:val="20"/>
                <w:szCs w:val="20"/>
              </w:rPr>
            </w:r>
            <w:r>
              <w:rPr>
                <w:rFonts w:ascii="Times New Roman" w:hAnsi="Times New Roman" w:cs="Times New Roman"/>
                <w:b/>
                <w:bCs/>
                <w:iCs/>
                <w:sz w:val="20"/>
                <w:szCs w:val="20"/>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7"/>
        <w:gridCol w:w="4820"/>
        <w:gridCol w:w="198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72"/>
              <w:ind w:right="-250"/>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 п/п</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4820" w:type="dxa"/>
            <w:vAlign w:val="top"/>
            <w:textDirection w:val="lrTb"/>
            <w:noWrap w:val="false"/>
          </w:tcPr>
          <w:p>
            <w:pPr>
              <w:pStyle w:val="1172"/>
              <w:ind w:firstLine="709"/>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Наименование услуги</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1984" w:type="dxa"/>
            <w:vAlign w:val="top"/>
            <w:textDirection w:val="lrTb"/>
            <w:noWrap w:val="false"/>
          </w:tcPr>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Тариф</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2410" w:type="dxa"/>
            <w:vAlign w:val="top"/>
            <w:textDirection w:val="lrTb"/>
            <w:noWrap w:val="false"/>
          </w:tcPr>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Примечание</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17" w:type="dxa"/>
            <w:vAlign w:val="top"/>
            <w:textDirection w:val="lrTb"/>
            <w:noWrap w:val="false"/>
          </w:tcPr>
          <w:p>
            <w:pPr>
              <w:pStyle w:val="1172"/>
              <w:jc w:val="both"/>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15.1.</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Borders>
              <w:bottom w:val="single" w:color="000000" w:sz="4" w:space="0"/>
            </w:tcBorders>
            <w:tcW w:w="4820" w:type="dxa"/>
            <w:vAlign w:val="top"/>
            <w:textDirection w:val="lrTb"/>
            <w:noWrap w:val="false"/>
          </w:tcPr>
          <w:p>
            <w:pPr>
              <w:pStyle w:val="1172"/>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eastAsia="Times New Roman"/>
                <w:lang w:eastAsia="ru-RU"/>
              </w:rPr>
            </w:r>
            <w:r>
              <w:rPr>
                <w:rFonts w:ascii="Times New Roman" w:hAnsi="Times New Roman" w:eastAsia="Times New Roman"/>
                <w:lang w:eastAsia="ru-RU"/>
              </w:rPr>
            </w:r>
          </w:p>
          <w:p>
            <w:pPr>
              <w:pStyle w:val="1172"/>
              <w:ind w:firstLine="176"/>
              <w:spacing w:after="0" w:line="240" w:lineRule="auto"/>
              <w:tabs>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Характеристика и количество монет:</w:t>
            </w:r>
            <w:r>
              <w:rPr>
                <w:rFonts w:ascii="Times New Roman" w:hAnsi="Times New Roman" w:eastAsia="Times New Roman"/>
                <w:lang w:eastAsia="ru-RU"/>
              </w:rPr>
            </w:r>
            <w:r>
              <w:rPr>
                <w:rFonts w:ascii="Times New Roman" w:hAnsi="Times New Roman" w:eastAsia="Times New Roman"/>
                <w:lang w:eastAsia="ru-RU"/>
              </w:rPr>
            </w:r>
          </w:p>
          <w:p>
            <w:pPr>
              <w:pStyle w:val="1172"/>
              <w:ind w:left="34"/>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золото, качество чеканки «анциркулейтед», 7,78 г</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300 до 499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до 999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1000 до 1499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1500 и более шт.</w:t>
            </w:r>
            <w:r>
              <w:rPr>
                <w:rFonts w:ascii="Times New Roman" w:hAnsi="Times New Roman" w:eastAsia="Times New Roman"/>
                <w:lang w:eastAsia="ru-RU"/>
              </w:rPr>
            </w:r>
            <w:r>
              <w:rPr>
                <w:rFonts w:ascii="Times New Roman" w:hAnsi="Times New Roman" w:eastAsia="Times New Roman"/>
                <w:lang w:eastAsia="ru-RU"/>
              </w:rPr>
            </w:r>
          </w:p>
          <w:p>
            <w:pPr>
              <w:pStyle w:val="1172"/>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серебро, качество чеканки «анциркулейтед», 31,1 г</w:t>
            </w:r>
            <w:r>
              <w:rPr>
                <w:rFonts w:ascii="Times New Roman" w:hAnsi="Times New Roman" w:eastAsia="Times New Roman"/>
                <w:lang w:eastAsia="ru-RU"/>
              </w:rPr>
            </w:r>
            <w:r>
              <w:rPr>
                <w:rFonts w:ascii="Times New Roman" w:hAnsi="Times New Roman" w:eastAsia="Times New Roman"/>
                <w:lang w:eastAsia="ru-RU"/>
              </w:rPr>
            </w:r>
          </w:p>
          <w:p>
            <w:pPr>
              <w:pStyle w:val="1172"/>
              <w:ind w:left="34" w:firstLine="283"/>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и более 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1984" w:type="dxa"/>
            <w:vAlign w:val="top"/>
            <w:textDirection w:val="lrTb"/>
            <w:noWrap w:val="false"/>
          </w:tcPr>
          <w:p>
            <w:pPr>
              <w:pStyle w:val="1172"/>
              <w:ind w:firstLine="34"/>
              <w:jc w:val="center"/>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305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285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265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245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155 руб./шт.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2410" w:type="dxa"/>
            <w:vAlign w:val="top"/>
            <w:textDirection w:val="lrTb"/>
            <w:noWrap w:val="false"/>
          </w:tcPr>
          <w:p>
            <w:pPr>
              <w:pStyle w:val="1172"/>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before="120" w:after="120" w:line="240" w:lineRule="auto"/>
        <w:tabs>
          <w:tab w:val="left" w:pos="284" w:leader="none"/>
          <w:tab w:val="left" w:pos="993"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 Операции с драгоценными металлами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2"/>
              <w:jc w:val="center"/>
              <w:rPr>
                <w:b/>
                <w:sz w:val="20"/>
                <w:szCs w:val="20"/>
              </w:rPr>
            </w:pPr>
            <w:r>
              <w:rPr>
                <w:b/>
                <w:sz w:val="20"/>
                <w:szCs w:val="20"/>
              </w:rPr>
              <w:t xml:space="preserve">№</w:t>
            </w:r>
            <w:r>
              <w:rPr>
                <w:b/>
                <w:sz w:val="20"/>
                <w:szCs w:val="20"/>
              </w:rPr>
            </w:r>
            <w:r>
              <w:rPr>
                <w:b/>
                <w:sz w:val="20"/>
                <w:szCs w:val="20"/>
              </w:rPr>
            </w:r>
          </w:p>
          <w:p>
            <w:pPr>
              <w:pStyle w:val="1172"/>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72"/>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72"/>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17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7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16.1</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72"/>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Ведение банковского счета в драгоценных металлах</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Открытие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Закрытие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Ежемесячное обслуживание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выписки по банковскому счету в драгоценных металлах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дубликата выписки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16.1.5</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справки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16.2.</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72"/>
              <w:jc w:val="both"/>
              <w:spacing w:before="40" w:after="4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b/>
                <w:lang w:eastAsia="ru-RU"/>
              </w:rPr>
              <w:t xml:space="preserve">Операции по банковским счетам в драгоценных металлах</w:t>
            </w:r>
            <w:r>
              <w:rPr>
                <w:rFonts w:ascii="Times New Roman" w:hAnsi="Times New Roman" w:eastAsia="Times New Roman"/>
                <w:b/>
                <w:vertAlign w:val="superscript"/>
                <w:lang w:eastAsia="ru-RU"/>
              </w:rPr>
              <w:footnoteReference w:id="10"/>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Прием слитков драгоценных металлов для зачисления на банковский счет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vertAlign w:val="superscript"/>
                <w:lang w:eastAsia="ru-RU"/>
              </w:rPr>
              <w:footnoteReference w:id="11"/>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Выдача слитков драгоценных металлов со списанием с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0,05 % </w:t>
              <w:br w:type="textWrapping" w:clear="all"/>
              <w:t xml:space="preserve">от стоимости драгоценного металла</w:t>
            </w:r>
            <w:r>
              <w:rPr>
                <w:rFonts w:ascii="Times New Roman" w:hAnsi="Times New Roman" w:eastAsia="Times New Roman"/>
                <w:vertAlign w:val="superscript"/>
                <w:lang w:eastAsia="ru-RU"/>
              </w:rPr>
              <w:footnoteReference w:id="12"/>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0,50 % </w:t>
              <w:br w:type="textWrapping" w:clear="all"/>
              <w:t xml:space="preserve">от стоимости драгоценного металла</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bl>
    <w:p>
      <w:pPr>
        <w:pStyle w:val="1172"/>
        <w:ind w:left="-425"/>
        <w:jc w:val="center"/>
        <w:keepNext/>
        <w:spacing w:after="4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left="-425"/>
        <w:jc w:val="center"/>
        <w:keepNext/>
        <w:spacing w:after="40" w:line="240" w:lineRule="auto"/>
        <w:rPr>
          <w:rFonts w:ascii="Times New Roman" w:hAnsi="Times New Roman" w:eastAsia="Times New Roman"/>
          <w:b/>
          <w:bCs/>
          <w:color w:val="808080"/>
          <w:sz w:val="24"/>
          <w:szCs w:val="24"/>
          <w:lang w:eastAsia="ru-RU"/>
        </w:rPr>
        <w:outlineLvl w:val="3"/>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2835"/>
        <w:gridCol w:w="2127"/>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35"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7"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69"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одной HTML-формы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Start w:id="0" w:name="_Toc317150640"/>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18.</w:t>
      </w:r>
      <w:r>
        <w:rPr>
          <w:rFonts w:ascii="Times New Roman" w:hAnsi="Times New Roman"/>
          <w:b/>
          <w:sz w:val="24"/>
          <w:szCs w:val="24"/>
        </w:rPr>
        <w:t xml:space="preserve"> Операции с использованием цифрового рубля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686"/>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686"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w:t>
            </w:r>
            <w:r>
              <w:rPr>
                <w:rFonts w:ascii="Times New Roman" w:hAnsi="Times New Roman" w:eastAsia="Times New Roman"/>
                <w:lang w:eastAsia="ru-RU"/>
              </w:rPr>
            </w:r>
            <w:r>
              <w:rPr>
                <w:rFonts w:ascii="Times New Roman" w:hAnsi="Times New Roman" w:eastAsia="Times New Roman"/>
                <w:lang w:eastAsia="ru-RU"/>
              </w:rPr>
            </w:r>
          </w:p>
        </w:tc>
        <w:tc>
          <w:tcPr>
            <w:gridSpan w:val="3"/>
            <w:tcW w:w="9073"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18.1.</w:t>
            </w:r>
            <w:r>
              <w:rPr>
                <w:rFonts w:ascii="Times New Roman" w:hAnsi="Times New Roman" w:eastAsia="Times New Roman"/>
                <w:lang w:eastAsia="ru-RU"/>
              </w:rPr>
            </w:r>
            <w:r>
              <w:rPr>
                <w:rFonts w:ascii="Times New Roman" w:hAnsi="Times New Roman" w:eastAsia="Times New Roman"/>
                <w:lang w:eastAsia="ru-RU"/>
              </w:rPr>
            </w:r>
          </w:p>
        </w:tc>
        <w:tc>
          <w:tcPr>
            <w:tcW w:w="3686" w:type="dxa"/>
            <w:vAlign w:val="top"/>
            <w:textDirection w:val="lrTb"/>
            <w:noWrap w:val="false"/>
          </w:tcPr>
          <w:p>
            <w:pPr>
              <w:pStyle w:val="117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7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18.2.</w:t>
            </w:r>
            <w:r>
              <w:rPr>
                <w:rFonts w:ascii="Times New Roman" w:hAnsi="Times New Roman" w:eastAsia="Times New Roman"/>
                <w:lang w:eastAsia="ru-RU"/>
              </w:rPr>
            </w:r>
            <w:r>
              <w:rPr>
                <w:rFonts w:ascii="Times New Roman" w:hAnsi="Times New Roman" w:eastAsia="Times New Roman"/>
                <w:lang w:eastAsia="ru-RU"/>
              </w:rPr>
            </w:r>
          </w:p>
        </w:tc>
        <w:tc>
          <w:tcPr>
            <w:tcW w:w="3686" w:type="dxa"/>
            <w:vAlign w:val="top"/>
            <w:textDirection w:val="lrTb"/>
            <w:noWrap w:val="false"/>
          </w:tcPr>
          <w:p>
            <w:pPr>
              <w:pStyle w:val="117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7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keepNext/>
        <w:spacing w:after="0" w:line="240" w:lineRule="auto"/>
        <w:rPr>
          <w:rFonts w:ascii="Times New Roman" w:hAnsi="Times New Roman" w:eastAsia="Times New Roman"/>
          <w:bCs/>
          <w:sz w:val="20"/>
          <w:szCs w:val="20"/>
          <w:lang w:val="en-US" w:eastAsia="en-US"/>
        </w:rPr>
        <w:outlineLvl w:val="3"/>
      </w:pPr>
      <w:r>
        <w:rPr>
          <w:rFonts w:ascii="Times New Roman" w:hAnsi="Times New Roman" w:eastAsia="Times New Roman"/>
          <w:bCs/>
          <w:sz w:val="20"/>
          <w:szCs w:val="20"/>
          <w:lang w:eastAsia="en-US"/>
        </w:rPr>
        <w:t xml:space="preserve">П</w:t>
      </w:r>
      <w:r>
        <w:rPr>
          <w:rFonts w:ascii="Times New Roman" w:hAnsi="Times New Roman" w:eastAsia="Times New Roman"/>
          <w:bCs/>
          <w:sz w:val="20"/>
          <w:szCs w:val="20"/>
          <w:lang w:val="en-US" w:eastAsia="en-US"/>
        </w:rPr>
        <w:t xml:space="preserve">риложение 1</w:t>
      </w:r>
      <w:r>
        <w:rPr>
          <w:rFonts w:ascii="Times New Roman" w:hAnsi="Times New Roman" w:eastAsia="Times New Roman"/>
          <w:bCs/>
          <w:sz w:val="20"/>
          <w:szCs w:val="20"/>
          <w:lang w:val="en-US" w:eastAsia="en-US"/>
        </w:rPr>
      </w:r>
      <w:r>
        <w:rPr>
          <w:rFonts w:ascii="Times New Roman" w:hAnsi="Times New Roman" w:eastAsia="Times New Roman"/>
          <w:bCs/>
          <w:sz w:val="20"/>
          <w:szCs w:val="20"/>
          <w:lang w:val="en-US" w:eastAsia="en-US"/>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тарифам комиссионного вознаграждения на услуги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Якутского РФ АО «Россельхозбанк» юридическим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индивидуальным предпринимателям и физическим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занимающимся в установленном законодательством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4"/>
          <w:szCs w:val="24"/>
          <w:lang w:eastAsia="ru-RU"/>
        </w:rPr>
      </w:pPr>
      <w:r>
        <w:rPr>
          <w:rFonts w:ascii="Times New Roman" w:hAnsi="Times New Roman" w:eastAsia="Times New Roman"/>
          <w:sz w:val="20"/>
          <w:szCs w:val="20"/>
          <w:lang w:eastAsia="ru-RU"/>
        </w:rPr>
        <w:t xml:space="preserve">Российской Федерации порядке частной практикой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bookmarkEnd w:id="0"/>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Перечень предприятий, осуществляющих переводы бюджетных денежных средств в форме субсидий по социальным федеральным целевым программам и муниципальным программам/подпрограммам, с которых не взимается комиссия в соответствии с пунктом</w:t>
      </w:r>
      <w:r>
        <w:rPr>
          <w:rFonts w:ascii="Times New Roman" w:hAnsi="Times New Roman" w:eastAsia="Times New Roman"/>
          <w:b/>
          <w:lang w:eastAsia="ru-RU"/>
        </w:rPr>
        <w:t xml:space="preserve"> 1.1.5.1. Тарифов комиссионного вознаграждения на услуги Якутского РФ АО «Россельхозбанк» юридическим лицам, 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lang w:eastAsia="ru-RU"/>
        </w:rPr>
      </w:r>
      <w:r>
        <w:rPr>
          <w:rFonts w:ascii="Times New Roman" w:hAnsi="Times New Roman" w:eastAsia="Times New Roman"/>
          <w:b/>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9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 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организации (групп организаций)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«Чолбон»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«Сыа Булуу»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«Байар»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СПоК «Сунтар-Ас»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СППК «Амма»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«Маай»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«Манчаары»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«Эрэл»</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СПК «Таатта»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«Усть-Алдан»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«Ханалас-Ас»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«Чурапча»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sz w:val="24"/>
          <w:szCs w:val="24"/>
        </w:rPr>
        <w:t xml:space="preserve">есяце, приходящегося на один э</w:t>
      </w:r>
      <w:r>
        <w:rPr>
          <w:rFonts w:ascii="Times New Roman" w:hAnsi="Times New Roman"/>
          <w:sz w:val="24"/>
          <w:szCs w:val="24"/>
        </w:rPr>
        <w:t xml:space="preserve">лектронный терминал/</w:t>
      </w:r>
      <w:r>
        <w:rPr>
          <w:rFonts w:ascii="Times New Roman" w:hAnsi="Times New Roman"/>
          <w:sz w:val="24"/>
          <w:szCs w:val="24"/>
        </w:rPr>
        <w:t xml:space="preserve">сервис «</w:t>
      </w:r>
      <w:r>
        <w:rPr>
          <w:rFonts w:ascii="Times New Roman" w:hAnsi="Times New Roman"/>
          <w:sz w:val="24"/>
          <w:szCs w:val="24"/>
        </w:rPr>
        <w:t xml:space="preserve">SoftPOS решение»</w:t>
      </w:r>
      <w:r>
        <w:rPr>
          <w:rFonts w:ascii="Times New Roman" w:hAnsi="Times New Roman"/>
          <w:sz w:val="24"/>
          <w:szCs w:val="24"/>
        </w:rPr>
      </w:r>
      <w:r>
        <w:rPr>
          <w:rFonts w:ascii="Times New Roman" w:hAnsi="Times New Roman"/>
          <w:sz w:val="24"/>
          <w:szCs w:val="24"/>
        </w:rPr>
      </w:r>
    </w:p>
    <w:p>
      <w:pPr>
        <w:ind w:left="0" w:right="0" w:firstLine="709"/>
        <w:jc w:val="both"/>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highlight w:val="none"/>
        </w:rPr>
        <w:t xml:space="preserve">** </w:t>
      </w:r>
      <w:r>
        <w:rPr>
          <w:rFonts w:ascii="Times New Roman" w:hAnsi="Times New Roman"/>
          <w:sz w:val="24"/>
          <w:szCs w:val="24"/>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sz w:val="24"/>
          <w:szCs w:val="24"/>
        </w:rPr>
        <w:t xml:space="preserve">(комиссия за технологическое взаимодействие для сервиса «</w:t>
      </w:r>
      <w:r>
        <w:rPr>
          <w:rFonts w:ascii="Times New Roman" w:hAnsi="Times New Roman"/>
          <w:sz w:val="24"/>
          <w:szCs w:val="24"/>
        </w:rPr>
        <w:t xml:space="preserve">SoftPOS решение»</w:t>
      </w:r>
      <w:r>
        <w:rPr>
          <w:rFonts w:ascii="Times New Roman" w:hAnsi="Times New Roman"/>
          <w:sz w:val="24"/>
          <w:szCs w:val="24"/>
        </w:rPr>
        <w:t xml:space="preserve"> не взимается</w:t>
      </w:r>
      <w:r>
        <w:rPr>
          <w:rFonts w:ascii="Times New Roman" w:hAnsi="Times New Roman"/>
          <w:sz w:val="24"/>
          <w:szCs w:val="24"/>
        </w:rPr>
        <w:t xml:space="preserve">).</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Style w:val="1028"/>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73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right"/>
              <w:rPr>
                <w:sz w:val="16"/>
                <w:szCs w:val="16"/>
              </w:rPr>
            </w:pPr>
            <w:r>
              <w:rPr>
                <w:rFonts w:ascii="Times New Roman" w:hAnsi="Times New Roman" w:eastAsia="Times New Roman" w:cs="Times New Roman"/>
                <w:b w:val="0"/>
                <w:i w:val="0"/>
                <w:strike w:val="0"/>
                <w:color w:val="000000"/>
                <w:sz w:val="16"/>
                <w:szCs w:val="16"/>
                <w:u w:val="none"/>
                <w:vertAlign w:val="baseline"/>
              </w:rPr>
              <w:t xml:space="preserve">Приложение 2</w:t>
              <w:br/>
              <w:t xml:space="preserve">к приказу АО "Россельхозбанк"</w:t>
              <w:br/>
              <w:t xml:space="preserve">от 19.12.2025 № 2379-ОД</w:t>
            </w:r>
            <w:r>
              <w:rPr>
                <w:sz w:val="16"/>
                <w:szCs w:val="16"/>
              </w:rPr>
            </w:r>
            <w:r>
              <w:rPr>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4"/>
                <w:u w:val="none"/>
                <w:vertAlign w:val="baseline"/>
              </w:rPr>
            </w:r>
            <w:r/>
          </w:p>
        </w:tc>
      </w:tr>
      <w:tr>
        <w:tblPrEx/>
        <w:trPr>
          <w:trHeight w:val="1463"/>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rPr>
                <w:sz w:val="16"/>
                <w:szCs w:val="16"/>
              </w:rPr>
            </w:pPr>
            <w:r>
              <w:rPr>
                <w:rFonts w:ascii="Times New Roman" w:hAnsi="Times New Roman" w:eastAsia="Times New Roman" w:cs="Times New Roman"/>
                <w:b w:val="0"/>
                <w:i w:val="0"/>
                <w:strike w:val="0"/>
                <w:color w:val="000000"/>
                <w:sz w:val="16"/>
                <w:szCs w:val="16"/>
                <w:u w:val="none"/>
                <w:vertAlign w:val="baseline"/>
              </w:rPr>
              <w:t xml:space="preserve">Приложение 2</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16"/>
                <w:szCs w:val="16"/>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rPr>
                <w:sz w:val="16"/>
                <w:szCs w:val="16"/>
              </w:rPr>
            </w:r>
            <w:r>
              <w:rPr>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p>
        </w:tc>
      </w:tr>
      <w:tr>
        <w:tblPrEx/>
        <w:trPr>
          <w:trHeight w:val="36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rPr>
                <w:sz w:val="20"/>
                <w:szCs w:val="20"/>
              </w:rPr>
            </w:pPr>
            <w:r>
              <w:rPr>
                <w:rFonts w:ascii="Times New Roman" w:hAnsi="Times New Roman" w:eastAsia="Times New Roman" w:cs="Times New Roman"/>
                <w:b/>
                <w:i w:val="0"/>
                <w:strike w:val="0"/>
                <w:color w:val="000000"/>
                <w:sz w:val="20"/>
                <w:szCs w:val="20"/>
                <w:u w:val="none"/>
                <w:vertAlign w:val="baseline"/>
              </w:rPr>
              <w:t xml:space="preserve">Тарифы комиссионного вознаграждения в рамках услуги "Интернет- эквайринг"</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p>
        </w:tc>
      </w:tr>
      <w:tr>
        <w:tblPrEx/>
        <w:trPr>
          <w:trHeight w:val="1257"/>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Наименование профиля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Государственные и коммунальные услуги</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Фаст фуд</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Супермаркет</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Туризм</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Медицина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Аптеки</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Образование</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Прочие</w:t>
            </w:r>
            <w:r>
              <w:rPr>
                <w:sz w:val="16"/>
                <w:szCs w:val="16"/>
              </w:rPr>
            </w:r>
            <w:r>
              <w:rPr>
                <w:sz w:val="16"/>
                <w:szCs w:val="16"/>
              </w:rPr>
            </w:r>
          </w:p>
        </w:tc>
      </w:tr>
      <w:tr>
        <w:tblPrEx/>
        <w:trPr>
          <w:trHeight w:val="2324"/>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МСС-код, соответствующий профилю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4900, 9399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5814</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5411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4722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4119, 8011,  8031, 8042,  8049, 8050, 8062,  8071, 8099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5912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8211, 8220, 8241, 8244, 8249, 8299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кроме 4900, 9399, 5814, 5411, 4722, 4119, 8011, 8031, 8042, 8049, 8050, 8062,  8071, 8099, 5912, 8211, 8220, 8241, 8244, 8249, 8299</w:t>
            </w:r>
            <w:r>
              <w:rPr>
                <w:sz w:val="16"/>
                <w:szCs w:val="16"/>
              </w:rPr>
            </w:r>
            <w:r>
              <w:rPr>
                <w:sz w:val="16"/>
                <w:szCs w:val="16"/>
              </w:rP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3</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9</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10</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11</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12</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13</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14</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15</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16</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17</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18</w:t>
            </w:r>
            <w:r>
              <w:rPr>
                <w:sz w:val="16"/>
                <w:szCs w:val="16"/>
              </w:rPr>
            </w:r>
            <w:r>
              <w:rPr>
                <w:sz w:val="16"/>
                <w:szCs w:val="16"/>
              </w:rP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19</w:t>
            </w:r>
            <w:r>
              <w:rPr>
                <w:sz w:val="16"/>
                <w:szCs w:val="16"/>
              </w:rPr>
            </w:r>
            <w:r>
              <w:rPr>
                <w:sz w:val="16"/>
                <w:szCs w:val="16"/>
              </w:rPr>
            </w:r>
          </w:p>
        </w:tc>
      </w:tr>
      <w:tr>
        <w:tblPrEx/>
        <w:trPr>
          <w:trHeight w:val="13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Размер финансового оборота (в месяц на один электронный магазин,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совершение операции* (% от каждой операции)</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Комиссия за технологическое взаимодействие **(руб.)</w:t>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до 100 000 вкл.</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2,1</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1,8</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1,9</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1,8</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100 000,01- 300 000 вкл.</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1,2</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1,99</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1,8</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2,45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300 000,01- 500 000 вкл.</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1,6</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1,95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1,65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1,6</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2,4</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500 000,01- 1000 000 вкл.</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0,95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1,55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1,85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1,6</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1,65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1,45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2,3</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1 000 000,01 и более</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0,9</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1,75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1,55</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1,4</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1,6</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1,4</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2,3</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0,0</w:t>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571"/>
        </w:trPr>
        <w:tc>
          <w:tcPr>
            <w:gridSpan w:val="3"/>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96"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i w:val="0"/>
                <w:strike w:val="0"/>
                <w:color w:val="000000"/>
                <w:sz w:val="16"/>
                <w:szCs w:val="16"/>
                <w:u w:val="none"/>
                <w:vertAlign w:val="baseline"/>
              </w:rPr>
              <w:t xml:space="preserve">Порядок применения Тарифа:</w:t>
            </w:r>
            <w:r>
              <w:rPr>
                <w:rFonts w:ascii="Times New Roman" w:hAnsi="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w:t>
            </w:r>
            <w:r>
              <w:rPr>
                <w:rFonts w:ascii="Times New Roman" w:hAnsi="Times New Roman" w:eastAsia="Times New Roman" w:cs="Times New Roman"/>
                <w:b w:val="0"/>
                <w:i w:val="0"/>
                <w:strike w:val="0"/>
                <w:color w:val="000000"/>
                <w:sz w:val="16"/>
                <w:szCs w:val="16"/>
                <w:u w:val="none"/>
                <w:vertAlign w:val="baseline"/>
              </w:rPr>
              <w:t xml:space="preserve">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rPr>
                <w:rFonts w:ascii="Times New Roman" w:hAnsi="Times New Roman" w:eastAsia="Times New Roman" w:cs="Times New Roman"/>
                <w:sz w:val="16"/>
                <w:szCs w:val="16"/>
              </w:rPr>
            </w:r>
            <w:r>
              <w:rPr>
                <w:rFonts w:ascii="Times New Roman" w:hAnsi="Times New Roman" w:cs="Times New Roman"/>
                <w:sz w:val="16"/>
                <w:szCs w:val="16"/>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rPr>
                <w:rFonts w:ascii="Times New Roman" w:hAnsi="Times New Roman" w:cs="Times New Roman"/>
                <w:sz w:val="16"/>
                <w:szCs w:val="16"/>
              </w:rPr>
            </w:pPr>
            <w:r>
              <w:rPr>
                <w:rFonts w:ascii="Times New Roman" w:hAnsi="Times New Roman" w:eastAsia="Times New Roman" w:cs="Times New Roman"/>
                <w:b w:val="0"/>
                <w:i w:val="0"/>
                <w:strike w:val="0"/>
                <w:color w:val="000000"/>
                <w:sz w:val="16"/>
                <w:szCs w:val="16"/>
                <w:u w:val="none"/>
                <w:vertAlign w:val="baseline"/>
              </w:rPr>
            </w:r>
            <w:r>
              <w:rPr>
                <w:rFonts w:ascii="Times New Roman" w:hAnsi="Times New Roman" w:eastAsia="Times New Roman" w:cs="Times New Roman"/>
                <w:sz w:val="16"/>
                <w:szCs w:val="16"/>
              </w:rPr>
            </w:r>
            <w:r>
              <w:rPr>
                <w:rFonts w:ascii="Times New Roman" w:hAnsi="Times New Roman" w:cs="Times New Roman"/>
                <w:sz w:val="16"/>
                <w:szCs w:val="16"/>
              </w:rPr>
            </w:r>
          </w:p>
        </w:tc>
      </w:tr>
    </w:tbl>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headerReference w:type="default" r:id="rId10"/>
      <w:footnotePr/>
      <w:endnotePr/>
      <w:type w:val="nextPage"/>
      <w:pgSz w:w="11906" w:h="16838" w:orient="portrait"/>
      <w:pgMar w:top="709" w:right="851" w:bottom="709"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B0604020202020204"/>
  </w:font>
  <w:font w:name="Helv">
    <w:panose1 w:val="02000603000000000000"/>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jc w:val="both"/>
      </w:pPr>
      <w:r>
        <w:rPr>
          <w:rStyle w:val="1176"/>
        </w:rPr>
        <w:footnoteRef/>
      </w:r>
      <w:r>
        <w:rPr>
          <w:rStyle w:val="117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77"/>
      </w:pPr>
      <w:r>
        <w:rPr>
          <w:rStyle w:val="1176"/>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7"/>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77"/>
      </w:pPr>
      <w:r>
        <w:rPr>
          <w:rStyle w:val="1176"/>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7"/>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77"/>
        <w:rPr>
          <w:lang w:val="ru-RU"/>
        </w:rPr>
      </w:pPr>
      <w:r>
        <w:rPr>
          <w:lang w:val="ru-RU"/>
        </w:rPr>
      </w:r>
      <w:r>
        <w:rPr>
          <w:lang w:val="ru-RU"/>
        </w:rPr>
      </w:r>
      <w:r>
        <w:rPr>
          <w:lang w:val="ru-RU"/>
        </w:rPr>
      </w:r>
    </w:p>
  </w:footnote>
  <w:footnote w:id="5">
    <w:p>
      <w:pPr>
        <w:pStyle w:val="1177"/>
        <w:jc w:val="both"/>
      </w:pPr>
      <w:r>
        <w:rPr>
          <w:rStyle w:val="1176"/>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77"/>
      </w:pPr>
      <w:r>
        <w:rPr>
          <w:rStyle w:val="1176"/>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7"/>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9"/>
        <w:ind w:left="0"/>
        <w:jc w:val="both"/>
        <w:spacing w:line="240" w:lineRule="auto"/>
        <w:tabs>
          <w:tab w:val="left" w:pos="426" w:leader="none"/>
        </w:tabs>
        <w:rPr>
          <w:sz w:val="24"/>
          <w:szCs w:val="24"/>
        </w:rPr>
      </w:pPr>
      <w:r>
        <w:rPr>
          <w:rStyle w:val="1176"/>
        </w:rPr>
        <w:footnoteRef/>
      </w:r>
      <w:r>
        <w:t xml:space="preserve"> </w:t>
      </w:r>
      <w:r>
        <w:rPr>
          <w:rFonts w:ascii="Times New Roman" w:hAnsi="Times New Roman" w:eastAsia="Times New Roman"/>
          <w:sz w:val="20"/>
          <w:szCs w:val="20"/>
          <w:lang w:val="en-US" w:eastAsia="ru-RU"/>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w:t>
      </w:r>
      <w:r>
        <w:rPr>
          <w:rFonts w:ascii="Times New Roman" w:hAnsi="Times New Roman" w:eastAsia="Times New Roman"/>
          <w:sz w:val="20"/>
          <w:szCs w:val="20"/>
          <w:lang w:val="en-US" w:eastAsia="ru-RU"/>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24"/>
          <w:szCs w:val="24"/>
        </w:rPr>
      </w:r>
      <w:r>
        <w:rPr>
          <w:sz w:val="24"/>
          <w:szCs w:val="24"/>
        </w:rPr>
      </w:r>
    </w:p>
  </w:footnote>
  <w:footnote w:id="8">
    <w:p>
      <w:pPr>
        <w:pStyle w:val="1177"/>
        <w:jc w:val="both"/>
      </w:pPr>
      <w:r>
        <w:rPr>
          <w:rStyle w:val="1176"/>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172"/>
        <w:ind w:left="-2" w:right="-18"/>
        <w:jc w:val="both"/>
        <w:spacing w:before="40" w:after="40"/>
        <w:tabs>
          <w:tab w:val="left" w:pos="4464" w:leader="none"/>
          <w:tab w:val="left" w:pos="5760" w:leader="none"/>
        </w:tabs>
        <w:rPr>
          <w:sz w:val="18"/>
          <w:szCs w:val="18"/>
        </w:rPr>
      </w:pPr>
      <w:r>
        <w:rPr>
          <w:rStyle w:val="1176"/>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p>
      <w:pPr>
        <w:pStyle w:val="1177"/>
        <w:rPr>
          <w:lang w:val="ru-RU"/>
        </w:rPr>
      </w:pPr>
      <w:r>
        <w:rPr>
          <w:lang w:val="ru-RU"/>
        </w:rPr>
      </w:r>
      <w:r>
        <w:rPr>
          <w:lang w:val="ru-RU"/>
        </w:rPr>
      </w:r>
      <w:r>
        <w:rPr>
          <w:lang w:val="ru-RU"/>
        </w:rPr>
      </w:r>
    </w:p>
  </w:footnote>
  <w:footnote w:id="10">
    <w:p>
      <w:pPr>
        <w:pStyle w:val="1177"/>
        <w:rPr>
          <w:sz w:val="18"/>
          <w:szCs w:val="18"/>
        </w:rPr>
      </w:pPr>
      <w:r>
        <w:rPr>
          <w:rStyle w:val="117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77"/>
        <w:jc w:val="both"/>
        <w:rPr>
          <w:sz w:val="18"/>
          <w:szCs w:val="18"/>
        </w:rPr>
      </w:pPr>
      <w:r>
        <w:rPr>
          <w:rStyle w:val="1176"/>
          <w:sz w:val="18"/>
          <w:szCs w:val="18"/>
        </w:rPr>
        <w:footnoteRef/>
      </w:r>
      <w:r>
        <w:rPr>
          <w:sz w:val="18"/>
          <w:szCs w:val="18"/>
        </w:rPr>
        <w:t xml:space="preserve"> </w:t>
      </w:r>
      <w:r>
        <w:rPr>
          <w:color w:val="000000"/>
          <w:sz w:val="18"/>
          <w:szCs w:val="18"/>
        </w:rPr>
        <w:t xml:space="preserve">Здесь и далее стандартные слитки, из</w:t>
      </w:r>
      <w:r>
        <w:rPr>
          <w:color w:val="000000"/>
          <w:sz w:val="18"/>
          <w:szCs w:val="18"/>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18"/>
          <w:szCs w:val="18"/>
        </w:rPr>
        <w:fldChar w:fldCharType="begin"/>
      </w:r>
      <w:r>
        <w:rPr>
          <w:sz w:val="18"/>
          <w:szCs w:val="18"/>
        </w:rPr>
        <w:instrText xml:space="preserve"> HYPERLINK "http://www.lbma.org.uk/" </w:instrText>
      </w:r>
      <w:r>
        <w:rPr>
          <w:sz w:val="18"/>
          <w:szCs w:val="18"/>
        </w:rPr>
        <w:fldChar w:fldCharType="separate"/>
      </w:r>
      <w:r>
        <w:rPr>
          <w:rStyle w:val="1191"/>
          <w:sz w:val="18"/>
          <w:szCs w:val="18"/>
        </w:rPr>
        <w:t xml:space="preserve">www.lbma.org.uk</w:t>
      </w:r>
      <w:r>
        <w:rPr>
          <w:rStyle w:val="1191"/>
          <w:sz w:val="18"/>
          <w:szCs w:val="18"/>
        </w:rPr>
        <w:fldChar w:fldCharType="end"/>
      </w:r>
      <w:r>
        <w:rPr>
          <w:rStyle w:val="1191"/>
          <w:sz w:val="18"/>
          <w:szCs w:val="18"/>
        </w:rPr>
        <w:t xml:space="preserve">.</w:t>
      </w:r>
      <w:r>
        <w:rPr>
          <w:sz w:val="18"/>
          <w:szCs w:val="18"/>
        </w:rPr>
      </w:r>
      <w:r>
        <w:rPr>
          <w:sz w:val="18"/>
          <w:szCs w:val="18"/>
        </w:rPr>
      </w:r>
    </w:p>
  </w:footnote>
  <w:footnote w:id="12">
    <w:p>
      <w:pPr>
        <w:pStyle w:val="1177"/>
        <w:jc w:val="both"/>
        <w:rPr>
          <w:sz w:val="18"/>
          <w:szCs w:val="18"/>
        </w:rPr>
      </w:pPr>
      <w:r>
        <w:rPr>
          <w:rStyle w:val="1176"/>
          <w:sz w:val="18"/>
          <w:szCs w:val="18"/>
        </w:rPr>
        <w:footnoteRef/>
      </w:r>
      <w:r>
        <w:rPr>
          <w:sz w:val="18"/>
          <w:szCs w:val="18"/>
        </w:rPr>
        <w:t xml:space="preserve"> </w:t>
      </w:r>
      <w:r>
        <w:rPr>
          <w:color w:val="000000"/>
          <w:sz w:val="18"/>
          <w:szCs w:val="18"/>
        </w:rPr>
        <w:t xml:space="preserve">Стоимость драгоценного металла здесь и д</w:t>
      </w:r>
      <w:r>
        <w:rPr>
          <w:color w:val="000000"/>
          <w:sz w:val="18"/>
          <w:szCs w:val="18"/>
        </w:rPr>
        <w:t xml:space="preserve">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172"/>
        <w:jc w:val="both"/>
        <w:rPr>
          <w:bCs/>
          <w:sz w:val="18"/>
          <w:szCs w:val="18"/>
          <w:lang w:eastAsia="en-US"/>
        </w:rPr>
      </w:pPr>
      <w:r>
        <w:rPr>
          <w:rStyle w:val="117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4">
    <w:p>
      <w:pPr>
        <w:pStyle w:val="1172"/>
        <w:jc w:val="both"/>
        <w:rPr>
          <w:rFonts w:ascii="Times New Roman" w:hAnsi="Times New Roman" w:cs="Times New Roman"/>
          <w:bCs/>
          <w:sz w:val="18"/>
          <w:szCs w:val="18"/>
        </w:rPr>
      </w:pPr>
      <w:r>
        <w:rPr>
          <w:rStyle w:val="117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rFonts w:ascii="Times New Roman" w:hAnsi="Times New Roman" w:eastAsia="Times New Roman" w:cs="Times New Roman"/>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Times New Roman" w:hAnsi="Times New Roman" w:eastAsia="Times New Roman" w:cs="Times New Roman"/>
          <w:bCs/>
          <w:sz w:val="18"/>
          <w:szCs w:val="18"/>
          <w:lang w:eastAsia="en-US"/>
        </w:rPr>
        <w:t xml:space="preserve">]</w:t>
      </w:r>
      <w:r>
        <w:rPr>
          <w:rFonts w:ascii="Times New Roman" w:hAnsi="Times New Roman" w:eastAsia="Times New Roman" w:cs="Times New Roman"/>
          <w:bCs/>
          <w:sz w:val="18"/>
          <w:szCs w:val="18"/>
          <w:lang w:eastAsia="en-US"/>
        </w:rPr>
      </w:r>
      <w:r>
        <w:rPr>
          <w:rFonts w:ascii="Times New Roman" w:hAnsi="Times New Roman" w:cs="Times New Roman"/>
          <w:bCs/>
          <w:sz w:val="18"/>
          <w:szCs w:val="18"/>
        </w:rPr>
      </w:r>
    </w:p>
    <w:p>
      <w:pPr>
        <w:pStyle w:val="1177"/>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81</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284" w:firstLine="0"/>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5">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3"/>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1"/>
  </w:num>
  <w:num w:numId="5">
    <w:abstractNumId w:val="14"/>
  </w:num>
  <w:num w:numId="6">
    <w:abstractNumId w:val="6"/>
  </w:num>
  <w:num w:numId="7">
    <w:abstractNumId w:val="16"/>
  </w:num>
  <w:num w:numId="8">
    <w:abstractNumId w:val="12"/>
  </w:num>
  <w:num w:numId="9">
    <w:abstractNumId w:val="15"/>
  </w:num>
  <w:num w:numId="10">
    <w:abstractNumId w:val="8"/>
  </w:num>
  <w:num w:numId="11">
    <w:abstractNumId w:val="2"/>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9"/>
  </w:num>
  <w:num w:numId="17">
    <w:abstractNumId w:val="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4">
    <w:name w:val="Heading 1"/>
    <w:basedOn w:val="1172"/>
    <w:next w:val="1172"/>
    <w:link w:val="995"/>
    <w:uiPriority w:val="9"/>
    <w:qFormat/>
    <w:pPr>
      <w:keepLines/>
      <w:keepNext/>
      <w:spacing w:before="480" w:after="200"/>
      <w:outlineLvl w:val="0"/>
    </w:pPr>
    <w:rPr>
      <w:rFonts w:ascii="Arial" w:hAnsi="Arial" w:eastAsia="Arial" w:cs="Arial"/>
      <w:sz w:val="40"/>
      <w:szCs w:val="40"/>
    </w:rPr>
  </w:style>
  <w:style w:type="character" w:styleId="995">
    <w:name w:val="Heading 1 Char"/>
    <w:link w:val="994"/>
    <w:uiPriority w:val="9"/>
    <w:rPr>
      <w:rFonts w:ascii="Arial" w:hAnsi="Arial" w:eastAsia="Arial" w:cs="Arial"/>
      <w:sz w:val="40"/>
      <w:szCs w:val="40"/>
    </w:rPr>
  </w:style>
  <w:style w:type="paragraph" w:styleId="996">
    <w:name w:val="Heading 2"/>
    <w:basedOn w:val="1172"/>
    <w:next w:val="1172"/>
    <w:link w:val="997"/>
    <w:uiPriority w:val="9"/>
    <w:unhideWhenUsed/>
    <w:qFormat/>
    <w:pPr>
      <w:keepLines/>
      <w:keepNext/>
      <w:spacing w:before="360" w:after="200"/>
      <w:outlineLvl w:val="1"/>
    </w:pPr>
    <w:rPr>
      <w:rFonts w:ascii="Arial" w:hAnsi="Arial" w:eastAsia="Arial" w:cs="Arial"/>
      <w:sz w:val="34"/>
    </w:rPr>
  </w:style>
  <w:style w:type="character" w:styleId="997">
    <w:name w:val="Heading 2 Char"/>
    <w:link w:val="996"/>
    <w:uiPriority w:val="9"/>
    <w:rPr>
      <w:rFonts w:ascii="Arial" w:hAnsi="Arial" w:eastAsia="Arial" w:cs="Arial"/>
      <w:sz w:val="34"/>
    </w:rPr>
  </w:style>
  <w:style w:type="paragraph" w:styleId="998">
    <w:name w:val="Heading 3"/>
    <w:basedOn w:val="1172"/>
    <w:next w:val="1172"/>
    <w:link w:val="999"/>
    <w:uiPriority w:val="9"/>
    <w:unhideWhenUsed/>
    <w:qFormat/>
    <w:pPr>
      <w:keepLines/>
      <w:keepNext/>
      <w:spacing w:before="320" w:after="200"/>
      <w:outlineLvl w:val="2"/>
    </w:pPr>
    <w:rPr>
      <w:rFonts w:ascii="Arial" w:hAnsi="Arial" w:eastAsia="Arial" w:cs="Arial"/>
      <w:sz w:val="30"/>
      <w:szCs w:val="30"/>
    </w:rPr>
  </w:style>
  <w:style w:type="character" w:styleId="999">
    <w:name w:val="Heading 3 Char"/>
    <w:link w:val="998"/>
    <w:uiPriority w:val="9"/>
    <w:rPr>
      <w:rFonts w:ascii="Arial" w:hAnsi="Arial" w:eastAsia="Arial" w:cs="Arial"/>
      <w:sz w:val="30"/>
      <w:szCs w:val="30"/>
    </w:rPr>
  </w:style>
  <w:style w:type="paragraph" w:styleId="1000">
    <w:name w:val="Heading 4"/>
    <w:basedOn w:val="1172"/>
    <w:next w:val="1172"/>
    <w:link w:val="1001"/>
    <w:uiPriority w:val="9"/>
    <w:unhideWhenUsed/>
    <w:qFormat/>
    <w:pPr>
      <w:keepLines/>
      <w:keepNext/>
      <w:spacing w:before="320" w:after="200"/>
      <w:outlineLvl w:val="3"/>
    </w:pPr>
    <w:rPr>
      <w:rFonts w:ascii="Arial" w:hAnsi="Arial" w:eastAsia="Arial" w:cs="Arial"/>
      <w:b/>
      <w:bCs/>
      <w:sz w:val="26"/>
      <w:szCs w:val="26"/>
    </w:rPr>
  </w:style>
  <w:style w:type="character" w:styleId="1001">
    <w:name w:val="Heading 4 Char"/>
    <w:link w:val="1000"/>
    <w:uiPriority w:val="9"/>
    <w:rPr>
      <w:rFonts w:ascii="Arial" w:hAnsi="Arial" w:eastAsia="Arial" w:cs="Arial"/>
      <w:b/>
      <w:bCs/>
      <w:sz w:val="26"/>
      <w:szCs w:val="26"/>
    </w:rPr>
  </w:style>
  <w:style w:type="paragraph" w:styleId="1002">
    <w:name w:val="Heading 5"/>
    <w:basedOn w:val="1172"/>
    <w:next w:val="1172"/>
    <w:link w:val="1003"/>
    <w:uiPriority w:val="9"/>
    <w:unhideWhenUsed/>
    <w:qFormat/>
    <w:pPr>
      <w:keepLines/>
      <w:keepNext/>
      <w:spacing w:before="320" w:after="200"/>
      <w:outlineLvl w:val="4"/>
    </w:pPr>
    <w:rPr>
      <w:rFonts w:ascii="Arial" w:hAnsi="Arial" w:eastAsia="Arial" w:cs="Arial"/>
      <w:b/>
      <w:bCs/>
      <w:sz w:val="24"/>
      <w:szCs w:val="24"/>
    </w:rPr>
  </w:style>
  <w:style w:type="character" w:styleId="1003">
    <w:name w:val="Heading 5 Char"/>
    <w:link w:val="1002"/>
    <w:uiPriority w:val="9"/>
    <w:rPr>
      <w:rFonts w:ascii="Arial" w:hAnsi="Arial" w:eastAsia="Arial" w:cs="Arial"/>
      <w:b/>
      <w:bCs/>
      <w:sz w:val="24"/>
      <w:szCs w:val="24"/>
    </w:rPr>
  </w:style>
  <w:style w:type="paragraph" w:styleId="1004">
    <w:name w:val="Heading 6"/>
    <w:basedOn w:val="1172"/>
    <w:next w:val="1172"/>
    <w:link w:val="1005"/>
    <w:uiPriority w:val="9"/>
    <w:unhideWhenUsed/>
    <w:qFormat/>
    <w:pPr>
      <w:keepLines/>
      <w:keepNext/>
      <w:spacing w:before="320" w:after="200"/>
      <w:outlineLvl w:val="5"/>
    </w:pPr>
    <w:rPr>
      <w:rFonts w:ascii="Arial" w:hAnsi="Arial" w:eastAsia="Arial" w:cs="Arial"/>
      <w:b/>
      <w:bCs/>
      <w:sz w:val="22"/>
      <w:szCs w:val="22"/>
    </w:rPr>
  </w:style>
  <w:style w:type="character" w:styleId="1005">
    <w:name w:val="Heading 6 Char"/>
    <w:link w:val="1004"/>
    <w:uiPriority w:val="9"/>
    <w:rPr>
      <w:rFonts w:ascii="Arial" w:hAnsi="Arial" w:eastAsia="Arial" w:cs="Arial"/>
      <w:b/>
      <w:bCs/>
      <w:sz w:val="22"/>
      <w:szCs w:val="22"/>
    </w:rPr>
  </w:style>
  <w:style w:type="paragraph" w:styleId="1006">
    <w:name w:val="Heading 7"/>
    <w:basedOn w:val="1172"/>
    <w:next w:val="1172"/>
    <w:link w:val="1007"/>
    <w:uiPriority w:val="9"/>
    <w:unhideWhenUsed/>
    <w:qFormat/>
    <w:pPr>
      <w:keepLines/>
      <w:keepNext/>
      <w:spacing w:before="320" w:after="200"/>
      <w:outlineLvl w:val="6"/>
    </w:pPr>
    <w:rPr>
      <w:rFonts w:ascii="Arial" w:hAnsi="Arial" w:eastAsia="Arial" w:cs="Arial"/>
      <w:b/>
      <w:bCs/>
      <w:i/>
      <w:iCs/>
      <w:sz w:val="22"/>
      <w:szCs w:val="22"/>
    </w:rPr>
  </w:style>
  <w:style w:type="character" w:styleId="1007">
    <w:name w:val="Heading 7 Char"/>
    <w:link w:val="1006"/>
    <w:uiPriority w:val="9"/>
    <w:rPr>
      <w:rFonts w:ascii="Arial" w:hAnsi="Arial" w:eastAsia="Arial" w:cs="Arial"/>
      <w:b/>
      <w:bCs/>
      <w:i/>
      <w:iCs/>
      <w:sz w:val="22"/>
      <w:szCs w:val="22"/>
    </w:rPr>
  </w:style>
  <w:style w:type="paragraph" w:styleId="1008">
    <w:name w:val="Heading 8"/>
    <w:basedOn w:val="1172"/>
    <w:next w:val="1172"/>
    <w:link w:val="1009"/>
    <w:uiPriority w:val="9"/>
    <w:unhideWhenUsed/>
    <w:qFormat/>
    <w:pPr>
      <w:keepLines/>
      <w:keepNext/>
      <w:spacing w:before="320" w:after="200"/>
      <w:outlineLvl w:val="7"/>
    </w:pPr>
    <w:rPr>
      <w:rFonts w:ascii="Arial" w:hAnsi="Arial" w:eastAsia="Arial" w:cs="Arial"/>
      <w:i/>
      <w:iCs/>
      <w:sz w:val="22"/>
      <w:szCs w:val="22"/>
    </w:rPr>
  </w:style>
  <w:style w:type="character" w:styleId="1009">
    <w:name w:val="Heading 8 Char"/>
    <w:link w:val="1008"/>
    <w:uiPriority w:val="9"/>
    <w:rPr>
      <w:rFonts w:ascii="Arial" w:hAnsi="Arial" w:eastAsia="Arial" w:cs="Arial"/>
      <w:i/>
      <w:iCs/>
      <w:sz w:val="22"/>
      <w:szCs w:val="22"/>
    </w:rPr>
  </w:style>
  <w:style w:type="paragraph" w:styleId="1010">
    <w:name w:val="Heading 9"/>
    <w:basedOn w:val="1172"/>
    <w:next w:val="1172"/>
    <w:link w:val="1011"/>
    <w:uiPriority w:val="9"/>
    <w:unhideWhenUsed/>
    <w:qFormat/>
    <w:pPr>
      <w:keepLines/>
      <w:keepNext/>
      <w:spacing w:before="320" w:after="200"/>
      <w:outlineLvl w:val="8"/>
    </w:pPr>
    <w:rPr>
      <w:rFonts w:ascii="Arial" w:hAnsi="Arial" w:eastAsia="Arial" w:cs="Arial"/>
      <w:i/>
      <w:iCs/>
      <w:sz w:val="21"/>
      <w:szCs w:val="21"/>
    </w:rPr>
  </w:style>
  <w:style w:type="character" w:styleId="1011">
    <w:name w:val="Heading 9 Char"/>
    <w:link w:val="1010"/>
    <w:uiPriority w:val="9"/>
    <w:rPr>
      <w:rFonts w:ascii="Arial" w:hAnsi="Arial" w:eastAsia="Arial" w:cs="Arial"/>
      <w:i/>
      <w:iCs/>
      <w:sz w:val="21"/>
      <w:szCs w:val="21"/>
    </w:rPr>
  </w:style>
  <w:style w:type="paragraph" w:styleId="1012">
    <w:name w:val="List Paragraph"/>
    <w:basedOn w:val="1172"/>
    <w:uiPriority w:val="34"/>
    <w:qFormat/>
    <w:pPr>
      <w:contextualSpacing/>
      <w:ind w:left="720"/>
    </w:pPr>
  </w:style>
  <w:style w:type="paragraph" w:styleId="1013">
    <w:name w:val="No Spacing"/>
    <w:uiPriority w:val="1"/>
    <w:qFormat/>
    <w:pPr>
      <w:spacing w:before="0" w:after="0" w:line="240" w:lineRule="auto"/>
    </w:pPr>
  </w:style>
  <w:style w:type="paragraph" w:styleId="1014">
    <w:name w:val="Title"/>
    <w:basedOn w:val="1172"/>
    <w:next w:val="1172"/>
    <w:link w:val="1015"/>
    <w:uiPriority w:val="10"/>
    <w:qFormat/>
    <w:pPr>
      <w:contextualSpacing/>
      <w:spacing w:before="300" w:after="200"/>
    </w:pPr>
    <w:rPr>
      <w:sz w:val="48"/>
      <w:szCs w:val="48"/>
    </w:rPr>
  </w:style>
  <w:style w:type="character" w:styleId="1015">
    <w:name w:val="Title Char"/>
    <w:link w:val="1014"/>
    <w:uiPriority w:val="10"/>
    <w:rPr>
      <w:sz w:val="48"/>
      <w:szCs w:val="48"/>
    </w:rPr>
  </w:style>
  <w:style w:type="paragraph" w:styleId="1016">
    <w:name w:val="Subtitle"/>
    <w:basedOn w:val="1172"/>
    <w:next w:val="1172"/>
    <w:link w:val="1017"/>
    <w:uiPriority w:val="11"/>
    <w:qFormat/>
    <w:pPr>
      <w:spacing w:before="200" w:after="200"/>
    </w:pPr>
    <w:rPr>
      <w:sz w:val="24"/>
      <w:szCs w:val="24"/>
    </w:rPr>
  </w:style>
  <w:style w:type="character" w:styleId="1017">
    <w:name w:val="Subtitle Char"/>
    <w:link w:val="1016"/>
    <w:uiPriority w:val="11"/>
    <w:rPr>
      <w:sz w:val="24"/>
      <w:szCs w:val="24"/>
    </w:rPr>
  </w:style>
  <w:style w:type="paragraph" w:styleId="1018">
    <w:name w:val="Quote"/>
    <w:basedOn w:val="1172"/>
    <w:next w:val="1172"/>
    <w:link w:val="1019"/>
    <w:uiPriority w:val="29"/>
    <w:qFormat/>
    <w:pPr>
      <w:ind w:left="720" w:right="720"/>
    </w:pPr>
    <w:rPr>
      <w:i/>
    </w:rPr>
  </w:style>
  <w:style w:type="character" w:styleId="1019">
    <w:name w:val="Quote Char"/>
    <w:link w:val="1018"/>
    <w:uiPriority w:val="29"/>
    <w:rPr>
      <w:i/>
    </w:rPr>
  </w:style>
  <w:style w:type="paragraph" w:styleId="1020">
    <w:name w:val="Intense Quote"/>
    <w:basedOn w:val="1172"/>
    <w:next w:val="1172"/>
    <w:link w:val="102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1">
    <w:name w:val="Intense Quote Char"/>
    <w:link w:val="1020"/>
    <w:uiPriority w:val="30"/>
    <w:rPr>
      <w:i/>
    </w:rPr>
  </w:style>
  <w:style w:type="paragraph" w:styleId="1022">
    <w:name w:val="Header"/>
    <w:basedOn w:val="1172"/>
    <w:link w:val="1023"/>
    <w:uiPriority w:val="99"/>
    <w:unhideWhenUsed/>
    <w:pPr>
      <w:spacing w:after="0" w:line="240" w:lineRule="auto"/>
      <w:tabs>
        <w:tab w:val="center" w:pos="7143" w:leader="none"/>
        <w:tab w:val="right" w:pos="14287" w:leader="none"/>
      </w:tabs>
    </w:pPr>
  </w:style>
  <w:style w:type="character" w:styleId="1023">
    <w:name w:val="Header Char"/>
    <w:link w:val="1022"/>
    <w:uiPriority w:val="99"/>
  </w:style>
  <w:style w:type="paragraph" w:styleId="1024">
    <w:name w:val="Footer"/>
    <w:basedOn w:val="1172"/>
    <w:link w:val="1027"/>
    <w:uiPriority w:val="99"/>
    <w:unhideWhenUsed/>
    <w:pPr>
      <w:spacing w:after="0" w:line="240" w:lineRule="auto"/>
      <w:tabs>
        <w:tab w:val="center" w:pos="7143" w:leader="none"/>
        <w:tab w:val="right" w:pos="14287" w:leader="none"/>
      </w:tabs>
    </w:pPr>
  </w:style>
  <w:style w:type="character" w:styleId="1025">
    <w:name w:val="Footer Char"/>
    <w:link w:val="1024"/>
    <w:uiPriority w:val="99"/>
  </w:style>
  <w:style w:type="paragraph" w:styleId="1026">
    <w:name w:val="Caption"/>
    <w:basedOn w:val="1172"/>
    <w:next w:val="1172"/>
    <w:uiPriority w:val="35"/>
    <w:semiHidden/>
    <w:unhideWhenUsed/>
    <w:qFormat/>
    <w:pPr>
      <w:spacing w:line="276" w:lineRule="auto"/>
    </w:pPr>
    <w:rPr>
      <w:b/>
      <w:bCs/>
      <w:color w:val="4f81bd" w:themeColor="accent1"/>
      <w:sz w:val="18"/>
      <w:szCs w:val="18"/>
    </w:rPr>
  </w:style>
  <w:style w:type="character" w:styleId="1027">
    <w:name w:val="Caption Char"/>
    <w:basedOn w:val="1026"/>
    <w:link w:val="1024"/>
    <w:uiPriority w:val="99"/>
  </w:style>
  <w:style w:type="table" w:styleId="102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3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3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4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4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5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6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6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7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7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9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9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0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0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2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2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4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4">
    <w:name w:val="Hyperlink"/>
    <w:uiPriority w:val="99"/>
    <w:unhideWhenUsed/>
    <w:rPr>
      <w:color w:val="0000ff" w:themeColor="hyperlink"/>
      <w:u w:val="single"/>
    </w:rPr>
  </w:style>
  <w:style w:type="paragraph" w:styleId="1155">
    <w:name w:val="footnote text"/>
    <w:basedOn w:val="1172"/>
    <w:link w:val="1156"/>
    <w:uiPriority w:val="99"/>
    <w:semiHidden/>
    <w:unhideWhenUsed/>
    <w:pPr>
      <w:spacing w:after="40" w:line="240" w:lineRule="auto"/>
    </w:pPr>
    <w:rPr>
      <w:sz w:val="18"/>
    </w:rPr>
  </w:style>
  <w:style w:type="character" w:styleId="1156">
    <w:name w:val="Footnote Text Char"/>
    <w:link w:val="1155"/>
    <w:uiPriority w:val="99"/>
    <w:rPr>
      <w:sz w:val="18"/>
    </w:rPr>
  </w:style>
  <w:style w:type="character" w:styleId="1157">
    <w:name w:val="footnote reference"/>
    <w:uiPriority w:val="99"/>
    <w:unhideWhenUsed/>
    <w:rPr>
      <w:vertAlign w:val="superscript"/>
    </w:rPr>
  </w:style>
  <w:style w:type="paragraph" w:styleId="1158">
    <w:name w:val="endnote text"/>
    <w:basedOn w:val="1172"/>
    <w:link w:val="1159"/>
    <w:uiPriority w:val="99"/>
    <w:semiHidden/>
    <w:unhideWhenUsed/>
    <w:pPr>
      <w:spacing w:after="0" w:line="240" w:lineRule="auto"/>
    </w:pPr>
    <w:rPr>
      <w:sz w:val="20"/>
    </w:rPr>
  </w:style>
  <w:style w:type="character" w:styleId="1159">
    <w:name w:val="Endnote Text Char"/>
    <w:link w:val="1158"/>
    <w:uiPriority w:val="99"/>
    <w:rPr>
      <w:sz w:val="20"/>
    </w:rPr>
  </w:style>
  <w:style w:type="character" w:styleId="1160">
    <w:name w:val="endnote reference"/>
    <w:uiPriority w:val="99"/>
    <w:semiHidden/>
    <w:unhideWhenUsed/>
    <w:rPr>
      <w:vertAlign w:val="superscript"/>
    </w:rPr>
  </w:style>
  <w:style w:type="paragraph" w:styleId="1161">
    <w:name w:val="toc 1"/>
    <w:basedOn w:val="1172"/>
    <w:next w:val="1172"/>
    <w:uiPriority w:val="39"/>
    <w:unhideWhenUsed/>
    <w:pPr>
      <w:ind w:left="0" w:right="0" w:firstLine="0"/>
      <w:spacing w:after="57"/>
    </w:pPr>
  </w:style>
  <w:style w:type="paragraph" w:styleId="1162">
    <w:name w:val="toc 2"/>
    <w:basedOn w:val="1172"/>
    <w:next w:val="1172"/>
    <w:uiPriority w:val="39"/>
    <w:unhideWhenUsed/>
    <w:pPr>
      <w:ind w:left="283" w:right="0" w:firstLine="0"/>
      <w:spacing w:after="57"/>
    </w:pPr>
  </w:style>
  <w:style w:type="paragraph" w:styleId="1163">
    <w:name w:val="toc 3"/>
    <w:basedOn w:val="1172"/>
    <w:next w:val="1172"/>
    <w:uiPriority w:val="39"/>
    <w:unhideWhenUsed/>
    <w:pPr>
      <w:ind w:left="567" w:right="0" w:firstLine="0"/>
      <w:spacing w:after="57"/>
    </w:pPr>
  </w:style>
  <w:style w:type="paragraph" w:styleId="1164">
    <w:name w:val="toc 4"/>
    <w:basedOn w:val="1172"/>
    <w:next w:val="1172"/>
    <w:uiPriority w:val="39"/>
    <w:unhideWhenUsed/>
    <w:pPr>
      <w:ind w:left="850" w:right="0" w:firstLine="0"/>
      <w:spacing w:after="57"/>
    </w:pPr>
  </w:style>
  <w:style w:type="paragraph" w:styleId="1165">
    <w:name w:val="toc 5"/>
    <w:basedOn w:val="1172"/>
    <w:next w:val="1172"/>
    <w:uiPriority w:val="39"/>
    <w:unhideWhenUsed/>
    <w:pPr>
      <w:ind w:left="1134" w:right="0" w:firstLine="0"/>
      <w:spacing w:after="57"/>
    </w:pPr>
  </w:style>
  <w:style w:type="paragraph" w:styleId="1166">
    <w:name w:val="toc 6"/>
    <w:basedOn w:val="1172"/>
    <w:next w:val="1172"/>
    <w:uiPriority w:val="39"/>
    <w:unhideWhenUsed/>
    <w:pPr>
      <w:ind w:left="1417" w:right="0" w:firstLine="0"/>
      <w:spacing w:after="57"/>
    </w:pPr>
  </w:style>
  <w:style w:type="paragraph" w:styleId="1167">
    <w:name w:val="toc 7"/>
    <w:basedOn w:val="1172"/>
    <w:next w:val="1172"/>
    <w:uiPriority w:val="39"/>
    <w:unhideWhenUsed/>
    <w:pPr>
      <w:ind w:left="1701" w:right="0" w:firstLine="0"/>
      <w:spacing w:after="57"/>
    </w:pPr>
  </w:style>
  <w:style w:type="paragraph" w:styleId="1168">
    <w:name w:val="toc 8"/>
    <w:basedOn w:val="1172"/>
    <w:next w:val="1172"/>
    <w:uiPriority w:val="39"/>
    <w:unhideWhenUsed/>
    <w:pPr>
      <w:ind w:left="1984" w:right="0" w:firstLine="0"/>
      <w:spacing w:after="57"/>
    </w:pPr>
  </w:style>
  <w:style w:type="paragraph" w:styleId="1169">
    <w:name w:val="toc 9"/>
    <w:basedOn w:val="1172"/>
    <w:next w:val="1172"/>
    <w:uiPriority w:val="39"/>
    <w:unhideWhenUsed/>
    <w:pPr>
      <w:ind w:left="2268" w:right="0" w:firstLine="0"/>
      <w:spacing w:after="57"/>
    </w:pPr>
  </w:style>
  <w:style w:type="paragraph" w:styleId="1170">
    <w:name w:val="TOC Heading"/>
    <w:uiPriority w:val="39"/>
    <w:unhideWhenUsed/>
  </w:style>
  <w:style w:type="paragraph" w:styleId="1171">
    <w:name w:val="table of figures"/>
    <w:basedOn w:val="1172"/>
    <w:next w:val="1172"/>
    <w:uiPriority w:val="99"/>
    <w:unhideWhenUsed/>
    <w:pPr>
      <w:spacing w:after="0" w:afterAutospacing="0"/>
    </w:pPr>
  </w:style>
  <w:style w:type="paragraph" w:styleId="1172" w:default="1">
    <w:name w:val="Normal"/>
    <w:next w:val="1172"/>
    <w:link w:val="1172"/>
    <w:qFormat/>
    <w:pPr>
      <w:spacing w:after="200" w:line="276" w:lineRule="auto"/>
    </w:pPr>
    <w:rPr>
      <w:sz w:val="22"/>
      <w:szCs w:val="22"/>
      <w:lang w:val="ru-RU" w:eastAsia="en-US" w:bidi="ar-SA"/>
    </w:rPr>
  </w:style>
  <w:style w:type="character" w:styleId="1173">
    <w:name w:val="Основной шрифт абзаца"/>
    <w:next w:val="1173"/>
    <w:link w:val="1172"/>
    <w:uiPriority w:val="1"/>
    <w:unhideWhenUsed/>
  </w:style>
  <w:style w:type="table" w:styleId="1174">
    <w:name w:val="Обычная таблица"/>
    <w:next w:val="1174"/>
    <w:link w:val="1172"/>
    <w:uiPriority w:val="99"/>
    <w:semiHidden/>
    <w:unhideWhenUsed/>
    <w:qFormat/>
    <w:tblPr/>
  </w:style>
  <w:style w:type="numbering" w:styleId="1175">
    <w:name w:val="Нет списка"/>
    <w:next w:val="1175"/>
    <w:link w:val="1172"/>
    <w:uiPriority w:val="99"/>
    <w:semiHidden/>
    <w:unhideWhenUsed/>
  </w:style>
  <w:style w:type="character" w:styleId="117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76"/>
    <w:link w:val="1172"/>
    <w:uiPriority w:val="99"/>
    <w:qFormat/>
    <w:rPr>
      <w:rFonts w:ascii="Times New Roman" w:hAnsi="Times New Roman" w:cs="Times New Roman"/>
      <w:vertAlign w:val="superscript"/>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2"/>
    <w:next w:val="1177"/>
    <w:link w:val="1178"/>
    <w:qFormat/>
    <w:pPr>
      <w:spacing w:after="0" w:line="240" w:lineRule="auto"/>
    </w:pPr>
    <w:rPr>
      <w:rFonts w:ascii="Times New Roman" w:hAnsi="Times New Roman" w:eastAsia="Times New Roman"/>
      <w:sz w:val="20"/>
      <w:szCs w:val="20"/>
      <w:lang w:val="en-US" w:eastAsia="ru-RU"/>
    </w:rPr>
  </w:style>
  <w:style w:type="character" w:styleId="117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8"/>
    <w:link w:val="1177"/>
    <w:rPr>
      <w:rFonts w:ascii="Times New Roman" w:hAnsi="Times New Roman" w:eastAsia="Times New Roman" w:cs="Times New Roman"/>
      <w:sz w:val="20"/>
      <w:szCs w:val="20"/>
      <w:lang w:eastAsia="ru-RU"/>
    </w:rPr>
  </w:style>
  <w:style w:type="paragraph" w:styleId="1179">
    <w:name w:val="Абзац списка,Table-Normal,RSHB_Table-Normal"/>
    <w:basedOn w:val="1172"/>
    <w:next w:val="1179"/>
    <w:link w:val="1172"/>
    <w:uiPriority w:val="34"/>
    <w:qFormat/>
    <w:pPr>
      <w:contextualSpacing/>
      <w:ind w:left="720"/>
    </w:pPr>
  </w:style>
  <w:style w:type="paragraph" w:styleId="1180">
    <w:name w:val="Default"/>
    <w:next w:val="1180"/>
    <w:link w:val="1172"/>
    <w:rPr>
      <w:rFonts w:ascii="Times New Roman" w:hAnsi="Times New Roman"/>
      <w:color w:val="000000"/>
      <w:sz w:val="24"/>
      <w:szCs w:val="24"/>
      <w:lang w:val="ru-RU" w:eastAsia="en-US" w:bidi="ar-SA"/>
    </w:rPr>
  </w:style>
  <w:style w:type="paragraph" w:styleId="1181">
    <w:name w:val="Текст выноски"/>
    <w:basedOn w:val="1172"/>
    <w:next w:val="1181"/>
    <w:link w:val="1182"/>
    <w:uiPriority w:val="99"/>
    <w:semiHidden/>
    <w:unhideWhenUsed/>
    <w:pPr>
      <w:spacing w:after="0" w:line="240" w:lineRule="auto"/>
    </w:pPr>
    <w:rPr>
      <w:rFonts w:ascii="Tahoma" w:hAnsi="Tahoma"/>
      <w:sz w:val="16"/>
      <w:szCs w:val="16"/>
      <w:lang w:val="en-US" w:eastAsia="en-US"/>
    </w:rPr>
  </w:style>
  <w:style w:type="character" w:styleId="1182">
    <w:name w:val="Текст выноски Знак"/>
    <w:next w:val="1182"/>
    <w:link w:val="1181"/>
    <w:uiPriority w:val="99"/>
    <w:semiHidden/>
    <w:rPr>
      <w:rFonts w:ascii="Tahoma" w:hAnsi="Tahoma" w:cs="Tahoma"/>
      <w:sz w:val="16"/>
      <w:szCs w:val="16"/>
    </w:rPr>
  </w:style>
  <w:style w:type="paragraph" w:styleId="1183">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72"/>
    <w:next w:val="1183"/>
    <w:link w:val="1184"/>
    <w:uiPriority w:val="99"/>
    <w:unhideWhenUsed/>
    <w:pPr>
      <w:spacing w:after="0" w:line="240" w:lineRule="auto"/>
      <w:tabs>
        <w:tab w:val="center" w:pos="4677" w:leader="none"/>
        <w:tab w:val="right" w:pos="9355" w:leader="none"/>
      </w:tabs>
    </w:pPr>
  </w:style>
  <w:style w:type="character" w:styleId="1184">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73"/>
    <w:next w:val="1184"/>
    <w:link w:val="1183"/>
    <w:uiPriority w:val="99"/>
  </w:style>
  <w:style w:type="paragraph" w:styleId="1185">
    <w:name w:val="Нижний колонтитул"/>
    <w:basedOn w:val="1172"/>
    <w:next w:val="1185"/>
    <w:link w:val="1186"/>
    <w:uiPriority w:val="99"/>
    <w:unhideWhenUsed/>
    <w:pPr>
      <w:spacing w:after="0" w:line="240" w:lineRule="auto"/>
      <w:tabs>
        <w:tab w:val="center" w:pos="4677" w:leader="none"/>
        <w:tab w:val="right" w:pos="9355" w:leader="none"/>
      </w:tabs>
    </w:pPr>
  </w:style>
  <w:style w:type="character" w:styleId="1186">
    <w:name w:val="Нижний колонтитул Знак"/>
    <w:basedOn w:val="1173"/>
    <w:next w:val="1186"/>
    <w:link w:val="1185"/>
    <w:uiPriority w:val="99"/>
  </w:style>
  <w:style w:type="table" w:styleId="1187">
    <w:name w:val="Сетка таблицы"/>
    <w:basedOn w:val="1174"/>
    <w:next w:val="1187"/>
    <w:link w:val="1172"/>
    <w:uiPriority w:val="59"/>
    <w:tblPr/>
  </w:style>
  <w:style w:type="paragraph" w:styleId="1188">
    <w:name w:val="Название"/>
    <w:basedOn w:val="1172"/>
    <w:next w:val="1188"/>
    <w:link w:val="1189"/>
    <w:qFormat/>
    <w:pPr>
      <w:jc w:val="center"/>
      <w:spacing w:after="0" w:line="240" w:lineRule="auto"/>
    </w:pPr>
    <w:rPr>
      <w:rFonts w:ascii="Times New Roman" w:hAnsi="Times New Roman" w:eastAsia="Times New Roman"/>
      <w:b/>
      <w:bCs/>
      <w:sz w:val="28"/>
      <w:szCs w:val="28"/>
      <w:lang w:eastAsia="ru-RU"/>
    </w:rPr>
  </w:style>
  <w:style w:type="character" w:styleId="1189">
    <w:name w:val="Название Знак"/>
    <w:next w:val="1189"/>
    <w:link w:val="1188"/>
    <w:rPr>
      <w:rFonts w:ascii="Times New Roman" w:hAnsi="Times New Roman" w:eastAsia="Times New Roman"/>
      <w:b/>
      <w:bCs/>
      <w:sz w:val="28"/>
      <w:szCs w:val="28"/>
    </w:rPr>
  </w:style>
  <w:style w:type="paragraph" w:styleId="1190">
    <w:name w:val="Нормальный"/>
    <w:next w:val="1190"/>
    <w:link w:val="1172"/>
    <w:rPr>
      <w:rFonts w:ascii="TimesET" w:hAnsi="TimesET" w:eastAsia="Times New Roman" w:cs="TimesET"/>
      <w:b/>
      <w:bCs/>
      <w:i/>
      <w:iCs/>
      <w:smallCaps/>
      <w:sz w:val="24"/>
      <w:szCs w:val="24"/>
      <w:lang w:val="ru-RU" w:eastAsia="ru-RU" w:bidi="ar-SA"/>
    </w:rPr>
  </w:style>
  <w:style w:type="character" w:styleId="1191">
    <w:name w:val="Гиперссылка"/>
    <w:next w:val="1191"/>
    <w:link w:val="1172"/>
    <w:rPr>
      <w:rFonts w:cs="Times New Roman"/>
      <w:color w:val="0000ff"/>
      <w:u w:val="single"/>
    </w:rPr>
  </w:style>
  <w:style w:type="paragraph" w:styleId="1192">
    <w:name w:val="Текст концевой сноски"/>
    <w:basedOn w:val="1172"/>
    <w:next w:val="1192"/>
    <w:link w:val="1193"/>
    <w:uiPriority w:val="99"/>
    <w:semiHidden/>
    <w:unhideWhenUsed/>
    <w:rPr>
      <w:sz w:val="20"/>
      <w:szCs w:val="20"/>
    </w:rPr>
  </w:style>
  <w:style w:type="character" w:styleId="1193">
    <w:name w:val="Текст концевой сноски Знак"/>
    <w:next w:val="1193"/>
    <w:link w:val="1192"/>
    <w:uiPriority w:val="99"/>
    <w:semiHidden/>
    <w:rPr>
      <w:lang w:eastAsia="en-US"/>
    </w:rPr>
  </w:style>
  <w:style w:type="character" w:styleId="1194">
    <w:name w:val="Знак концевой сноски"/>
    <w:next w:val="1194"/>
    <w:link w:val="1172"/>
    <w:uiPriority w:val="99"/>
    <w:semiHidden/>
    <w:unhideWhenUsed/>
    <w:rPr>
      <w:vertAlign w:val="superscript"/>
    </w:rPr>
  </w:style>
  <w:style w:type="numbering" w:styleId="1195">
    <w:name w:val="Нет списка1"/>
    <w:next w:val="1175"/>
    <w:link w:val="1172"/>
    <w:uiPriority w:val="99"/>
    <w:semiHidden/>
    <w:unhideWhenUsed/>
  </w:style>
  <w:style w:type="table" w:styleId="1196">
    <w:name w:val="Сетка таблицы1"/>
    <w:basedOn w:val="1174"/>
    <w:next w:val="1187"/>
    <w:link w:val="1172"/>
    <w:uiPriority w:val="59"/>
    <w:tblPr/>
  </w:style>
  <w:style w:type="numbering" w:styleId="1197">
    <w:name w:val="Нет списка11"/>
    <w:next w:val="1175"/>
    <w:link w:val="1172"/>
    <w:uiPriority w:val="99"/>
    <w:semiHidden/>
    <w:unhideWhenUsed/>
  </w:style>
  <w:style w:type="character" w:styleId="1198" w:default="1">
    <w:name w:val="Default Paragraph Font"/>
    <w:uiPriority w:val="1"/>
    <w:semiHidden/>
    <w:unhideWhenUsed/>
  </w:style>
  <w:style w:type="numbering" w:styleId="1199" w:default="1">
    <w:name w:val="No List"/>
    <w:uiPriority w:val="99"/>
    <w:semiHidden/>
    <w:unhideWhenUsed/>
  </w:style>
  <w:style w:type="table" w:styleId="120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18</cp:revision>
  <dcterms:created xsi:type="dcterms:W3CDTF">2024-05-24T06:49:00Z</dcterms:created>
  <dcterms:modified xsi:type="dcterms:W3CDTF">2025-12-30T04:40:17Z</dcterms:modified>
  <cp:version>1048576</cp:version>
</cp:coreProperties>
</file>