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241"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603"/>
      </w:tblGrid>
      <w:tr>
        <w:tblPrEx/>
        <w:trPr>
          <w:trHeight w:val="293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_923"/>
              <w:jc w:val="center"/>
              <w:rPr>
                <w:rFonts w:ascii="Cambria" w:hAnsi="Cambria"/>
                <w:caps/>
                <w:sz w:val="32"/>
                <w:szCs w:val="32"/>
              </w:rPr>
            </w:pPr>
            <w:r>
              <w:rPr>
                <w:rFonts w:ascii="Cambria" w:hAnsi="Cambria"/>
                <w:caps/>
                <w:sz w:val="32"/>
                <w:szCs w:val="32"/>
              </w:rPr>
              <w:t xml:space="preserve">кемеров</w:t>
            </w:r>
            <w:r>
              <w:rPr>
                <w:rFonts w:ascii="Cambria" w:hAnsi="Cambria"/>
                <w:caps/>
                <w:sz w:val="32"/>
                <w:szCs w:val="32"/>
              </w:rPr>
              <w:t xml:space="preserve">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_92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65"/>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_923"/>
              <w:jc w:val="center"/>
              <w:rPr>
                <w:rFonts w:ascii="Cambria" w:hAnsi="Cambria"/>
                <w:sz w:val="48"/>
                <w:szCs w:val="48"/>
              </w:rPr>
            </w:pPr>
            <w:r>
              <w:rPr>
                <w:rFonts w:ascii="Cambria" w:hAnsi="Cambria"/>
                <w:sz w:val="48"/>
                <w:szCs w:val="48"/>
              </w:rPr>
              <w:t xml:space="preserve">ТАРИФЫ</w:t>
            </w:r>
            <w:r>
              <w:rPr>
                <w:rFonts w:ascii="Cambria" w:hAnsi="Cambria"/>
                <w:sz w:val="48"/>
                <w:szCs w:val="48"/>
              </w:rPr>
              <w:t xml:space="preserve"> </w:t>
            </w:r>
            <w:r>
              <w:rPr>
                <w:rFonts w:ascii="Cambria" w:hAnsi="Cambria"/>
                <w:sz w:val="48"/>
                <w:szCs w:val="48"/>
              </w:rPr>
              <w:t xml:space="preserve">КОМИССИОННОГО</w:t>
            </w:r>
            <w:r>
              <w:rPr>
                <w:rFonts w:ascii="Cambria" w:hAnsi="Cambria"/>
                <w:sz w:val="48"/>
                <w:szCs w:val="48"/>
              </w:rPr>
            </w:r>
            <w:r>
              <w:rPr>
                <w:rFonts w:ascii="Cambria" w:hAnsi="Cambria"/>
                <w:sz w:val="48"/>
                <w:szCs w:val="48"/>
              </w:rPr>
            </w:r>
          </w:p>
          <w:p>
            <w:pPr>
              <w:pStyle w:val="1_923"/>
              <w:jc w:val="center"/>
              <w:rPr>
                <w:rFonts w:ascii="Cambria" w:hAnsi="Cambria"/>
                <w:sz w:val="48"/>
                <w:szCs w:val="48"/>
              </w:rPr>
            </w:pPr>
            <w:r>
              <w:rPr>
                <w:rFonts w:ascii="Cambria" w:hAnsi="Cambria"/>
                <w:sz w:val="48"/>
                <w:szCs w:val="48"/>
              </w:rPr>
              <w:t xml:space="preserve">ВОЗНАГРАЖДЕНИЯ</w:t>
            </w:r>
            <w:r>
              <w:rPr>
                <w:rFonts w:ascii="Cambria" w:hAnsi="Cambria"/>
                <w:sz w:val="48"/>
                <w:szCs w:val="48"/>
              </w:rPr>
              <w:t xml:space="preserve"> </w:t>
            </w:r>
            <w:r>
              <w:rPr>
                <w:rFonts w:ascii="Cambria" w:hAnsi="Cambria"/>
                <w:sz w:val="48"/>
                <w:szCs w:val="48"/>
              </w:rPr>
              <w:t xml:space="preserve">НА</w:t>
            </w:r>
            <w:r>
              <w:rPr>
                <w:rFonts w:ascii="Cambria" w:hAnsi="Cambria"/>
                <w:sz w:val="48"/>
                <w:szCs w:val="48"/>
              </w:rPr>
              <w:t xml:space="preserve"> </w:t>
            </w:r>
            <w:r>
              <w:rPr>
                <w:rFonts w:ascii="Cambria" w:hAnsi="Cambria"/>
                <w:sz w:val="48"/>
                <w:szCs w:val="48"/>
              </w:rPr>
              <w:t xml:space="preserve">УСЛУГИ</w:t>
            </w:r>
            <w:r>
              <w:rPr>
                <w:rFonts w:ascii="Cambria" w:hAnsi="Cambria"/>
                <w:sz w:val="48"/>
                <w:szCs w:val="48"/>
              </w:rPr>
            </w:r>
            <w:r>
              <w:rPr>
                <w:rFonts w:ascii="Cambria" w:hAnsi="Cambria"/>
                <w:sz w:val="48"/>
                <w:szCs w:val="48"/>
              </w:rPr>
            </w:r>
          </w:p>
          <w:p>
            <w:pPr>
              <w:pStyle w:val="1_923"/>
              <w:jc w:val="center"/>
              <w:rPr>
                <w:rFonts w:ascii="Cambria" w:hAnsi="Cambria"/>
                <w:sz w:val="80"/>
                <w:szCs w:val="80"/>
              </w:rPr>
            </w:pPr>
            <w:r>
              <w:rPr>
                <w:rFonts w:ascii="Cambria" w:hAnsi="Cambria"/>
                <w:sz w:val="48"/>
                <w:szCs w:val="48"/>
              </w:rPr>
              <w:t xml:space="preserve">КРЕДИТНЫМ</w:t>
            </w:r>
            <w:r>
              <w:rPr>
                <w:rFonts w:ascii="Cambria" w:hAnsi="Cambria"/>
                <w:sz w:val="48"/>
                <w:szCs w:val="48"/>
              </w:rPr>
              <w:t xml:space="preserve"> </w:t>
            </w:r>
            <w:r>
              <w:rPr>
                <w:rFonts w:ascii="Cambria" w:hAnsi="Cambria"/>
                <w:sz w:val="48"/>
                <w:szCs w:val="48"/>
              </w:rPr>
              <w:t xml:space="preserve">ОРГАНИЗАЦИЯМ</w:t>
            </w:r>
            <w:r>
              <w:rPr>
                <w:rFonts w:ascii="Cambria" w:hAnsi="Cambria"/>
                <w:sz w:val="80"/>
                <w:szCs w:val="80"/>
              </w:rPr>
            </w:r>
            <w:r>
              <w:rPr>
                <w:rFonts w:ascii="Cambria" w:hAnsi="Cambria"/>
                <w:sz w:val="80"/>
                <w:szCs w:val="80"/>
              </w:rPr>
            </w:r>
          </w:p>
        </w:tc>
      </w:tr>
      <w:tr>
        <w:tblPrEx/>
        <w:trPr>
          <w:trHeight w:val="366"/>
        </w:trPr>
        <w:tc>
          <w:tcPr>
            <w:tcBorders>
              <w:bottom w:val="single" w:color="008444" w:sz="12" w:space="0"/>
            </w:tcBorders>
            <w:tcW w:w="5000" w:type="pct"/>
            <w:vAlign w:val="center"/>
            <w:textDirection w:val="lrTb"/>
            <w:noWrap w:val="false"/>
          </w:tcPr>
          <w:p>
            <w:pPr>
              <w:pStyle w:val="1_923"/>
              <w:jc w:val="center"/>
            </w:pPr>
            <w:r/>
            <w:r/>
            <w:r/>
          </w:p>
        </w:tc>
      </w:tr>
      <w:tr>
        <w:tblPrEx/>
        <w:trPr>
          <w:trHeight w:val="366"/>
        </w:trPr>
        <w:tc>
          <w:tcPr>
            <w:tcBorders>
              <w:top w:val="single" w:color="008444" w:sz="12" w:space="0"/>
            </w:tcBorders>
            <w:tcW w:w="5000" w:type="pct"/>
            <w:vAlign w:val="center"/>
            <w:textDirection w:val="lrTb"/>
            <w:noWrap w:val="false"/>
          </w:tcPr>
          <w:p>
            <w:pPr>
              <w:pStyle w:val="1_923"/>
              <w:jc w:val="center"/>
              <w:rPr>
                <w:b/>
                <w:bCs/>
              </w:rPr>
            </w:pPr>
            <w:r>
              <w:rPr>
                <w:b/>
                <w:bCs/>
              </w:rPr>
            </w:r>
            <w:r>
              <w:rPr>
                <w:b/>
                <w:bCs/>
              </w:rPr>
            </w:r>
            <w:r>
              <w:rPr>
                <w:b/>
                <w:bCs/>
              </w:rPr>
            </w:r>
          </w:p>
        </w:tc>
      </w:tr>
      <w:tr>
        <w:tblPrEx/>
        <w:trPr>
          <w:trHeight w:val="366"/>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25"/>
              <w:jc w:val="center"/>
              <w:rPr>
                <w:rFonts w:ascii="Calibri" w:hAnsi="Calibri"/>
                <w:sz w:val="32"/>
                <w:szCs w:val="32"/>
                <w:lang w:val="en-US"/>
              </w:rPr>
            </w:pPr>
            <w:r>
              <w:rPr>
                <w:rFonts w:ascii="Calibri" w:hAnsi="Calibri"/>
                <w:sz w:val="32"/>
                <w:szCs w:val="32"/>
              </w:rPr>
              <w:t xml:space="preserve">действуют с </w:t>
            </w:r>
            <w:r>
              <w:rPr>
                <w:rFonts w:ascii="Calibri" w:hAnsi="Calibri"/>
                <w:sz w:val="32"/>
                <w:szCs w:val="32"/>
              </w:rPr>
              <w:t xml:space="preserve">26</w:t>
            </w:r>
            <w:r>
              <w:rPr>
                <w:rFonts w:ascii="Calibri" w:hAnsi="Calibri"/>
                <w:sz w:val="32"/>
                <w:szCs w:val="32"/>
              </w:rPr>
              <w:t xml:space="preserve">.</w:t>
            </w:r>
            <w:r>
              <w:rPr>
                <w:rFonts w:ascii="Calibri" w:hAnsi="Calibri"/>
                <w:sz w:val="32"/>
                <w:szCs w:val="32"/>
              </w:rPr>
              <w:t xml:space="preserve">11.20</w:t>
            </w:r>
            <w:r>
              <w:rPr>
                <w:rFonts w:ascii="Calibri" w:hAnsi="Calibri"/>
                <w:sz w:val="32"/>
                <w:szCs w:val="32"/>
              </w:rPr>
              <w:t xml:space="preserve">2</w:t>
            </w:r>
            <w:r>
              <w:rPr>
                <w:rFonts w:ascii="Calibri" w:hAnsi="Calibri"/>
                <w:sz w:val="32"/>
                <w:szCs w:val="32"/>
                <w:lang w:val="en-US"/>
              </w:rPr>
              <w:t xml:space="preserve">5</w:t>
            </w:r>
            <w:r>
              <w:rPr>
                <w:rFonts w:ascii="Calibri" w:hAnsi="Calibri"/>
                <w:sz w:val="32"/>
                <w:szCs w:val="32"/>
                <w:lang w:val="en-US"/>
              </w:rPr>
            </w:r>
            <w:r>
              <w:rPr>
                <w:rFonts w:ascii="Calibri" w:hAnsi="Calibri"/>
                <w:sz w:val="32"/>
                <w:szCs w:val="32"/>
                <w:lang w:val="en-US"/>
              </w:rPr>
            </w:r>
          </w:p>
        </w:tc>
      </w:tr>
    </w:tbl>
    <w:p>
      <w:pPr>
        <w:pStyle w:val="927"/>
        <w:rPr>
          <w:sz w:val="24"/>
          <w:szCs w:val="24"/>
          <w:highlight w:val="none"/>
        </w:rPr>
      </w:pPr>
      <w:r>
        <w:rPr>
          <w:sz w:val="24"/>
          <w:szCs w:val="24"/>
          <w:highlight w:val="none"/>
        </w:rPr>
      </w:r>
      <w:r>
        <w:rPr>
          <w:sz w:val="24"/>
          <w:szCs w:val="24"/>
          <w:highlight w:val="none"/>
        </w:rPr>
      </w:r>
    </w:p>
    <w:p>
      <w:pPr>
        <w:pStyle w:val="927"/>
        <w:rPr>
          <w:sz w:val="24"/>
          <w:szCs w:val="24"/>
          <w:highlight w:val="none"/>
        </w:rPr>
      </w:pPr>
      <w:r>
        <w:rPr>
          <w:sz w:val="24"/>
          <w:szCs w:val="24"/>
          <w:highlight w:val="none"/>
        </w:rPr>
      </w:r>
      <w:r>
        <w:rPr>
          <w:sz w:val="24"/>
          <w:szCs w:val="24"/>
          <w:highlight w:val="none"/>
        </w:rPr>
      </w:r>
    </w:p>
    <w:p>
      <w:pPr>
        <w:pStyle w:val="927"/>
        <w:rPr>
          <w:sz w:val="24"/>
          <w:szCs w:val="24"/>
          <w:highlight w:val="none"/>
        </w:rPr>
      </w:pPr>
      <w:r>
        <w:rPr>
          <w:sz w:val="24"/>
          <w:szCs w:val="24"/>
          <w:highlight w:val="none"/>
        </w:rPr>
      </w:r>
      <w:r>
        <w:rPr>
          <w:sz w:val="24"/>
          <w:szCs w:val="24"/>
          <w:highlight w:val="none"/>
        </w:rPr>
      </w:r>
    </w:p>
    <w:p>
      <w:pPr>
        <w:pStyle w:val="927"/>
        <w:rPr>
          <w:sz w:val="24"/>
          <w:szCs w:val="24"/>
          <w:highlight w:val="none"/>
        </w:rPr>
      </w:pPr>
      <w:r>
        <w:rPr>
          <w:sz w:val="24"/>
          <w:szCs w:val="24"/>
        </w:rPr>
        <w:t xml:space="preserve">Общие положения</w:t>
      </w:r>
      <w:r>
        <w:rPr>
          <w:sz w:val="24"/>
          <w:szCs w:val="24"/>
        </w:rPr>
      </w:r>
      <w:r>
        <w:rPr>
          <w:sz w:val="24"/>
          <w:szCs w:val="24"/>
          <w:highlight w:val="none"/>
        </w:rPr>
      </w:r>
    </w:p>
    <w:p>
      <w:pPr>
        <w:pStyle w:val="925"/>
        <w:ind w:right="23" w:firstLine="720"/>
        <w:jc w:val="both"/>
        <w:spacing w:before="120"/>
        <w:tabs>
          <w:tab w:val="left" w:pos="1080" w:leader="none"/>
        </w:tabs>
        <w:rPr>
          <w:sz w:val="24"/>
          <w:szCs w:val="24"/>
        </w:rPr>
      </w:pPr>
      <w:r>
        <w:rPr>
          <w:sz w:val="24"/>
          <w:szCs w:val="24"/>
        </w:rPr>
        <w:t xml:space="preserve">1.</w:t>
      </w:r>
      <w:r>
        <w:rPr>
          <w:sz w:val="24"/>
          <w:szCs w:val="24"/>
        </w:rPr>
        <w:tab/>
      </w:r>
      <w:r>
        <w:rPr>
          <w:sz w:val="24"/>
          <w:szCs w:val="24"/>
        </w:rPr>
        <w:t xml:space="preserve">А</w:t>
      </w:r>
      <w:r>
        <w:rPr>
          <w:sz w:val="24"/>
          <w:szCs w:val="24"/>
        </w:rPr>
        <w:t xml:space="preserve">кционерное общество «Российский Сельскохозяйственный банк» </w:t>
      </w:r>
      <w:r>
        <w:rPr>
          <w:sz w:val="24"/>
          <w:szCs w:val="24"/>
        </w:rPr>
        <w:t xml:space="preserve">(</w:t>
      </w:r>
      <w:r>
        <w:rPr>
          <w:sz w:val="24"/>
          <w:szCs w:val="24"/>
        </w:rPr>
        <w:t xml:space="preserve">далее </w:t>
      </w:r>
      <w:r>
        <w:rPr>
          <w:sz w:val="24"/>
          <w:szCs w:val="24"/>
        </w:rPr>
        <w:t xml:space="preserve">- </w:t>
      </w:r>
      <w:r>
        <w:rPr>
          <w:sz w:val="24"/>
          <w:szCs w:val="24"/>
        </w:rPr>
        <w:t xml:space="preserve">Банк</w:t>
      </w:r>
      <w:r>
        <w:rPr>
          <w:sz w:val="24"/>
          <w:szCs w:val="24"/>
        </w:rPr>
        <w:t xml:space="preserve">)</w:t>
      </w:r>
      <w:r>
        <w:rPr>
          <w:sz w:val="24"/>
          <w:szCs w:val="24"/>
        </w:rPr>
        <w:t xml:space="preserve"> применяет Тарифы комиссионного вознаграждения на услуги, предоставляемые кредитным организациям (далее</w:t>
      </w:r>
      <w:r>
        <w:rPr>
          <w:sz w:val="24"/>
          <w:szCs w:val="24"/>
        </w:rPr>
        <w:t xml:space="preserve"> </w:t>
      </w:r>
      <w:r>
        <w:rPr>
          <w:sz w:val="24"/>
          <w:szCs w:val="24"/>
        </w:rPr>
        <w:t xml:space="preserve">– Тарифы), в том числе </w:t>
      </w:r>
      <w:r>
        <w:rPr>
          <w:sz w:val="24"/>
          <w:szCs w:val="24"/>
        </w:rPr>
        <w:t xml:space="preserve">за </w:t>
      </w:r>
      <w:r>
        <w:rPr>
          <w:sz w:val="24"/>
          <w:szCs w:val="24"/>
        </w:rPr>
        <w:t xml:space="preserve">выполнение поручений кредитных организаций</w:t>
      </w:r>
      <w:r>
        <w:rPr>
          <w:sz w:val="24"/>
          <w:szCs w:val="24"/>
        </w:rPr>
        <w:t xml:space="preserve">-операторов по перевод</w:t>
      </w:r>
      <w:r>
        <w:rPr>
          <w:sz w:val="24"/>
          <w:szCs w:val="24"/>
        </w:rPr>
        <w:t xml:space="preserve">у</w:t>
      </w:r>
      <w:r>
        <w:rPr>
          <w:sz w:val="24"/>
          <w:szCs w:val="24"/>
        </w:rPr>
        <w:t xml:space="preserve"> денежных средств</w:t>
      </w:r>
      <w:r>
        <w:rPr>
          <w:sz w:val="24"/>
          <w:szCs w:val="24"/>
        </w:rPr>
        <w:t xml:space="preserve"> по корреспондентским счетам ЛОРО (далее - </w:t>
      </w:r>
      <w:r>
        <w:rPr>
          <w:sz w:val="24"/>
          <w:szCs w:val="24"/>
        </w:rPr>
        <w:t xml:space="preserve">р</w:t>
      </w:r>
      <w:r>
        <w:rPr>
          <w:sz w:val="24"/>
          <w:szCs w:val="24"/>
        </w:rPr>
        <w:t xml:space="preserve">еспонденты</w:t>
      </w:r>
      <w:r>
        <w:rPr>
          <w:sz w:val="24"/>
          <w:szCs w:val="24"/>
        </w:rPr>
        <w:t xml:space="preserve">), открытым Банком.</w:t>
      </w:r>
      <w:r>
        <w:rPr>
          <w:sz w:val="24"/>
          <w:szCs w:val="24"/>
        </w:rPr>
        <w:t xml:space="preserve"> </w:t>
      </w:r>
      <w:r>
        <w:rPr>
          <w:sz w:val="24"/>
          <w:szCs w:val="24"/>
        </w:rPr>
        <w:t xml:space="preserve">Открытие корреспондентских счетов осуществляется только в головном офисе Банка.</w:t>
      </w:r>
      <w:r>
        <w:rPr>
          <w:sz w:val="24"/>
          <w:szCs w:val="24"/>
        </w:rPr>
      </w:r>
      <w:r>
        <w:rPr>
          <w:sz w:val="24"/>
          <w:szCs w:val="24"/>
        </w:rPr>
      </w:r>
    </w:p>
    <w:p>
      <w:pPr>
        <w:pStyle w:val="925"/>
        <w:ind w:firstLine="720"/>
        <w:jc w:val="both"/>
        <w:spacing w:before="120"/>
        <w:tabs>
          <w:tab w:val="left" w:pos="1080" w:leader="none"/>
        </w:tabs>
        <w:rPr>
          <w:sz w:val="24"/>
          <w:szCs w:val="24"/>
        </w:rPr>
      </w:pPr>
      <w:r>
        <w:rPr>
          <w:sz w:val="24"/>
          <w:szCs w:val="24"/>
        </w:rPr>
        <w:t xml:space="preserve">2.</w:t>
      </w:r>
      <w:r>
        <w:rPr>
          <w:sz w:val="24"/>
          <w:szCs w:val="24"/>
        </w:rPr>
        <w:tab/>
      </w:r>
      <w:r>
        <w:rPr>
          <w:sz w:val="24"/>
          <w:szCs w:val="24"/>
        </w:rPr>
        <w:t xml:space="preserve">Установление размера к</w:t>
      </w:r>
      <w:r>
        <w:rPr>
          <w:sz w:val="24"/>
          <w:szCs w:val="24"/>
        </w:rPr>
        <w:t xml:space="preserve">омиссионного вознаграждения производится по усмотрению Банка.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w:t>
      </w:r>
      <w:r>
        <w:rPr>
          <w:sz w:val="24"/>
          <w:szCs w:val="24"/>
        </w:rPr>
        <w:t xml:space="preserve">кредитной организаци</w:t>
      </w:r>
      <w:r>
        <w:rPr>
          <w:sz w:val="24"/>
          <w:szCs w:val="24"/>
        </w:rPr>
        <w:t xml:space="preserve">ей</w:t>
      </w:r>
      <w:r>
        <w:rPr>
          <w:sz w:val="24"/>
          <w:szCs w:val="24"/>
        </w:rPr>
        <w:t xml:space="preserve">.</w:t>
      </w:r>
      <w:r>
        <w:rPr>
          <w:sz w:val="24"/>
          <w:szCs w:val="24"/>
        </w:rPr>
      </w:r>
      <w:r>
        <w:rPr>
          <w:sz w:val="24"/>
          <w:szCs w:val="24"/>
        </w:rPr>
      </w:r>
    </w:p>
    <w:p>
      <w:pPr>
        <w:pStyle w:val="925"/>
        <w:ind w:firstLine="720"/>
        <w:jc w:val="both"/>
        <w:spacing w:before="120"/>
        <w:tabs>
          <w:tab w:val="left" w:pos="1080" w:leader="none"/>
        </w:tabs>
        <w:rPr>
          <w:color w:val="000000"/>
          <w:sz w:val="24"/>
          <w:szCs w:val="24"/>
        </w:rPr>
      </w:pPr>
      <w:r>
        <w:rPr>
          <w:sz w:val="24"/>
          <w:szCs w:val="24"/>
        </w:rPr>
        <w:t xml:space="preserve">3.</w:t>
      </w:r>
      <w:r>
        <w:rPr>
          <w:sz w:val="24"/>
          <w:szCs w:val="24"/>
        </w:rPr>
        <w:tab/>
      </w:r>
      <w:r>
        <w:rPr>
          <w:sz w:val="24"/>
          <w:szCs w:val="24"/>
        </w:rPr>
        <w:t xml:space="preserve">Внесение дополнений и изменений в настоящие Тарифы производится Банком в одностороннем порядке. Банк уведомляет </w:t>
      </w:r>
      <w:r>
        <w:rPr>
          <w:sz w:val="24"/>
          <w:szCs w:val="24"/>
        </w:rPr>
        <w:t xml:space="preserve">кредитные организации</w:t>
      </w:r>
      <w:r>
        <w:rPr>
          <w:sz w:val="24"/>
          <w:szCs w:val="24"/>
        </w:rPr>
        <w:t xml:space="preserve"> об изменениях Тарифов в порядке, установленном соответствующими договорами</w:t>
      </w:r>
      <w:r>
        <w:rPr>
          <w:sz w:val="24"/>
          <w:szCs w:val="24"/>
        </w:rPr>
        <w:t xml:space="preserve">,</w:t>
      </w:r>
      <w:r>
        <w:rPr>
          <w:color w:val="000000"/>
          <w:sz w:val="24"/>
          <w:szCs w:val="24"/>
        </w:rPr>
        <w:t xml:space="preserve"> либо путем размещения действующей редакции Тарифов на официальном интернет-сайте </w:t>
      </w:r>
      <w:r>
        <w:rPr>
          <w:color w:val="000000"/>
          <w:sz w:val="24"/>
          <w:szCs w:val="24"/>
        </w:rPr>
        <w:t xml:space="preserve">АО</w:t>
      </w:r>
      <w:r>
        <w:rPr>
          <w:color w:val="000000"/>
          <w:sz w:val="24"/>
          <w:szCs w:val="24"/>
        </w:rPr>
        <w:t xml:space="preserve"> «Россельхозбанк».</w:t>
      </w:r>
      <w:r>
        <w:rPr>
          <w:color w:val="000000"/>
          <w:sz w:val="24"/>
          <w:szCs w:val="24"/>
        </w:rPr>
      </w:r>
      <w:r>
        <w:rPr>
          <w:color w:val="000000"/>
          <w:sz w:val="24"/>
          <w:szCs w:val="24"/>
        </w:rPr>
      </w:r>
    </w:p>
    <w:p>
      <w:pPr>
        <w:pStyle w:val="925"/>
        <w:ind w:firstLine="720"/>
        <w:jc w:val="both"/>
        <w:spacing w:before="120"/>
        <w:tabs>
          <w:tab w:val="left" w:pos="1080" w:leader="none"/>
        </w:tabs>
        <w:rPr>
          <w:sz w:val="24"/>
          <w:szCs w:val="24"/>
        </w:rPr>
      </w:pPr>
      <w:r>
        <w:rPr>
          <w:sz w:val="24"/>
          <w:szCs w:val="24"/>
        </w:rPr>
        <w:t xml:space="preserve">4.</w:t>
      </w:r>
      <w:r>
        <w:rPr>
          <w:sz w:val="24"/>
          <w:szCs w:val="24"/>
        </w:rPr>
        <w:tab/>
      </w:r>
      <w:r>
        <w:rPr>
          <w:sz w:val="24"/>
          <w:szCs w:val="24"/>
        </w:rPr>
        <w:t xml:space="preserve">Тарифы</w:t>
      </w:r>
      <w:r>
        <w:rPr>
          <w:sz w:val="24"/>
          <w:szCs w:val="24"/>
        </w:rPr>
        <w:t xml:space="preserve"> комиссионного вознаграждения</w:t>
      </w:r>
      <w:r>
        <w:rPr>
          <w:sz w:val="24"/>
          <w:szCs w:val="24"/>
        </w:rPr>
        <w:t xml:space="preserve"> в</w:t>
      </w:r>
      <w:r>
        <w:rPr>
          <w:sz w:val="24"/>
          <w:szCs w:val="24"/>
        </w:rPr>
        <w:t xml:space="preserve"> региональны</w:t>
      </w:r>
      <w:r>
        <w:rPr>
          <w:sz w:val="24"/>
          <w:szCs w:val="24"/>
        </w:rPr>
        <w:t xml:space="preserve">х </w:t>
      </w:r>
      <w:r>
        <w:rPr>
          <w:sz w:val="24"/>
          <w:szCs w:val="24"/>
        </w:rPr>
        <w:t xml:space="preserve">филиала</w:t>
      </w:r>
      <w:r>
        <w:rPr>
          <w:sz w:val="24"/>
          <w:szCs w:val="24"/>
        </w:rPr>
        <w:t xml:space="preserve">х</w:t>
      </w:r>
      <w:r>
        <w:rPr>
          <w:sz w:val="24"/>
          <w:szCs w:val="24"/>
        </w:rPr>
        <w:t xml:space="preserve"> </w:t>
      </w:r>
      <w:r>
        <w:rPr>
          <w:sz w:val="24"/>
          <w:szCs w:val="24"/>
        </w:rPr>
        <w:t xml:space="preserve">Банка </w:t>
      </w:r>
      <w:r>
        <w:rPr>
          <w:sz w:val="24"/>
          <w:szCs w:val="24"/>
        </w:rPr>
        <w:t xml:space="preserve">могут отличаться от </w:t>
      </w:r>
      <w:r>
        <w:rPr>
          <w:sz w:val="24"/>
          <w:szCs w:val="24"/>
        </w:rPr>
        <w:t xml:space="preserve">Т</w:t>
      </w:r>
      <w:r>
        <w:rPr>
          <w:sz w:val="24"/>
          <w:szCs w:val="24"/>
        </w:rPr>
        <w:t xml:space="preserve">арифов</w:t>
      </w:r>
      <w:r>
        <w:rPr>
          <w:sz w:val="24"/>
          <w:szCs w:val="24"/>
        </w:rPr>
        <w:t xml:space="preserve">, установленных </w:t>
      </w:r>
      <w:r>
        <w:rPr>
          <w:sz w:val="24"/>
          <w:szCs w:val="24"/>
        </w:rPr>
        <w:t xml:space="preserve">Банк</w:t>
      </w:r>
      <w:r>
        <w:rPr>
          <w:sz w:val="24"/>
          <w:szCs w:val="24"/>
        </w:rPr>
        <w:t xml:space="preserve">ом,</w:t>
      </w:r>
      <w:r>
        <w:rPr>
          <w:sz w:val="24"/>
          <w:szCs w:val="24"/>
        </w:rPr>
        <w:t xml:space="preserve"> в зависимости от региона</w:t>
      </w:r>
      <w:r>
        <w:rPr>
          <w:sz w:val="24"/>
          <w:szCs w:val="24"/>
        </w:rPr>
        <w:t xml:space="preserve"> местонахождения регионального филиала</w:t>
      </w:r>
      <w:r>
        <w:rPr>
          <w:sz w:val="24"/>
          <w:szCs w:val="24"/>
        </w:rPr>
        <w:t xml:space="preserve">.</w:t>
      </w:r>
      <w:r>
        <w:rPr>
          <w:sz w:val="24"/>
          <w:szCs w:val="24"/>
        </w:rPr>
      </w:r>
      <w:r>
        <w:rPr>
          <w:sz w:val="24"/>
          <w:szCs w:val="24"/>
        </w:rPr>
      </w:r>
    </w:p>
    <w:p>
      <w:pPr>
        <w:pStyle w:val="925"/>
        <w:ind w:firstLine="720"/>
        <w:jc w:val="both"/>
        <w:spacing w:before="120"/>
        <w:tabs>
          <w:tab w:val="left" w:pos="1080" w:leader="none"/>
        </w:tabs>
        <w:rPr>
          <w:sz w:val="24"/>
          <w:szCs w:val="24"/>
        </w:rPr>
      </w:pPr>
      <w:r>
        <w:rPr>
          <w:sz w:val="24"/>
          <w:szCs w:val="24"/>
        </w:rPr>
        <w:t xml:space="preserve">5</w:t>
      </w:r>
      <w:r>
        <w:rPr>
          <w:sz w:val="24"/>
          <w:szCs w:val="24"/>
        </w:rPr>
        <w:t xml:space="preserve">.</w:t>
      </w:r>
      <w:r>
        <w:rPr>
          <w:sz w:val="24"/>
          <w:szCs w:val="24"/>
        </w:rPr>
        <w:tab/>
      </w:r>
      <w:r>
        <w:rPr>
          <w:sz w:val="24"/>
          <w:szCs w:val="24"/>
        </w:rPr>
        <w:t xml:space="preserve">Уплата (взимание) комиссионного вознаграждения и возмещение расходов Банка за проведение операций, имеющих фиксированное значение в долларах США, производятся в долларах США или в российских рублях в сумме, эквивалентн</w:t>
      </w:r>
      <w:r>
        <w:rPr>
          <w:sz w:val="24"/>
          <w:szCs w:val="24"/>
        </w:rPr>
        <w:t xml:space="preserve">ой размеру комиссии в долларах США, рассчитанной по курсу Банка России, действующему на день осуществления операции. В случае проведения операций в иностранной валюте, отличной от доллара США, и, если иное не предусмотрено отдельным соглашением, комиссионн</w:t>
      </w:r>
      <w:r>
        <w:rPr>
          <w:sz w:val="24"/>
          <w:szCs w:val="24"/>
        </w:rPr>
        <w:t xml:space="preserve">ое вознаграждение взимается в валюте операции в сумме, эквивалентной размеру комиссии в долларах США, рассчитанной по курсу Банка России, действующему на день осуществления операции, если иное не предусмотрено настоящими Тарифами или отдельным соглашением.</w:t>
      </w:r>
      <w:r>
        <w:rPr>
          <w:sz w:val="24"/>
          <w:szCs w:val="24"/>
        </w:rPr>
      </w:r>
      <w:r>
        <w:rPr>
          <w:sz w:val="24"/>
          <w:szCs w:val="24"/>
        </w:rPr>
      </w:r>
    </w:p>
    <w:p>
      <w:pPr>
        <w:pStyle w:val="925"/>
        <w:ind w:firstLine="720"/>
        <w:jc w:val="both"/>
        <w:rPr>
          <w:sz w:val="24"/>
          <w:szCs w:val="24"/>
        </w:rPr>
      </w:pPr>
      <w:r>
        <w:rPr>
          <w:sz w:val="24"/>
          <w:szCs w:val="24"/>
        </w:rPr>
        <w:t xml:space="preserve">Комиссионное вознаграждение, установленное в процентах от суммы, взимается в валюте операции, если иное не предусмотрено настоящими Тарифами или отдельным соглашением.</w:t>
      </w:r>
      <w:r>
        <w:rPr>
          <w:sz w:val="24"/>
          <w:szCs w:val="24"/>
        </w:rPr>
      </w:r>
      <w:r>
        <w:rPr>
          <w:sz w:val="24"/>
          <w:szCs w:val="24"/>
        </w:rPr>
      </w:r>
    </w:p>
    <w:p>
      <w:pPr>
        <w:pStyle w:val="925"/>
        <w:ind w:firstLine="720"/>
        <w:jc w:val="both"/>
        <w:tabs>
          <w:tab w:val="left" w:pos="1080" w:leader="none"/>
        </w:tabs>
        <w:rPr>
          <w:sz w:val="24"/>
          <w:szCs w:val="24"/>
        </w:rPr>
      </w:pPr>
      <w:r>
        <w:rPr>
          <w:sz w:val="24"/>
          <w:szCs w:val="24"/>
        </w:rPr>
        <w:t xml:space="preserve">Комиссионное вознаграждение за услуги, оказанные респондентам Банка, списывается с корреспондентских счетов ЛОРО в валюте счета. В случае отсутствия или недостатка средств на счете респондента, комиссии и иные расходы Банка за проведение операций</w:t>
      </w:r>
      <w:r>
        <w:rPr>
          <w:sz w:val="24"/>
          <w:szCs w:val="24"/>
        </w:rPr>
        <w:t xml:space="preserve"> списываются с иного счета респондента в российских рублях или в другой валюте в сумме, эквивалентной комиссии в долларах США/ЕВРО (в случае применения к операции фиксированного значения комиссии в долларах США/ЕВРО) или в валюте операции (в случае примене</w:t>
      </w:r>
      <w:r>
        <w:rPr>
          <w:sz w:val="24"/>
          <w:szCs w:val="24"/>
        </w:rPr>
        <w:t xml:space="preserve">ния тарифа, установленного в процентах от суммы), рассчитанные по курсу/кросс-курсу Банка России, действующему на день списания комиссий и иных расходов Банка за проведение операций, если иное не предусмотрено настоящими Тарифами или отдельным соглашением.</w:t>
      </w:r>
      <w:r>
        <w:rPr>
          <w:sz w:val="24"/>
          <w:szCs w:val="24"/>
        </w:rPr>
      </w:r>
      <w:r>
        <w:rPr>
          <w:sz w:val="24"/>
          <w:szCs w:val="24"/>
        </w:rPr>
      </w:r>
    </w:p>
    <w:p>
      <w:pPr>
        <w:pStyle w:val="925"/>
        <w:ind w:firstLine="720"/>
        <w:jc w:val="both"/>
        <w:rPr>
          <w:sz w:val="24"/>
          <w:szCs w:val="24"/>
        </w:rPr>
      </w:pPr>
      <w:r>
        <w:rPr>
          <w:sz w:val="24"/>
          <w:szCs w:val="24"/>
        </w:rPr>
        <w:t xml:space="preserve">Если остаток средств на счетах респондента не позволит ос</w:t>
      </w:r>
      <w:r>
        <w:rPr>
          <w:sz w:val="24"/>
          <w:szCs w:val="24"/>
        </w:rPr>
        <w:t xml:space="preserve">уществить списание в первые пять рабочих дней месяца,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w:t>
      </w:r>
      <w:r>
        <w:rPr>
          <w:sz w:val="24"/>
          <w:szCs w:val="24"/>
        </w:rPr>
      </w:r>
      <w:r>
        <w:rPr>
          <w:sz w:val="24"/>
          <w:szCs w:val="24"/>
        </w:rPr>
      </w:r>
    </w:p>
    <w:p>
      <w:pPr>
        <w:pStyle w:val="925"/>
        <w:ind w:firstLine="708"/>
        <w:jc w:val="both"/>
        <w:rPr>
          <w:sz w:val="24"/>
          <w:szCs w:val="24"/>
        </w:rPr>
      </w:pPr>
      <w:r>
        <w:rPr>
          <w:sz w:val="24"/>
          <w:szCs w:val="24"/>
        </w:rPr>
        <w:t xml:space="preserve">Кредитные организации</w:t>
      </w:r>
      <w:r>
        <w:rPr>
          <w:sz w:val="24"/>
          <w:szCs w:val="24"/>
        </w:rPr>
        <w:t xml:space="preserve">, не имеющие корреспондентского счета ЛОРО в Банке, осуществляют уплату комиссии и возмещение произведенных расходов Банка путем </w:t>
      </w:r>
      <w:r>
        <w:rPr>
          <w:sz w:val="24"/>
          <w:szCs w:val="24"/>
        </w:rPr>
        <w:t xml:space="preserve">перевода денежных </w:t>
      </w:r>
      <w:r>
        <w:rPr>
          <w:sz w:val="24"/>
          <w:szCs w:val="24"/>
        </w:rPr>
        <w:t xml:space="preserve">средств на корреспондентский счет Банка в соответствии с реквизитами, указанными в соответствующем соглашении (договоре) или в любой иной принятой в банковской практике форме.</w:t>
      </w:r>
      <w:r>
        <w:rPr>
          <w:sz w:val="24"/>
          <w:szCs w:val="24"/>
        </w:rPr>
      </w:r>
      <w:r>
        <w:rPr>
          <w:sz w:val="24"/>
          <w:szCs w:val="24"/>
        </w:rPr>
      </w:r>
    </w:p>
    <w:p>
      <w:pPr>
        <w:pStyle w:val="937"/>
        <w:ind w:left="0" w:right="0" w:firstLine="720"/>
        <w:spacing w:before="120"/>
        <w:tabs>
          <w:tab w:val="left" w:pos="1080" w:leader="none"/>
        </w:tabs>
      </w:pPr>
      <w:r>
        <w:t xml:space="preserve">6</w:t>
      </w:r>
      <w:r>
        <w:t xml:space="preserve">.</w:t>
      </w:r>
      <w:r>
        <w:tab/>
      </w:r>
      <w:r>
        <w:t xml:space="preserve">Переводы денежных средств </w:t>
      </w:r>
      <w:r>
        <w:t xml:space="preserve">с корреспондентских счетов ЛОРО в пользу налоговых, таможенных и других органов в случаях, установленных законодательством Российской Федерации, выполняются Банком без взимания комиссии.</w:t>
      </w:r>
      <w:r/>
    </w:p>
    <w:p>
      <w:pPr>
        <w:pStyle w:val="925"/>
        <w:ind w:right="23" w:firstLine="720"/>
        <w:jc w:val="both"/>
        <w:spacing w:before="120"/>
        <w:tabs>
          <w:tab w:val="left" w:pos="1080" w:leader="none"/>
        </w:tabs>
        <w:rPr>
          <w:sz w:val="24"/>
          <w:szCs w:val="24"/>
        </w:rPr>
      </w:pPr>
      <w:r>
        <w:rPr>
          <w:sz w:val="24"/>
          <w:szCs w:val="24"/>
        </w:rPr>
        <w:t xml:space="preserve">7</w:t>
      </w:r>
      <w:r>
        <w:rPr>
          <w:sz w:val="24"/>
          <w:szCs w:val="24"/>
        </w:rPr>
        <w:t xml:space="preserve">.</w:t>
      </w:r>
      <w:r>
        <w:rPr>
          <w:sz w:val="24"/>
          <w:szCs w:val="24"/>
        </w:rPr>
        <w:tab/>
      </w:r>
      <w:r>
        <w:rPr>
          <w:sz w:val="24"/>
          <w:szCs w:val="24"/>
        </w:rPr>
        <w:t xml:space="preserve">Возмещение почтовых и других расходов Банка, а также комиссий и расходов третьих банков (банков-посредников) </w:t>
      </w:r>
      <w:r>
        <w:rPr>
          <w:iCs/>
          <w:sz w:val="24"/>
          <w:szCs w:val="24"/>
        </w:rPr>
        <w:t xml:space="preserve">по документарным операциям</w:t>
      </w:r>
      <w:r>
        <w:rPr>
          <w:sz w:val="24"/>
          <w:szCs w:val="24"/>
        </w:rPr>
        <w:t xml:space="preserve">, если таковые возникают, осуществляется банками-контрагентами дополнительно к комиссиям, указанным в Тарифах.</w:t>
      </w:r>
      <w:r>
        <w:rPr>
          <w:sz w:val="24"/>
          <w:szCs w:val="24"/>
        </w:rPr>
      </w:r>
      <w:r>
        <w:rPr>
          <w:sz w:val="24"/>
          <w:szCs w:val="24"/>
        </w:rPr>
      </w:r>
    </w:p>
    <w:p>
      <w:pPr>
        <w:pStyle w:val="942"/>
        <w:ind w:right="21"/>
        <w:tabs>
          <w:tab w:val="left" w:pos="1080" w:leader="none"/>
        </w:tabs>
        <w:rPr>
          <w:sz w:val="24"/>
          <w:szCs w:val="24"/>
        </w:rPr>
      </w:pPr>
      <w:r>
        <w:rPr>
          <w:sz w:val="24"/>
          <w:szCs w:val="24"/>
        </w:rPr>
        <w:t xml:space="preserve">8</w:t>
      </w:r>
      <w:r>
        <w:rPr>
          <w:sz w:val="24"/>
          <w:szCs w:val="24"/>
        </w:rPr>
        <w:t xml:space="preserve">.</w:t>
      </w:r>
      <w:r>
        <w:rPr>
          <w:sz w:val="24"/>
          <w:szCs w:val="24"/>
        </w:rPr>
        <w:tab/>
      </w:r>
      <w:r>
        <w:rPr>
          <w:sz w:val="24"/>
          <w:szCs w:val="24"/>
        </w:rPr>
        <w:t xml:space="preserve">Комиссии, взысканные Банком за оказание услуг (кроме ошибочно удержанных), возврату не подлежат.</w:t>
      </w:r>
      <w:r>
        <w:rPr>
          <w:sz w:val="24"/>
          <w:szCs w:val="24"/>
        </w:rPr>
      </w:r>
      <w:r>
        <w:rPr>
          <w:sz w:val="24"/>
          <w:szCs w:val="24"/>
        </w:rPr>
      </w:r>
    </w:p>
    <w:p>
      <w:pPr>
        <w:pStyle w:val="925"/>
        <w:rPr>
          <w:sz w:val="2"/>
          <w:szCs w:val="2"/>
        </w:rPr>
      </w:pPr>
      <w:r>
        <w:br w:type="page" w:clear="all"/>
      </w:r>
      <w:r>
        <w:rPr>
          <w:sz w:val="2"/>
          <w:szCs w:val="2"/>
        </w:rPr>
      </w:r>
      <w:r>
        <w:rPr>
          <w:sz w:val="2"/>
          <w:szCs w:val="2"/>
        </w:rPr>
      </w:r>
    </w:p>
    <w:tbl>
      <w:tblPr>
        <w:tblW w:w="508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7"/>
        <w:gridCol w:w="2131"/>
        <w:gridCol w:w="4679"/>
        <w:gridCol w:w="2960"/>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4"/>
            <w:tcW w:w="10587" w:type="dxa"/>
            <w:vAlign w:val="top"/>
            <w:textDirection w:val="lrTb"/>
            <w:noWrap w:val="false"/>
          </w:tcPr>
          <w:p>
            <w:pPr>
              <w:pStyle w:val="925"/>
              <w:jc w:val="center"/>
              <w:spacing w:before="120" w:after="120"/>
              <w:tabs>
                <w:tab w:val="left" w:pos="709" w:leader="none"/>
              </w:tabs>
              <w:rPr>
                <w:iCs/>
                <w:sz w:val="24"/>
                <w:szCs w:val="24"/>
              </w:rPr>
            </w:pPr>
            <w:r>
              <w:rPr>
                <w:b/>
                <w:sz w:val="24"/>
                <w:szCs w:val="24"/>
              </w:rPr>
              <w:t xml:space="preserve">1. Ведение корреспондентских счетов (для респондентов)</w:t>
            </w:r>
            <w:r>
              <w:rPr>
                <w:iCs/>
                <w:sz w:val="24"/>
                <w:szCs w:val="24"/>
              </w:rPr>
            </w:r>
            <w:r>
              <w:rPr>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rPr>
                <w:iCs/>
              </w:rPr>
            </w:pPr>
            <w:r>
              <w:rPr>
                <w:iCs/>
              </w:rPr>
              <w:t xml:space="preserve">№</w:t>
            </w:r>
            <w:r>
              <w:rPr>
                <w:iCs/>
              </w:rPr>
              <w:t xml:space="preserve"> </w:t>
            </w:r>
            <w:r>
              <w:rPr>
                <w:iCs/>
              </w:rPr>
              <w:t xml:space="preserve">п/п</w:t>
            </w:r>
            <w:r>
              <w:rPr>
                <w:iCs/>
              </w:rPr>
            </w:r>
            <w:r>
              <w:rPr>
                <w:iCs/>
              </w:rPr>
            </w:r>
          </w:p>
        </w:tc>
        <w:tc>
          <w:tcPr>
            <w:tcW w:w="2131" w:type="dxa"/>
            <w:vAlign w:val="top"/>
            <w:textDirection w:val="lrTb"/>
            <w:noWrap w:val="false"/>
          </w:tcPr>
          <w:p>
            <w:pPr>
              <w:pStyle w:val="925"/>
              <w:spacing w:before="40" w:after="40"/>
              <w:tabs>
                <w:tab w:val="left" w:pos="709" w:leader="none"/>
              </w:tabs>
              <w:rPr>
                <w:iCs/>
              </w:rPr>
            </w:pPr>
            <w:r>
              <w:rPr>
                <w:iCs/>
              </w:rPr>
              <w:t xml:space="preserve">Наименование услуги</w:t>
            </w:r>
            <w:r>
              <w:rPr>
                <w:iCs/>
              </w:rPr>
            </w:r>
            <w:r>
              <w:rPr>
                <w:iCs/>
              </w:rPr>
            </w:r>
          </w:p>
        </w:tc>
        <w:tc>
          <w:tcPr>
            <w:tcW w:w="4679" w:type="dxa"/>
            <w:vAlign w:val="top"/>
            <w:textDirection w:val="lrTb"/>
            <w:noWrap w:val="false"/>
          </w:tcPr>
          <w:p>
            <w:pPr>
              <w:pStyle w:val="925"/>
              <w:spacing w:before="40" w:after="40"/>
              <w:tabs>
                <w:tab w:val="left" w:pos="709" w:leader="none"/>
              </w:tabs>
              <w:rPr>
                <w:iCs/>
              </w:rPr>
            </w:pPr>
            <w:r>
              <w:rPr>
                <w:iCs/>
              </w:rPr>
              <w:t xml:space="preserve">Тариф</w:t>
            </w:r>
            <w:r>
              <w:rPr>
                <w:iCs/>
              </w:rPr>
            </w:r>
            <w:r>
              <w:rPr>
                <w:iCs/>
              </w:rPr>
            </w:r>
          </w:p>
        </w:tc>
        <w:tc>
          <w:tcPr>
            <w:tcW w:w="2960" w:type="dxa"/>
            <w:vAlign w:val="top"/>
            <w:textDirection w:val="lrTb"/>
            <w:noWrap w:val="false"/>
          </w:tcPr>
          <w:p>
            <w:pPr>
              <w:pStyle w:val="925"/>
              <w:spacing w:before="40" w:after="40"/>
              <w:tabs>
                <w:tab w:val="left" w:pos="709"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rPr>
                <w:b/>
                <w:bCs/>
              </w:rPr>
            </w:pPr>
            <w:r>
              <w:rPr>
                <w:b/>
                <w:bCs/>
              </w:rPr>
              <w:t xml:space="preserve">1.1.</w:t>
            </w:r>
            <w:r>
              <w:rPr>
                <w:b/>
                <w:bCs/>
              </w:rPr>
            </w:r>
            <w:r>
              <w:rPr>
                <w:b/>
                <w:bCs/>
              </w:rPr>
            </w:r>
          </w:p>
        </w:tc>
        <w:tc>
          <w:tcPr>
            <w:tcW w:w="2131" w:type="dxa"/>
            <w:vAlign w:val="top"/>
            <w:textDirection w:val="lrTb"/>
            <w:noWrap w:val="false"/>
          </w:tcPr>
          <w:p>
            <w:pPr>
              <w:pStyle w:val="925"/>
              <w:spacing w:before="40" w:after="40"/>
              <w:tabs>
                <w:tab w:val="left" w:pos="709" w:leader="none"/>
              </w:tabs>
              <w:rPr>
                <w:bCs/>
              </w:rPr>
            </w:pPr>
            <w:r>
              <w:rPr>
                <w:b/>
                <w:bCs/>
              </w:rPr>
              <w:t xml:space="preserve">Открытие корреспондентского счета</w:t>
            </w:r>
            <w:r>
              <w:rPr>
                <w:bCs/>
              </w:rPr>
            </w:r>
            <w:r>
              <w:rPr>
                <w:bCs/>
              </w:rPr>
            </w:r>
          </w:p>
        </w:tc>
        <w:tc>
          <w:tcPr>
            <w:tcW w:w="4679" w:type="dxa"/>
            <w:vAlign w:val="top"/>
            <w:textDirection w:val="lrTb"/>
            <w:noWrap w:val="false"/>
          </w:tcPr>
          <w:p>
            <w:pPr>
              <w:pStyle w:val="925"/>
              <w:spacing w:before="40" w:after="40"/>
              <w:tabs>
                <w:tab w:val="left" w:pos="709" w:leader="none"/>
              </w:tabs>
            </w:pPr>
            <w:r>
              <w:t xml:space="preserve">Комиссия не взимается</w:t>
            </w:r>
            <w:r>
              <w:t xml:space="preserve"> </w:t>
            </w:r>
            <w:r/>
          </w:p>
        </w:tc>
        <w:tc>
          <w:tcPr>
            <w:tcW w:w="2960" w:type="dxa"/>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rPr>
                <w:b/>
                <w:bCs/>
              </w:rPr>
            </w:pPr>
            <w:r>
              <w:rPr>
                <w:b/>
                <w:bCs/>
              </w:rPr>
              <w:t xml:space="preserve">1.2.</w:t>
            </w:r>
            <w:r>
              <w:rPr>
                <w:b/>
                <w:bCs/>
              </w:rPr>
            </w:r>
            <w:r>
              <w:rPr>
                <w:b/>
                <w:bCs/>
              </w:rPr>
            </w:r>
          </w:p>
        </w:tc>
        <w:tc>
          <w:tcPr>
            <w:tcW w:w="2131" w:type="dxa"/>
            <w:vAlign w:val="top"/>
            <w:textDirection w:val="lrTb"/>
            <w:noWrap w:val="false"/>
          </w:tcPr>
          <w:p>
            <w:pPr>
              <w:pStyle w:val="925"/>
              <w:spacing w:before="40" w:after="40"/>
              <w:tabs>
                <w:tab w:val="left" w:pos="709" w:leader="none"/>
              </w:tabs>
              <w:rPr>
                <w:b/>
                <w:bCs/>
              </w:rPr>
            </w:pPr>
            <w:r>
              <w:rPr>
                <w:b/>
                <w:bCs/>
              </w:rPr>
              <w:t xml:space="preserve">Открытие корреспондентского счета специального назначения для кредитной организации - участника закупок</w:t>
            </w:r>
            <w:r>
              <w:rPr>
                <w:b/>
                <w:bCs/>
              </w:rPr>
            </w:r>
            <w:r>
              <w:rPr>
                <w:b/>
                <w:bCs/>
              </w:rPr>
            </w:r>
          </w:p>
        </w:tc>
        <w:tc>
          <w:tcPr>
            <w:tcW w:w="4679" w:type="dxa"/>
            <w:vAlign w:val="top"/>
            <w:textDirection w:val="lrTb"/>
            <w:noWrap w:val="false"/>
          </w:tcPr>
          <w:p>
            <w:pPr>
              <w:pStyle w:val="925"/>
              <w:spacing w:before="40" w:after="40"/>
              <w:tabs>
                <w:tab w:val="left" w:pos="709" w:leader="none"/>
              </w:tabs>
            </w:pPr>
            <w:r>
              <w:t xml:space="preserve">Комиссия не взимается</w:t>
            </w:r>
            <w:r/>
          </w:p>
        </w:tc>
        <w:tc>
          <w:tcPr>
            <w:tcW w:w="2960" w:type="dxa"/>
            <w:vAlign w:val="top"/>
            <w:textDirection w:val="lrTb"/>
            <w:noWrap w:val="false"/>
          </w:tcPr>
          <w:p>
            <w:pPr>
              <w:pStyle w:val="925"/>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rPr>
                <w:b/>
                <w:bCs/>
              </w:rPr>
            </w:pPr>
            <w:r>
              <w:rPr>
                <w:b/>
                <w:bCs/>
              </w:rPr>
              <w:t xml:space="preserve">1.3.</w:t>
            </w:r>
            <w:r>
              <w:rPr>
                <w:b/>
                <w:bCs/>
              </w:rPr>
            </w:r>
            <w:r>
              <w:rPr>
                <w:b/>
                <w:bCs/>
              </w:rPr>
            </w:r>
          </w:p>
        </w:tc>
        <w:tc>
          <w:tcPr>
            <w:tcW w:w="2131" w:type="dxa"/>
            <w:vAlign w:val="top"/>
            <w:textDirection w:val="lrTb"/>
            <w:noWrap w:val="false"/>
          </w:tcPr>
          <w:p>
            <w:pPr>
              <w:pStyle w:val="925"/>
              <w:spacing w:before="40" w:after="40"/>
              <w:tabs>
                <w:tab w:val="left" w:pos="709" w:leader="none"/>
              </w:tabs>
              <w:rPr>
                <w:b/>
                <w:bCs/>
              </w:rPr>
            </w:pPr>
            <w:r>
              <w:rPr>
                <w:b/>
                <w:bCs/>
              </w:rPr>
              <w:t xml:space="preserve">Открытие корреспондентского счета в драгоценных металлах</w:t>
            </w:r>
            <w:r>
              <w:rPr>
                <w:b/>
                <w:bCs/>
              </w:rPr>
              <w:br w:type="textWrapping" w:clear="all"/>
            </w:r>
            <w:r>
              <w:rPr>
                <w:bCs/>
              </w:rPr>
              <w:t xml:space="preserve">в золоте</w:t>
            </w:r>
            <w:r>
              <w:rPr>
                <w:bCs/>
              </w:rPr>
              <w:br w:type="textWrapping" w:clear="all"/>
            </w:r>
            <w:r>
              <w:rPr>
                <w:bCs/>
              </w:rPr>
              <w:t xml:space="preserve">в серебре</w:t>
            </w:r>
            <w:r>
              <w:rPr>
                <w:bCs/>
              </w:rPr>
              <w:br w:type="textWrapping" w:clear="all"/>
            </w:r>
            <w:r>
              <w:rPr>
                <w:bCs/>
              </w:rPr>
              <w:t xml:space="preserve">в платине</w:t>
            </w:r>
            <w:r>
              <w:rPr>
                <w:bCs/>
              </w:rPr>
              <w:br w:type="textWrapping" w:clear="all"/>
            </w:r>
            <w:r>
              <w:rPr>
                <w:bCs/>
              </w:rPr>
              <w:t xml:space="preserve">в палладии</w:t>
            </w:r>
            <w:r>
              <w:rPr>
                <w:b/>
                <w:bCs/>
              </w:rPr>
            </w:r>
            <w:r>
              <w:rPr>
                <w:b/>
                <w:bCs/>
              </w:rPr>
            </w:r>
          </w:p>
        </w:tc>
        <w:tc>
          <w:tcPr>
            <w:tcW w:w="4679" w:type="dxa"/>
            <w:vAlign w:val="top"/>
            <w:textDirection w:val="lrTb"/>
            <w:noWrap w:val="false"/>
          </w:tcPr>
          <w:p>
            <w:pPr>
              <w:pStyle w:val="925"/>
              <w:spacing w:before="40" w:after="40"/>
              <w:tabs>
                <w:tab w:val="left" w:pos="709" w:leader="none"/>
              </w:tabs>
            </w:pPr>
            <w:r>
              <w:t xml:space="preserve">Комиссия не взимается</w:t>
            </w:r>
            <w:r/>
          </w:p>
        </w:tc>
        <w:tc>
          <w:tcPr>
            <w:tcW w:w="2960" w:type="dxa"/>
            <w:vAlign w:val="top"/>
            <w:textDirection w:val="lrTb"/>
            <w:noWrap w:val="false"/>
          </w:tcPr>
          <w:p>
            <w:pPr>
              <w:pStyle w:val="925"/>
              <w:spacing w:before="40" w:after="40"/>
              <w:tabs>
                <w:tab w:val="left" w:pos="709" w:leader="none"/>
              </w:tabs>
            </w:pPr>
            <w:r>
              <w:t xml:space="preserve">При условии открытия/наличия корреспондентского счета в российских рублях</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925"/>
              <w:spacing w:before="40" w:after="40"/>
              <w:tabs>
                <w:tab w:val="left" w:pos="709" w:leader="none"/>
              </w:tabs>
              <w:rPr>
                <w:b/>
                <w:bCs/>
              </w:rPr>
            </w:pPr>
            <w:r>
              <w:rPr>
                <w:b/>
                <w:bCs/>
              </w:rPr>
              <w:t xml:space="preserve">1.4.</w:t>
            </w:r>
            <w:r>
              <w:rPr>
                <w:b/>
                <w:bCs/>
              </w:rPr>
            </w:r>
            <w:r>
              <w:rPr>
                <w:b/>
                <w:bCs/>
              </w:rPr>
            </w:r>
          </w:p>
        </w:tc>
        <w:tc>
          <w:tcPr>
            <w:tcW w:w="2131" w:type="dxa"/>
            <w:vAlign w:val="top"/>
            <w:textDirection w:val="lrTb"/>
            <w:noWrap w:val="false"/>
          </w:tcPr>
          <w:p>
            <w:pPr>
              <w:pStyle w:val="925"/>
              <w:spacing w:before="40" w:after="40"/>
              <w:tabs>
                <w:tab w:val="left" w:pos="709" w:leader="none"/>
              </w:tabs>
              <w:rPr>
                <w:b/>
                <w:bCs/>
              </w:rPr>
            </w:pPr>
            <w:r>
              <w:rPr>
                <w:b/>
                <w:bCs/>
              </w:rPr>
              <w:t xml:space="preserve">Ведение корреспондентского счета:</w:t>
            </w:r>
            <w:r>
              <w:rPr>
                <w:b/>
                <w:bCs/>
              </w:rPr>
            </w:r>
            <w:r>
              <w:rPr>
                <w:b/>
                <w:bCs/>
              </w:rPr>
            </w:r>
          </w:p>
        </w:tc>
        <w:tc>
          <w:tcPr>
            <w:tcW w:w="4679" w:type="dxa"/>
            <w:vAlign w:val="top"/>
            <w:textDirection w:val="lrTb"/>
            <w:noWrap w:val="false"/>
          </w:tcPr>
          <w:p>
            <w:pPr>
              <w:pStyle w:val="925"/>
              <w:spacing w:before="40" w:after="40"/>
              <w:tabs>
                <w:tab w:val="left" w:pos="709" w:leader="none"/>
              </w:tabs>
            </w:pPr>
            <w:r/>
            <w:r/>
          </w:p>
        </w:tc>
        <w:tc>
          <w:tcPr>
            <w:gridSpan w:val="2"/>
            <w:tcW w:w="2968" w:type="dxa"/>
            <w:vAlign w:val="top"/>
            <w:textDirection w:val="lrTb"/>
            <w:noWrap w:val="false"/>
          </w:tcPr>
          <w:p>
            <w:pPr>
              <w:pStyle w:val="925"/>
              <w:spacing w:before="40" w:after="40"/>
              <w:tabs>
                <w:tab w:val="left" w:pos="709" w:leader="none"/>
              </w:tabs>
              <w:rPr>
                <w:iCs/>
              </w:rPr>
            </w:pPr>
            <w:r>
              <w:rPr>
                <w:iCs/>
              </w:rPr>
              <w:t xml:space="preserve"> </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925"/>
              <w:spacing w:before="40" w:after="40"/>
              <w:tabs>
                <w:tab w:val="left" w:pos="709" w:leader="none"/>
              </w:tabs>
            </w:pPr>
            <w:r>
              <w:t xml:space="preserve">1.4.1.</w:t>
            </w:r>
            <w:r/>
          </w:p>
        </w:tc>
        <w:tc>
          <w:tcPr>
            <w:tcW w:w="2131" w:type="dxa"/>
            <w:vAlign w:val="top"/>
            <w:textDirection w:val="lrTb"/>
            <w:noWrap w:val="false"/>
          </w:tcPr>
          <w:p>
            <w:pPr>
              <w:pStyle w:val="925"/>
              <w:spacing w:before="40" w:after="40"/>
              <w:tabs>
                <w:tab w:val="left" w:pos="709" w:leader="none"/>
              </w:tabs>
            </w:pPr>
            <w:r>
              <w:t xml:space="preserve">в российских рублях</w:t>
            </w:r>
            <w:r/>
          </w:p>
        </w:tc>
        <w:tc>
          <w:tcPr>
            <w:tcW w:w="4679" w:type="dxa"/>
            <w:vAlign w:val="top"/>
            <w:textDirection w:val="lrTb"/>
            <w:noWrap w:val="false"/>
          </w:tcPr>
          <w:p>
            <w:pPr>
              <w:pStyle w:val="925"/>
              <w:spacing w:before="40" w:after="40"/>
              <w:tabs>
                <w:tab w:val="left" w:pos="709" w:leader="none"/>
              </w:tabs>
            </w:pPr>
            <w:r>
              <w:t xml:space="preserve">Комиссия не взимается</w:t>
            </w:r>
            <w:r/>
          </w:p>
        </w:tc>
        <w:tc>
          <w:tcPr>
            <w:gridSpan w:val="2"/>
            <w:tcW w:w="2968" w:type="dxa"/>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925"/>
              <w:spacing w:before="40" w:after="40"/>
              <w:tabs>
                <w:tab w:val="left" w:pos="709" w:leader="none"/>
              </w:tabs>
            </w:pPr>
            <w:r>
              <w:t xml:space="preserve">1.4.2.</w:t>
            </w:r>
            <w:r/>
          </w:p>
        </w:tc>
        <w:tc>
          <w:tcPr>
            <w:tcW w:w="2131" w:type="dxa"/>
            <w:vAlign w:val="top"/>
            <w:textDirection w:val="lrTb"/>
            <w:noWrap w:val="false"/>
          </w:tcPr>
          <w:p>
            <w:pPr>
              <w:pStyle w:val="925"/>
              <w:spacing w:before="40" w:after="40"/>
              <w:tabs>
                <w:tab w:val="left" w:pos="709" w:leader="none"/>
              </w:tabs>
            </w:pPr>
            <w:r>
              <w:t xml:space="preserve">в иностранной валюте, кроме евро и долларов США</w:t>
            </w:r>
            <w:r/>
          </w:p>
        </w:tc>
        <w:tc>
          <w:tcPr>
            <w:tcW w:w="4679" w:type="dxa"/>
            <w:vAlign w:val="top"/>
            <w:textDirection w:val="lrTb"/>
            <w:noWrap w:val="false"/>
          </w:tcPr>
          <w:p>
            <w:pPr>
              <w:pStyle w:val="925"/>
              <w:spacing w:before="40" w:after="40"/>
              <w:tabs>
                <w:tab w:val="left" w:pos="709" w:leader="none"/>
              </w:tabs>
            </w:pPr>
            <w:r>
              <w:t xml:space="preserve">Комиссия не взимается</w:t>
            </w:r>
            <w:r/>
          </w:p>
        </w:tc>
        <w:tc>
          <w:tcPr>
            <w:gridSpan w:val="2"/>
            <w:tcW w:w="2968" w:type="dxa"/>
            <w:vAlign w:val="top"/>
            <w:textDirection w:val="lrTb"/>
            <w:noWrap w:val="false"/>
          </w:tcPr>
          <w:p>
            <w:pPr>
              <w:pStyle w:val="925"/>
              <w:spacing w:before="40" w:after="40"/>
              <w:tabs>
                <w:tab w:val="left" w:pos="709" w:leader="none"/>
              </w:tabs>
              <w:rPr>
                <w:iCs/>
              </w:rPr>
            </w:pPr>
            <w:r>
              <w:rPr>
                <w:iCs/>
              </w:rPr>
              <w:t xml:space="preserve">Открытие счета осуществляется по согласованию с </w:t>
              <w:br w:type="textWrapping" w:clear="all"/>
              <w:t xml:space="preserve">АО «Россельхозбанк»</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925"/>
              <w:spacing w:before="40" w:after="40"/>
              <w:tabs>
                <w:tab w:val="left" w:pos="709" w:leader="none"/>
              </w:tabs>
            </w:pPr>
            <w:r>
              <w:t xml:space="preserve">1.4.3.</w:t>
            </w:r>
            <w:r/>
          </w:p>
        </w:tc>
        <w:tc>
          <w:tcPr>
            <w:tcW w:w="2131" w:type="dxa"/>
            <w:vAlign w:val="top"/>
            <w:textDirection w:val="lrTb"/>
            <w:noWrap w:val="false"/>
          </w:tcPr>
          <w:p>
            <w:pPr>
              <w:pStyle w:val="925"/>
              <w:spacing w:before="40" w:after="40"/>
              <w:tabs>
                <w:tab w:val="left" w:pos="709" w:leader="none"/>
              </w:tabs>
            </w:pPr>
            <w:r>
              <w:t xml:space="preserve">в долларах США</w:t>
            </w:r>
            <w:r/>
          </w:p>
        </w:tc>
        <w:tc>
          <w:tcPr>
            <w:tcW w:w="4679" w:type="dxa"/>
            <w:vAlign w:val="top"/>
            <w:textDirection w:val="lrTb"/>
            <w:noWrap w:val="false"/>
          </w:tcPr>
          <w:p>
            <w:pPr>
              <w:pStyle w:val="925"/>
              <w:spacing w:before="40" w:after="40"/>
              <w:tabs>
                <w:tab w:val="left" w:pos="709" w:leader="none"/>
              </w:tabs>
            </w:pPr>
            <w:r>
              <w:t xml:space="preserve">Комиссия в размере 0,6% в месяц</w:t>
            </w:r>
            <w:r/>
          </w:p>
        </w:tc>
        <w:tc>
          <w:tcPr>
            <w:gridSpan w:val="2"/>
            <w:tcW w:w="2968" w:type="dxa"/>
            <w:vAlign w:val="top"/>
            <w:textDirection w:val="lrTb"/>
            <w:noWrap w:val="false"/>
          </w:tcPr>
          <w:p>
            <w:pPr>
              <w:pStyle w:val="925"/>
              <w:tabs>
                <w:tab w:val="left" w:pos="709" w:leader="none"/>
              </w:tabs>
              <w:rPr>
                <w:iCs/>
              </w:rPr>
            </w:pPr>
            <w:r>
              <w:rPr>
                <w:iCs/>
              </w:rPr>
              <w:t xml:space="preserve">Комиссия рассчитывается исходя из фактического входящего остатка на счете за каждый день в течение календарного месяца, включая выходные и праздничные нерабочие дни Российской Федерации.</w:t>
            </w:r>
            <w:r>
              <w:rPr>
                <w:iCs/>
              </w:rPr>
            </w:r>
            <w:r>
              <w:rPr>
                <w:iCs/>
              </w:rPr>
            </w:r>
          </w:p>
          <w:p>
            <w:pPr>
              <w:pStyle w:val="925"/>
              <w:tabs>
                <w:tab w:val="left" w:pos="709" w:leader="none"/>
              </w:tabs>
              <w:rPr>
                <w:iCs/>
              </w:rPr>
            </w:pPr>
            <w:r>
              <w:rPr>
                <w:iCs/>
              </w:rPr>
              <w:t xml:space="preserve">Комиссия взимается ежемесячно не позднее 5-го рабочего дня месяца, следующего за отчетным месяцем</w:t>
            </w:r>
            <w:r>
              <w:rPr>
                <w:iCs/>
              </w:rPr>
              <w:t xml:space="preserve">.</w:t>
            </w:r>
            <w:r>
              <w:rPr>
                <w:iCs/>
              </w:rPr>
            </w:r>
            <w:r>
              <w:rPr>
                <w:iCs/>
              </w:rPr>
            </w:r>
          </w:p>
          <w:p>
            <w:pPr>
              <w:pStyle w:val="925"/>
              <w:tabs>
                <w:tab w:val="left" w:pos="709" w:leader="none"/>
              </w:tabs>
              <w:rPr>
                <w:iCs/>
              </w:rPr>
            </w:pPr>
            <w:r>
              <w:rPr>
                <w:iCs/>
              </w:rPr>
              <w:t xml:space="preserve">Комиссия не взимается в случае, если </w:t>
            </w:r>
            <w:r>
              <w:rPr>
                <w:iCs/>
              </w:rPr>
              <w:t xml:space="preserve">остаток за последний день календарного</w:t>
            </w:r>
            <w:r>
              <w:rPr>
                <w:iCs/>
              </w:rPr>
              <w:t xml:space="preserve"> месяца равнялся нулю </w:t>
            </w:r>
            <w:r>
              <w:rPr>
                <w:iCs/>
              </w:rPr>
              <w:t xml:space="preserve">(только в отношении остатков</w:t>
            </w:r>
            <w:r>
              <w:rPr>
                <w:iCs/>
              </w:rPr>
              <w:t xml:space="preserve">,</w:t>
            </w:r>
            <w:r>
              <w:rPr>
                <w:iCs/>
              </w:rPr>
              <w:t xml:space="preserve"> размещенных на счетах респондентов в период с 01.09.2022 по 30.09.2022)</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925"/>
              <w:tabs>
                <w:tab w:val="left" w:pos="709" w:leader="none"/>
              </w:tabs>
            </w:pPr>
            <w:r>
              <w:t xml:space="preserve">1.4.3.1</w:t>
            </w:r>
            <w:r>
              <w:t xml:space="preserve">.</w:t>
            </w:r>
            <w:r/>
          </w:p>
        </w:tc>
        <w:tc>
          <w:tcPr>
            <w:tcW w:w="2131" w:type="dxa"/>
            <w:vAlign w:val="top"/>
            <w:textDirection w:val="lrTb"/>
            <w:noWrap w:val="false"/>
          </w:tcPr>
          <w:p>
            <w:pPr>
              <w:pStyle w:val="925"/>
              <w:tabs>
                <w:tab w:val="left" w:pos="709" w:leader="none"/>
              </w:tabs>
            </w:pPr>
            <w:r>
              <w:t xml:space="preserve">в долларах США</w:t>
            </w:r>
            <w:r/>
          </w:p>
        </w:tc>
        <w:tc>
          <w:tcPr>
            <w:tcW w:w="4679" w:type="dxa"/>
            <w:vAlign w:val="top"/>
            <w:textDirection w:val="lrTb"/>
            <w:noWrap w:val="false"/>
          </w:tcPr>
          <w:p>
            <w:pPr>
              <w:pStyle w:val="925"/>
              <w:tabs>
                <w:tab w:val="left" w:pos="709" w:leader="none"/>
              </w:tabs>
            </w:pPr>
            <w:r>
              <w:t xml:space="preserve">П</w:t>
            </w:r>
            <w:r>
              <w:t xml:space="preserve">ри отсутствии операций по счету в течение </w:t>
            </w:r>
            <w:r>
              <w:t xml:space="preserve">года</w:t>
            </w:r>
            <w:r>
              <w:t xml:space="preserve"> и более </w:t>
            </w:r>
            <w:r>
              <w:t xml:space="preserve">(кроме списания комиссий за ведение корреспондентского счета)</w:t>
            </w:r>
            <w:r>
              <w:t xml:space="preserve">, взимается комиссия в размере 100 долларов США, но не</w:t>
            </w:r>
            <w:r>
              <w:t xml:space="preserve"> более</w:t>
            </w:r>
            <w:r>
              <w:t xml:space="preserve"> остатка денежных средств на счете на дату взимания комиссии.</w:t>
            </w:r>
            <w:r/>
          </w:p>
        </w:tc>
        <w:tc>
          <w:tcPr>
            <w:gridSpan w:val="2"/>
            <w:tcW w:w="2968" w:type="dxa"/>
            <w:vAlign w:val="top"/>
            <w:textDirection w:val="lrTb"/>
            <w:noWrap w:val="false"/>
          </w:tcPr>
          <w:p>
            <w:pPr>
              <w:pStyle w:val="925"/>
              <w:tabs>
                <w:tab w:val="left" w:pos="709" w:leader="none"/>
              </w:tabs>
              <w:rPr>
                <w:iCs/>
              </w:rPr>
            </w:pPr>
            <w:r>
              <w:rPr>
                <w:iCs/>
              </w:rPr>
              <w:t xml:space="preserve">Комиссия взимается </w:t>
            </w:r>
            <w:r>
              <w:rPr>
                <w:iCs/>
              </w:rPr>
              <w:t xml:space="preserve">ежемесячно, не позднее первого рабочего дня каждого календарного </w:t>
            </w:r>
            <w:r>
              <w:rPr>
                <w:iCs/>
              </w:rPr>
              <w:t xml:space="preserve">месяца</w:t>
            </w:r>
            <w:r>
              <w:rPr>
                <w:iCs/>
              </w:rPr>
              <w:t xml:space="preserve">, </w:t>
            </w:r>
            <w:r>
              <w:t xml:space="preserve">начиная </w:t>
            </w:r>
            <w:r>
              <w:br w:type="textWrapping" w:clear="all"/>
            </w:r>
            <w:r>
              <w:t xml:space="preserve">с 01.11</w:t>
            </w:r>
            <w:r>
              <w:t xml:space="preserve">.2022</w:t>
            </w:r>
            <w:r>
              <w:t xml:space="preserve">.</w:t>
            </w:r>
            <w:r>
              <w:rPr>
                <w:iCs/>
              </w:rPr>
            </w:r>
            <w:r>
              <w:rPr>
                <w:iCs/>
              </w:rPr>
            </w:r>
          </w:p>
          <w:p>
            <w:pPr>
              <w:pStyle w:val="925"/>
              <w:tabs>
                <w:tab w:val="left" w:pos="709" w:leader="none"/>
              </w:tabs>
              <w:rPr>
                <w:iCs/>
              </w:rPr>
            </w:pPr>
            <w:r>
              <w:t xml:space="preserve">При применении данного Тарифа не применяется Тариф с</w:t>
            </w:r>
            <w:r>
              <w:t xml:space="preserve">огласно </w:t>
            </w:r>
            <w:r>
              <w:t xml:space="preserve">п</w:t>
            </w:r>
            <w:r>
              <w:t xml:space="preserve">ункту </w:t>
            </w:r>
            <w:r>
              <w:t xml:space="preserve">1.4.3</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925"/>
              <w:spacing w:before="40"/>
              <w:tabs>
                <w:tab w:val="left" w:pos="709" w:leader="none"/>
              </w:tabs>
            </w:pPr>
            <w:r>
              <w:t xml:space="preserve">1.4.4.</w:t>
            </w:r>
            <w:r/>
          </w:p>
        </w:tc>
        <w:tc>
          <w:tcPr>
            <w:tcW w:w="2131" w:type="dxa"/>
            <w:vAlign w:val="top"/>
            <w:textDirection w:val="lrTb"/>
            <w:noWrap w:val="false"/>
          </w:tcPr>
          <w:p>
            <w:pPr>
              <w:pStyle w:val="925"/>
              <w:spacing w:before="40"/>
              <w:tabs>
                <w:tab w:val="left" w:pos="709" w:leader="none"/>
              </w:tabs>
            </w:pPr>
            <w:r>
              <w:t xml:space="preserve">в евро</w:t>
            </w:r>
            <w:r/>
          </w:p>
        </w:tc>
        <w:tc>
          <w:tcPr>
            <w:tcW w:w="4679" w:type="dxa"/>
            <w:vAlign w:val="top"/>
            <w:textDirection w:val="lrTb"/>
            <w:noWrap w:val="false"/>
          </w:tcPr>
          <w:p>
            <w:pPr>
              <w:pStyle w:val="925"/>
              <w:spacing w:before="40"/>
              <w:tabs>
                <w:tab w:val="left" w:pos="709" w:leader="none"/>
              </w:tabs>
            </w:pPr>
            <w:r>
              <w:t xml:space="preserve">Комиссия в размере 0,25% в месяц</w:t>
            </w:r>
            <w:r/>
          </w:p>
        </w:tc>
        <w:tc>
          <w:tcPr>
            <w:gridSpan w:val="2"/>
            <w:tcW w:w="2968" w:type="dxa"/>
            <w:vAlign w:val="top"/>
            <w:textDirection w:val="lrTb"/>
            <w:noWrap w:val="false"/>
          </w:tcPr>
          <w:p>
            <w:pPr>
              <w:pStyle w:val="925"/>
              <w:tabs>
                <w:tab w:val="left" w:pos="709" w:leader="none"/>
              </w:tabs>
              <w:rPr>
                <w:iCs/>
              </w:rPr>
            </w:pPr>
            <w:r>
              <w:rPr>
                <w:iCs/>
              </w:rPr>
              <w:t xml:space="preserve">Комиссия рассчитывается исходя из фактического входящего остатка на счете за каждый день в течение календарного месяца, включая выходные и праздничные нерабочие дни Российской Федерации.</w:t>
            </w:r>
            <w:r>
              <w:rPr>
                <w:iCs/>
              </w:rPr>
            </w:r>
            <w:r>
              <w:rPr>
                <w:iCs/>
              </w:rPr>
            </w:r>
          </w:p>
          <w:p>
            <w:pPr>
              <w:pStyle w:val="925"/>
              <w:tabs>
                <w:tab w:val="left" w:pos="709" w:leader="none"/>
              </w:tabs>
              <w:rPr>
                <w:iCs/>
              </w:rPr>
            </w:pPr>
            <w:r>
              <w:rPr>
                <w:iCs/>
              </w:rPr>
              <w:t xml:space="preserve">Комиссия взимается ежемесячно не позднее 5-го рабочего дня месяца, следующего за отчетным месяцем</w:t>
            </w:r>
            <w:r>
              <w:rPr>
                <w:iCs/>
              </w:rPr>
              <w:t xml:space="preserve">.</w:t>
            </w:r>
            <w:r>
              <w:rPr>
                <w:iCs/>
              </w:rPr>
            </w:r>
            <w:r>
              <w:rPr>
                <w:iCs/>
              </w:rPr>
            </w:r>
          </w:p>
          <w:p>
            <w:pPr>
              <w:pStyle w:val="925"/>
              <w:tabs>
                <w:tab w:val="left" w:pos="709" w:leader="none"/>
              </w:tabs>
              <w:rPr>
                <w:iCs/>
              </w:rPr>
            </w:pPr>
            <w:r>
              <w:rPr>
                <w:iCs/>
              </w:rPr>
              <w:t xml:space="preserve">Комиссия не взимается в случае, если </w:t>
            </w:r>
            <w:r>
              <w:rPr>
                <w:iCs/>
              </w:rPr>
              <w:t xml:space="preserve">остаток за последний день календарного</w:t>
            </w:r>
            <w:r>
              <w:rPr>
                <w:iCs/>
              </w:rPr>
              <w:t xml:space="preserve"> месяца равнялся нулю </w:t>
            </w:r>
            <w:r>
              <w:rPr>
                <w:iCs/>
              </w:rPr>
              <w:t xml:space="preserve">(только в отношении остатков</w:t>
            </w:r>
            <w:r>
              <w:rPr>
                <w:iCs/>
              </w:rPr>
              <w:t xml:space="preserve">,</w:t>
            </w:r>
            <w:r>
              <w:rPr>
                <w:iCs/>
              </w:rPr>
              <w:t xml:space="preserve"> размещенных на счетах респондентов в период с 01.09.2022 по 30.09.2022)</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925"/>
              <w:spacing w:before="40" w:after="40"/>
              <w:tabs>
                <w:tab w:val="left" w:pos="709" w:leader="none"/>
              </w:tabs>
            </w:pPr>
            <w:r>
              <w:t xml:space="preserve">1.4.4.1.</w:t>
            </w:r>
            <w:r/>
          </w:p>
        </w:tc>
        <w:tc>
          <w:tcPr>
            <w:tcW w:w="2131" w:type="dxa"/>
            <w:vAlign w:val="top"/>
            <w:textDirection w:val="lrTb"/>
            <w:noWrap w:val="false"/>
          </w:tcPr>
          <w:p>
            <w:pPr>
              <w:pStyle w:val="925"/>
              <w:spacing w:before="40" w:after="40"/>
              <w:tabs>
                <w:tab w:val="left" w:pos="709" w:leader="none"/>
              </w:tabs>
              <w:rPr>
                <w:bCs/>
              </w:rPr>
            </w:pPr>
            <w:r>
              <w:rPr>
                <w:bCs/>
              </w:rPr>
              <w:t xml:space="preserve">При сумме остатка свыше 1 000 000.00 евро по состоянию на 01 января (ежегодно)</w:t>
            </w:r>
            <w:r>
              <w:rPr>
                <w:bCs/>
              </w:rPr>
              <w:t xml:space="preserve"> </w:t>
            </w:r>
            <w:r>
              <w:rPr>
                <w:bCs/>
              </w:rPr>
            </w:r>
            <w:r>
              <w:rPr>
                <w:bCs/>
              </w:rPr>
            </w:r>
          </w:p>
        </w:tc>
        <w:tc>
          <w:tcPr>
            <w:tcW w:w="4679" w:type="dxa"/>
            <w:vAlign w:val="top"/>
            <w:textDirection w:val="lrTb"/>
            <w:noWrap w:val="false"/>
          </w:tcPr>
          <w:p>
            <w:pPr>
              <w:pStyle w:val="925"/>
              <w:spacing w:before="40" w:after="40"/>
              <w:tabs>
                <w:tab w:val="left" w:pos="709" w:leader="none"/>
              </w:tabs>
              <w:rPr>
                <w:bCs/>
              </w:rPr>
            </w:pPr>
            <w:r>
              <w:rPr>
                <w:bCs/>
              </w:rPr>
              <w:t xml:space="preserve">Дополнительная комиссия 0,2% от суммы, превышающей остаток в размере 1 млн. евро по состоянию на 01 января (ежегодно)</w:t>
            </w:r>
            <w:r>
              <w:rPr>
                <w:bCs/>
              </w:rPr>
            </w:r>
            <w:r>
              <w:rPr>
                <w:bCs/>
              </w:rPr>
            </w:r>
          </w:p>
        </w:tc>
        <w:tc>
          <w:tcPr>
            <w:gridSpan w:val="2"/>
            <w:tcW w:w="2968" w:type="dxa"/>
            <w:vAlign w:val="top"/>
            <w:textDirection w:val="lrTb"/>
            <w:noWrap w:val="false"/>
          </w:tcPr>
          <w:p>
            <w:pPr>
              <w:pStyle w:val="925"/>
              <w:spacing w:before="40" w:after="40"/>
              <w:tabs>
                <w:tab w:val="left" w:pos="709" w:leader="none"/>
              </w:tabs>
              <w:rPr>
                <w:iCs/>
              </w:rPr>
            </w:pPr>
            <w:r>
              <w:rPr>
                <w:bCs/>
              </w:rPr>
              <w:t xml:space="preserve">Комиссия взимается не позднее 20 января (ежегодно) дополнительно к комиссии, указанной в пункте 1.4.4</w:t>
            </w:r>
            <w:r>
              <w:rPr>
                <w:bCs/>
              </w:rPr>
              <w:t xml:space="preserve">.</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925"/>
              <w:tabs>
                <w:tab w:val="left" w:pos="709" w:leader="none"/>
              </w:tabs>
            </w:pPr>
            <w:r>
              <w:t xml:space="preserve">1.4.4.2</w:t>
            </w:r>
            <w:r>
              <w:t xml:space="preserve">.</w:t>
            </w:r>
            <w:r/>
          </w:p>
        </w:tc>
        <w:tc>
          <w:tcPr>
            <w:tcW w:w="2131" w:type="dxa"/>
            <w:vAlign w:val="top"/>
            <w:textDirection w:val="lrTb"/>
            <w:noWrap w:val="false"/>
          </w:tcPr>
          <w:p>
            <w:pPr>
              <w:pStyle w:val="925"/>
              <w:tabs>
                <w:tab w:val="left" w:pos="709" w:leader="none"/>
              </w:tabs>
              <w:rPr>
                <w:bCs/>
              </w:rPr>
            </w:pPr>
            <w:r>
              <w:t xml:space="preserve">в евро</w:t>
            </w:r>
            <w:r>
              <w:rPr>
                <w:bCs/>
              </w:rPr>
            </w:r>
            <w:r>
              <w:rPr>
                <w:bCs/>
              </w:rPr>
            </w:r>
          </w:p>
        </w:tc>
        <w:tc>
          <w:tcPr>
            <w:tcW w:w="4679" w:type="dxa"/>
            <w:vAlign w:val="top"/>
            <w:textDirection w:val="lrTb"/>
            <w:noWrap w:val="false"/>
          </w:tcPr>
          <w:p>
            <w:pPr>
              <w:pStyle w:val="925"/>
              <w:tabs>
                <w:tab w:val="left" w:pos="709" w:leader="none"/>
              </w:tabs>
            </w:pPr>
            <w:r>
              <w:t xml:space="preserve">П</w:t>
            </w:r>
            <w:r>
              <w:t xml:space="preserve">ри отсутствии операций по счету в течение </w:t>
            </w:r>
            <w:r>
              <w:t xml:space="preserve">года</w:t>
            </w:r>
            <w:r>
              <w:t xml:space="preserve"> и более </w:t>
            </w:r>
            <w:r>
              <w:t xml:space="preserve">(кроме списания комиссий за ведение корреспондентского счета)</w:t>
            </w:r>
            <w:r>
              <w:t xml:space="preserve">, взимается комиссия в размере 100 </w:t>
            </w:r>
            <w:r>
              <w:t xml:space="preserve">евро</w:t>
            </w:r>
            <w:r>
              <w:t xml:space="preserve">, но не более остатка денежных средств на счете на дату взимания комиссии</w:t>
            </w:r>
            <w:r/>
          </w:p>
        </w:tc>
        <w:tc>
          <w:tcPr>
            <w:gridSpan w:val="2"/>
            <w:tcW w:w="2968" w:type="dxa"/>
            <w:vAlign w:val="top"/>
            <w:textDirection w:val="lrTb"/>
            <w:noWrap w:val="false"/>
          </w:tcPr>
          <w:p>
            <w:pPr>
              <w:pStyle w:val="925"/>
              <w:tabs>
                <w:tab w:val="left" w:pos="709" w:leader="none"/>
              </w:tabs>
              <w:rPr>
                <w:iCs/>
              </w:rPr>
            </w:pPr>
            <w:r>
              <w:rPr>
                <w:iCs/>
              </w:rPr>
              <w:t xml:space="preserve">Комиссия взимается </w:t>
            </w:r>
            <w:r>
              <w:rPr>
                <w:iCs/>
              </w:rPr>
              <w:t xml:space="preserve">ежемесячно, не позднее первого рабочего дня каждого календарного </w:t>
            </w:r>
            <w:r>
              <w:rPr>
                <w:iCs/>
              </w:rPr>
              <w:t xml:space="preserve">месяца</w:t>
            </w:r>
            <w:r>
              <w:rPr>
                <w:iCs/>
              </w:rPr>
              <w:t xml:space="preserve">, </w:t>
            </w:r>
            <w:r>
              <w:t xml:space="preserve">начиная </w:t>
              <w:br w:type="textWrapping" w:clear="all"/>
              <w:t xml:space="preserve">с 01.11</w:t>
            </w:r>
            <w:r>
              <w:t xml:space="preserve">.2022</w:t>
            </w:r>
            <w:r>
              <w:t xml:space="preserve">.</w:t>
            </w:r>
            <w:r>
              <w:rPr>
                <w:iCs/>
              </w:rPr>
            </w:r>
            <w:r>
              <w:rPr>
                <w:iCs/>
              </w:rPr>
            </w:r>
          </w:p>
          <w:p>
            <w:pPr>
              <w:pStyle w:val="925"/>
              <w:tabs>
                <w:tab w:val="left" w:pos="709" w:leader="none"/>
              </w:tabs>
              <w:rPr>
                <w:bCs/>
              </w:rPr>
            </w:pPr>
            <w:r>
              <w:t xml:space="preserve">При применении данного Тарифа не применяется Тариф с</w:t>
            </w:r>
            <w:r>
              <w:t xml:space="preserve">огласно </w:t>
            </w:r>
            <w:r>
              <w:t xml:space="preserve">пункту </w:t>
            </w:r>
            <w:r>
              <w:t xml:space="preserve">1.4.</w:t>
            </w:r>
            <w:r>
              <w:t xml:space="preserve">4</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925"/>
              <w:spacing w:before="40" w:after="40"/>
              <w:tabs>
                <w:tab w:val="left" w:pos="709" w:leader="none"/>
              </w:tabs>
              <w:rPr>
                <w:bCs/>
              </w:rPr>
            </w:pPr>
            <w:r>
              <w:rPr>
                <w:bCs/>
              </w:rPr>
              <w:t xml:space="preserve">1.4.</w:t>
            </w:r>
            <w:r>
              <w:rPr>
                <w:bCs/>
              </w:rPr>
              <w:t xml:space="preserve">5</w:t>
            </w:r>
            <w:r>
              <w:rPr>
                <w:bCs/>
              </w:rPr>
              <w:t xml:space="preserve">.</w:t>
            </w:r>
            <w:r>
              <w:rPr>
                <w:bCs/>
              </w:rPr>
            </w:r>
            <w:r>
              <w:rPr>
                <w:bCs/>
              </w:rPr>
            </w:r>
          </w:p>
        </w:tc>
        <w:tc>
          <w:tcPr>
            <w:tcW w:w="2131" w:type="dxa"/>
            <w:vAlign w:val="top"/>
            <w:textDirection w:val="lrTb"/>
            <w:noWrap w:val="false"/>
          </w:tcPr>
          <w:p>
            <w:pPr>
              <w:pStyle w:val="925"/>
              <w:spacing w:before="40" w:after="40"/>
              <w:tabs>
                <w:tab w:val="left" w:pos="709" w:leader="none"/>
              </w:tabs>
              <w:rPr>
                <w:bCs/>
              </w:rPr>
            </w:pPr>
            <w:r>
              <w:rPr>
                <w:bCs/>
              </w:rPr>
              <w:t xml:space="preserve">Ведение корреспондентского счета специального назначения для кредитной организации - участника закупок</w:t>
            </w:r>
            <w:r>
              <w:rPr>
                <w:bCs/>
              </w:rPr>
            </w:r>
            <w:r>
              <w:rPr>
                <w:bCs/>
              </w:rPr>
            </w:r>
          </w:p>
        </w:tc>
        <w:tc>
          <w:tcPr>
            <w:tcW w:w="4679" w:type="dxa"/>
            <w:vAlign w:val="top"/>
            <w:textDirection w:val="lrTb"/>
            <w:noWrap w:val="false"/>
          </w:tcPr>
          <w:p>
            <w:pPr>
              <w:pStyle w:val="925"/>
              <w:spacing w:before="40" w:after="40"/>
              <w:tabs>
                <w:tab w:val="left" w:pos="709" w:leader="none"/>
              </w:tabs>
              <w:rPr>
                <w:bCs/>
              </w:rPr>
            </w:pPr>
            <w:r>
              <w:rPr>
                <w:bCs/>
              </w:rPr>
              <w:t xml:space="preserve">Комиссия не взимается</w:t>
            </w:r>
            <w:r>
              <w:rPr>
                <w:bCs/>
              </w:rPr>
            </w:r>
            <w:r>
              <w:rPr>
                <w:bCs/>
              </w:rPr>
            </w:r>
          </w:p>
        </w:tc>
        <w:tc>
          <w:tcPr>
            <w:gridSpan w:val="2"/>
            <w:tcW w:w="2968" w:type="dxa"/>
            <w:vAlign w:val="top"/>
            <w:textDirection w:val="lrTb"/>
            <w:noWrap w:val="false"/>
          </w:tcPr>
          <w:p>
            <w:pPr>
              <w:pStyle w:val="925"/>
              <w:spacing w:before="40" w:after="40"/>
              <w:tabs>
                <w:tab w:val="left" w:pos="709" w:leader="none"/>
              </w:tabs>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925"/>
              <w:spacing w:before="40" w:after="40"/>
              <w:tabs>
                <w:tab w:val="left" w:pos="709" w:leader="none"/>
              </w:tabs>
              <w:rPr>
                <w:bCs/>
              </w:rPr>
            </w:pPr>
            <w:r>
              <w:rPr>
                <w:bCs/>
              </w:rPr>
              <w:t xml:space="preserve">1.4.</w:t>
            </w:r>
            <w:r>
              <w:rPr>
                <w:bCs/>
              </w:rPr>
              <w:t xml:space="preserve">6</w:t>
            </w:r>
            <w:r>
              <w:rPr>
                <w:bCs/>
              </w:rPr>
              <w:t xml:space="preserve">.</w:t>
            </w:r>
            <w:r>
              <w:rPr>
                <w:bCs/>
              </w:rPr>
            </w:r>
            <w:r>
              <w:rPr>
                <w:bCs/>
              </w:rPr>
            </w:r>
          </w:p>
        </w:tc>
        <w:tc>
          <w:tcPr>
            <w:tcW w:w="2131" w:type="dxa"/>
            <w:vAlign w:val="top"/>
            <w:textDirection w:val="lrTb"/>
            <w:noWrap w:val="false"/>
          </w:tcPr>
          <w:p>
            <w:pPr>
              <w:pStyle w:val="925"/>
              <w:spacing w:before="40" w:after="40"/>
              <w:tabs>
                <w:tab w:val="left" w:pos="709" w:leader="none"/>
              </w:tabs>
              <w:rPr>
                <w:bCs/>
              </w:rPr>
            </w:pPr>
            <w:r>
              <w:rPr>
                <w:bCs/>
              </w:rPr>
              <w:t xml:space="preserve">Ведение корреспондентского счета в драгоценных металлах</w:t>
            </w:r>
            <w:r>
              <w:rPr>
                <w:bCs/>
              </w:rPr>
            </w:r>
            <w:r>
              <w:rPr>
                <w:bCs/>
              </w:rPr>
            </w:r>
          </w:p>
        </w:tc>
        <w:tc>
          <w:tcPr>
            <w:tcW w:w="4679" w:type="dxa"/>
            <w:vAlign w:val="top"/>
            <w:textDirection w:val="lrTb"/>
            <w:noWrap w:val="false"/>
          </w:tcPr>
          <w:p>
            <w:pPr>
              <w:pStyle w:val="925"/>
              <w:spacing w:before="40"/>
              <w:tabs>
                <w:tab w:val="left" w:pos="709" w:leader="none"/>
              </w:tabs>
              <w:rPr>
                <w:bCs/>
              </w:rPr>
            </w:pPr>
            <w:r>
              <w:rPr>
                <w:bCs/>
              </w:rPr>
              <w:t xml:space="preserve">Комиссия не взимается</w:t>
            </w:r>
            <w:r>
              <w:rPr>
                <w:bCs/>
              </w:rPr>
            </w:r>
            <w:r>
              <w:rPr>
                <w:bCs/>
              </w:rPr>
            </w:r>
          </w:p>
        </w:tc>
        <w:tc>
          <w:tcPr>
            <w:gridSpan w:val="2"/>
            <w:tcW w:w="2968" w:type="dxa"/>
            <w:vAlign w:val="top"/>
            <w:textDirection w:val="lrTb"/>
            <w:noWrap w:val="false"/>
          </w:tcPr>
          <w:p>
            <w:pPr>
              <w:pStyle w:val="925"/>
              <w:tabs>
                <w:tab w:val="left" w:pos="709" w:leader="none"/>
              </w:tabs>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rPr>
                <w:b/>
                <w:bCs/>
              </w:rPr>
            </w:pPr>
            <w:r>
              <w:rPr>
                <w:b/>
                <w:bCs/>
              </w:rPr>
              <w:t xml:space="preserve">1.5.</w:t>
            </w:r>
            <w:r>
              <w:rPr>
                <w:b/>
                <w:bCs/>
              </w:rPr>
            </w:r>
            <w:r>
              <w:rPr>
                <w:b/>
                <w:bCs/>
              </w:rPr>
            </w:r>
          </w:p>
        </w:tc>
        <w:tc>
          <w:tcPr>
            <w:tcW w:w="2131" w:type="dxa"/>
            <w:vAlign w:val="top"/>
            <w:textDirection w:val="lrTb"/>
            <w:noWrap w:val="false"/>
          </w:tcPr>
          <w:p>
            <w:pPr>
              <w:pStyle w:val="925"/>
              <w:spacing w:before="40" w:after="40"/>
              <w:tabs>
                <w:tab w:val="left" w:pos="709" w:leader="none"/>
              </w:tabs>
              <w:rPr>
                <w:b/>
                <w:bCs/>
              </w:rPr>
            </w:pPr>
            <w:r>
              <w:rPr>
                <w:b/>
                <w:bCs/>
              </w:rPr>
              <w:t xml:space="preserve">Закрытие корреспондентского счета</w:t>
            </w:r>
            <w:r>
              <w:t xml:space="preserve"> </w:t>
            </w:r>
            <w:r>
              <w:rPr>
                <w:b/>
                <w:bCs/>
              </w:rPr>
            </w:r>
            <w:r>
              <w:rPr>
                <w:b/>
                <w:bCs/>
              </w:rPr>
            </w:r>
          </w:p>
        </w:tc>
        <w:tc>
          <w:tcPr>
            <w:tcW w:w="4679" w:type="dxa"/>
            <w:vAlign w:val="top"/>
            <w:textDirection w:val="lrTb"/>
            <w:noWrap w:val="false"/>
          </w:tcPr>
          <w:p>
            <w:pPr>
              <w:pStyle w:val="925"/>
              <w:spacing w:before="40"/>
              <w:tabs>
                <w:tab w:val="left" w:pos="709" w:leader="none"/>
              </w:tabs>
            </w:pPr>
            <w:r>
              <w:t xml:space="preserve">Комиссия не взимается</w:t>
            </w:r>
            <w:r/>
          </w:p>
        </w:tc>
        <w:tc>
          <w:tcPr>
            <w:tcW w:w="2960" w:type="dxa"/>
            <w:vAlign w:val="top"/>
            <w:textDirection w:val="lrTb"/>
            <w:noWrap w:val="false"/>
          </w:tcPr>
          <w:p>
            <w:pPr>
              <w:pStyle w:val="925"/>
              <w:tabs>
                <w:tab w:val="left" w:pos="709" w:leader="none"/>
              </w:tabs>
              <w:rPr>
                <w:iCs/>
              </w:rPr>
            </w:pPr>
            <w:r>
              <w:rPr>
                <w:iCs/>
              </w:rPr>
              <w:t xml:space="preserve"> </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rPr>
                <w:bCs/>
              </w:rPr>
            </w:pPr>
            <w:r>
              <w:rPr>
                <w:bCs/>
              </w:rPr>
              <w:t xml:space="preserve">1.5.1.</w:t>
            </w:r>
            <w:r>
              <w:rPr>
                <w:bCs/>
              </w:rPr>
            </w:r>
            <w:r>
              <w:rPr>
                <w:bCs/>
              </w:rPr>
            </w:r>
          </w:p>
        </w:tc>
        <w:tc>
          <w:tcPr>
            <w:tcW w:w="2131" w:type="dxa"/>
            <w:vAlign w:val="top"/>
            <w:textDirection w:val="lrTb"/>
            <w:noWrap w:val="false"/>
          </w:tcPr>
          <w:p>
            <w:pPr>
              <w:pStyle w:val="925"/>
              <w:spacing w:before="40" w:after="40"/>
              <w:tabs>
                <w:tab w:val="left" w:pos="709" w:leader="none"/>
              </w:tabs>
              <w:rPr>
                <w:bCs/>
              </w:rPr>
            </w:pPr>
            <w:r>
              <w:rPr>
                <w:bCs/>
              </w:rPr>
              <w:t xml:space="preserve">Закрытие корреспондентского счета специального назначения для кредитной </w:t>
            </w:r>
            <w:r>
              <w:rPr>
                <w:bCs/>
              </w:rPr>
              <w:t xml:space="preserve">организации - участника закупок</w:t>
            </w:r>
            <w:r>
              <w:rPr>
                <w:bCs/>
              </w:rPr>
            </w:r>
            <w:r>
              <w:rPr>
                <w:bCs/>
              </w:rPr>
            </w:r>
          </w:p>
        </w:tc>
        <w:tc>
          <w:tcPr>
            <w:tcW w:w="4679" w:type="dxa"/>
            <w:vAlign w:val="top"/>
            <w:textDirection w:val="lrTb"/>
            <w:noWrap w:val="false"/>
          </w:tcPr>
          <w:p>
            <w:pPr>
              <w:pStyle w:val="925"/>
              <w:spacing w:before="40"/>
              <w:tabs>
                <w:tab w:val="left" w:pos="709" w:leader="none"/>
              </w:tabs>
            </w:pPr>
            <w:r>
              <w:t xml:space="preserve">Комиссия не взимается</w:t>
            </w:r>
            <w:r/>
          </w:p>
        </w:tc>
        <w:tc>
          <w:tcPr>
            <w:tcW w:w="2960" w:type="dxa"/>
            <w:vAlign w:val="top"/>
            <w:textDirection w:val="lrTb"/>
            <w:noWrap w:val="false"/>
          </w:tcPr>
          <w:p>
            <w:pPr>
              <w:pStyle w:val="925"/>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rPr>
                <w:bCs/>
              </w:rPr>
            </w:pPr>
            <w:r>
              <w:rPr>
                <w:bCs/>
              </w:rPr>
              <w:t xml:space="preserve">1.5.2.</w:t>
            </w:r>
            <w:r>
              <w:rPr>
                <w:bCs/>
              </w:rPr>
            </w:r>
            <w:r>
              <w:rPr>
                <w:bCs/>
              </w:rPr>
            </w:r>
          </w:p>
        </w:tc>
        <w:tc>
          <w:tcPr>
            <w:tcW w:w="2131" w:type="dxa"/>
            <w:vAlign w:val="top"/>
            <w:textDirection w:val="lrTb"/>
            <w:noWrap w:val="false"/>
          </w:tcPr>
          <w:p>
            <w:pPr>
              <w:pStyle w:val="925"/>
              <w:spacing w:before="40" w:after="40"/>
              <w:tabs>
                <w:tab w:val="left" w:pos="709" w:leader="none"/>
              </w:tabs>
              <w:rPr>
                <w:bCs/>
              </w:rPr>
            </w:pPr>
            <w:r>
              <w:rPr>
                <w:bCs/>
              </w:rPr>
              <w:t xml:space="preserve">Закрытие корреспондентского счета в драгоценных металлах</w:t>
            </w:r>
            <w:r>
              <w:rPr>
                <w:bCs/>
              </w:rPr>
            </w:r>
            <w:r>
              <w:rPr>
                <w:bCs/>
              </w:rPr>
            </w:r>
          </w:p>
        </w:tc>
        <w:tc>
          <w:tcPr>
            <w:tcW w:w="4679" w:type="dxa"/>
            <w:vAlign w:val="top"/>
            <w:textDirection w:val="lrTb"/>
            <w:noWrap w:val="false"/>
          </w:tcPr>
          <w:p>
            <w:pPr>
              <w:pStyle w:val="925"/>
              <w:spacing w:before="40"/>
              <w:tabs>
                <w:tab w:val="left" w:pos="709" w:leader="none"/>
              </w:tabs>
            </w:pPr>
            <w:r>
              <w:t xml:space="preserve">Комиссия не взимается</w:t>
            </w:r>
            <w:r/>
          </w:p>
        </w:tc>
        <w:tc>
          <w:tcPr>
            <w:tcW w:w="2960" w:type="dxa"/>
            <w:vAlign w:val="top"/>
            <w:textDirection w:val="lrTb"/>
            <w:noWrap w:val="false"/>
          </w:tcPr>
          <w:p>
            <w:pPr>
              <w:pStyle w:val="925"/>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rPr>
                <w:b/>
                <w:bCs/>
                <w:lang w:val="en-US"/>
              </w:rPr>
            </w:pPr>
            <w:r>
              <w:rPr>
                <w:b/>
                <w:bCs/>
              </w:rPr>
              <w:t xml:space="preserve">1.6</w:t>
            </w:r>
            <w:r>
              <w:rPr>
                <w:b/>
                <w:bCs/>
                <w:lang w:val="en-US"/>
              </w:rPr>
              <w:t xml:space="preserve">.</w:t>
            </w:r>
            <w:r>
              <w:rPr>
                <w:b/>
                <w:bCs/>
                <w:lang w:val="en-US"/>
              </w:rPr>
            </w:r>
            <w:r>
              <w:rPr>
                <w:b/>
                <w:bCs/>
                <w:lang w:val="en-US"/>
              </w:rPr>
            </w:r>
          </w:p>
        </w:tc>
        <w:tc>
          <w:tcPr>
            <w:tcW w:w="2131" w:type="dxa"/>
            <w:vAlign w:val="top"/>
            <w:textDirection w:val="lrTb"/>
            <w:noWrap w:val="false"/>
          </w:tcPr>
          <w:p>
            <w:pPr>
              <w:pStyle w:val="925"/>
              <w:spacing w:before="40" w:after="40"/>
              <w:tabs>
                <w:tab w:val="left" w:pos="709" w:leader="none"/>
              </w:tabs>
              <w:rPr>
                <w:b/>
                <w:bCs/>
              </w:rPr>
            </w:pPr>
            <w:r>
              <w:rPr>
                <w:b/>
                <w:bCs/>
              </w:rPr>
              <w:t xml:space="preserve">Направление выписок, дебетовых и кредитовых авизо по системам SWIFT, TELEX, Системе передачи финансовых сообщений Банка России</w:t>
            </w:r>
            <w:r>
              <w:rPr>
                <w:b/>
                <w:bCs/>
              </w:rPr>
            </w:r>
            <w:r>
              <w:rPr>
                <w:b/>
                <w:bCs/>
              </w:rPr>
            </w:r>
          </w:p>
        </w:tc>
        <w:tc>
          <w:tcPr>
            <w:tcW w:w="4679" w:type="dxa"/>
            <w:vAlign w:val="top"/>
            <w:textDirection w:val="lrTb"/>
            <w:noWrap w:val="false"/>
          </w:tcPr>
          <w:p>
            <w:pPr>
              <w:pStyle w:val="925"/>
              <w:spacing w:before="40"/>
              <w:tabs>
                <w:tab w:val="left" w:pos="709" w:leader="none"/>
              </w:tabs>
            </w:pPr>
            <w:r>
              <w:t xml:space="preserve">Комиссия не взимается</w:t>
            </w:r>
            <w:r/>
          </w:p>
        </w:tc>
        <w:tc>
          <w:tcPr>
            <w:tcW w:w="2960" w:type="dxa"/>
            <w:vAlign w:val="top"/>
            <w:textDirection w:val="lrTb"/>
            <w:noWrap w:val="false"/>
          </w:tcPr>
          <w:p>
            <w:pPr>
              <w:pStyle w:val="925"/>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rPr>
                <w:b/>
                <w:bCs/>
              </w:rPr>
            </w:pPr>
            <w:r>
              <w:rPr>
                <w:b/>
                <w:bCs/>
              </w:rPr>
              <w:t xml:space="preserve">1.7.</w:t>
            </w:r>
            <w:r>
              <w:rPr>
                <w:b/>
                <w:bCs/>
              </w:rPr>
            </w:r>
            <w:r>
              <w:rPr>
                <w:b/>
                <w:bCs/>
              </w:rPr>
            </w:r>
          </w:p>
        </w:tc>
        <w:tc>
          <w:tcPr>
            <w:tcW w:w="2131" w:type="dxa"/>
            <w:vAlign w:val="top"/>
            <w:textDirection w:val="lrTb"/>
            <w:noWrap w:val="false"/>
          </w:tcPr>
          <w:p>
            <w:pPr>
              <w:pStyle w:val="925"/>
              <w:spacing w:before="40" w:after="40"/>
              <w:tabs>
                <w:tab w:val="left" w:pos="709" w:leader="none"/>
              </w:tabs>
              <w:rPr>
                <w:b/>
                <w:bCs/>
              </w:rPr>
            </w:pPr>
            <w:r>
              <w:rPr>
                <w:b/>
                <w:bCs/>
              </w:rPr>
              <w:t xml:space="preserve">Направление выписок, дебетовых и кредитовых авизо по почте, по факсу и электронной почте по запросу респондента</w:t>
            </w:r>
            <w:r>
              <w:rPr>
                <w:b/>
                <w:bCs/>
              </w:rPr>
            </w:r>
            <w:r>
              <w:rPr>
                <w:b/>
                <w:bCs/>
              </w:rPr>
            </w:r>
          </w:p>
        </w:tc>
        <w:tc>
          <w:tcPr>
            <w:tcW w:w="4679" w:type="dxa"/>
            <w:vAlign w:val="top"/>
            <w:textDirection w:val="lrTb"/>
            <w:noWrap w:val="false"/>
          </w:tcPr>
          <w:p>
            <w:pPr>
              <w:pStyle w:val="925"/>
              <w:spacing w:before="40"/>
              <w:tabs>
                <w:tab w:val="left" w:pos="709" w:leader="none"/>
              </w:tabs>
            </w:pPr>
            <w:r>
              <w:t xml:space="preserve">15 долларов</w:t>
            </w:r>
            <w:r>
              <w:t xml:space="preserve"> США</w:t>
            </w:r>
            <w:r>
              <w:t xml:space="preserve"> за каждый документ</w:t>
            </w:r>
            <w:r/>
          </w:p>
        </w:tc>
        <w:tc>
          <w:tcPr>
            <w:tcW w:w="2960" w:type="dxa"/>
            <w:vAlign w:val="top"/>
            <w:textDirection w:val="lrTb"/>
            <w:noWrap w:val="false"/>
          </w:tcPr>
          <w:p>
            <w:pPr>
              <w:pStyle w:val="925"/>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rPr>
                <w:b/>
                <w:bCs/>
              </w:rPr>
            </w:pPr>
            <w:r>
              <w:rPr>
                <w:b/>
                <w:bCs/>
              </w:rPr>
              <w:t xml:space="preserve">1.8.</w:t>
            </w:r>
            <w:r>
              <w:rPr>
                <w:b/>
                <w:bCs/>
              </w:rPr>
            </w:r>
            <w:r>
              <w:rPr>
                <w:b/>
                <w:bCs/>
              </w:rPr>
            </w:r>
          </w:p>
        </w:tc>
        <w:tc>
          <w:tcPr>
            <w:tcW w:w="2131" w:type="dxa"/>
            <w:vAlign w:val="top"/>
            <w:textDirection w:val="lrTb"/>
            <w:noWrap w:val="false"/>
          </w:tcPr>
          <w:p>
            <w:pPr>
              <w:pStyle w:val="925"/>
              <w:spacing w:before="40" w:after="40"/>
              <w:tabs>
                <w:tab w:val="left" w:pos="709" w:leader="none"/>
              </w:tabs>
              <w:rPr>
                <w:b/>
                <w:bCs/>
              </w:rPr>
            </w:pPr>
            <w:r>
              <w:rPr>
                <w:b/>
                <w:bCs/>
              </w:rPr>
              <w:t xml:space="preserve">Направление дубликатов выписок, дебетовых и кредитовых авизо по запросу респондента</w:t>
            </w:r>
            <w:r>
              <w:rPr>
                <w:b/>
                <w:bCs/>
              </w:rPr>
            </w:r>
            <w:r>
              <w:rPr>
                <w:b/>
                <w:bCs/>
              </w:rPr>
            </w:r>
          </w:p>
        </w:tc>
        <w:tc>
          <w:tcPr>
            <w:tcW w:w="4679" w:type="dxa"/>
            <w:vAlign w:val="top"/>
            <w:textDirection w:val="lrTb"/>
            <w:noWrap w:val="false"/>
          </w:tcPr>
          <w:p>
            <w:pPr>
              <w:pStyle w:val="925"/>
              <w:spacing w:before="40"/>
              <w:tabs>
                <w:tab w:val="left" w:pos="709" w:leader="none"/>
              </w:tabs>
            </w:pPr>
            <w:r>
              <w:t xml:space="preserve">50 долларов</w:t>
            </w:r>
            <w:r>
              <w:t xml:space="preserve"> США</w:t>
            </w:r>
            <w:r>
              <w:t xml:space="preserve"> за каждый документ</w:t>
            </w:r>
            <w:r/>
          </w:p>
        </w:tc>
        <w:tc>
          <w:tcPr>
            <w:tcW w:w="2960" w:type="dxa"/>
            <w:vAlign w:val="top"/>
            <w:textDirection w:val="lrTb"/>
            <w:noWrap w:val="false"/>
          </w:tcPr>
          <w:p>
            <w:pPr>
              <w:pStyle w:val="925"/>
              <w:tabs>
                <w:tab w:val="left" w:pos="709" w:leader="none"/>
              </w:tabs>
              <w:rPr>
                <w:iCs/>
              </w:rPr>
            </w:pPr>
            <w:r>
              <w:rPr>
                <w:iCs/>
              </w:rPr>
            </w:r>
            <w:r>
              <w:rPr>
                <w:iCs/>
              </w:rPr>
            </w:r>
            <w:r>
              <w:rPr>
                <w:iCs/>
              </w:rPr>
            </w:r>
          </w:p>
          <w:p>
            <w:pPr>
              <w:pStyle w:val="925"/>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rPr>
                <w:b/>
                <w:bCs/>
              </w:rPr>
            </w:pPr>
            <w:r>
              <w:rPr>
                <w:b/>
                <w:bCs/>
              </w:rPr>
              <w:t xml:space="preserve">1.9.</w:t>
            </w:r>
            <w:r>
              <w:rPr>
                <w:b/>
                <w:bCs/>
              </w:rPr>
            </w:r>
            <w:r>
              <w:rPr>
                <w:b/>
                <w:bCs/>
              </w:rPr>
            </w:r>
          </w:p>
        </w:tc>
        <w:tc>
          <w:tcPr>
            <w:tcW w:w="2131" w:type="dxa"/>
            <w:vAlign w:val="top"/>
            <w:textDirection w:val="lrTb"/>
            <w:noWrap w:val="false"/>
          </w:tcPr>
          <w:p>
            <w:pPr>
              <w:pStyle w:val="925"/>
              <w:spacing w:before="40" w:after="40"/>
              <w:tabs>
                <w:tab w:val="left" w:pos="709" w:leader="none"/>
              </w:tabs>
            </w:pPr>
            <w:r>
              <w:rPr>
                <w:b/>
                <w:bCs/>
              </w:rPr>
              <w:t xml:space="preserve">Начисление процентов</w:t>
            </w:r>
            <w:r>
              <w:rPr>
                <w:rStyle w:val="948"/>
                <w:b/>
                <w:bCs/>
              </w:rPr>
              <w:footnoteReference w:id="2"/>
            </w:r>
            <w:r>
              <w:t xml:space="preserve">:</w:t>
            </w:r>
            <w:r/>
          </w:p>
        </w:tc>
        <w:tc>
          <w:tcPr>
            <w:tcW w:w="4679" w:type="dxa"/>
            <w:vAlign w:val="top"/>
            <w:vMerge w:val="restart"/>
            <w:textDirection w:val="lrTb"/>
            <w:noWrap w:val="false"/>
          </w:tcPr>
          <w:p>
            <w:pPr>
              <w:pStyle w:val="925"/>
              <w:spacing w:before="40"/>
              <w:tabs>
                <w:tab w:val="left" w:pos="709" w:leader="none"/>
              </w:tabs>
            </w:pPr>
            <w:r>
              <w:rPr>
                <w:bCs/>
              </w:rPr>
              <w:t xml:space="preserve">В соответствии с решением головного офиса Банка (уполномоченного органа либо уполномоченного лица в пределах установленных полномочий)</w:t>
            </w:r>
            <w:r/>
          </w:p>
        </w:tc>
        <w:tc>
          <w:tcPr>
            <w:tcW w:w="2960" w:type="dxa"/>
            <w:vAlign w:val="top"/>
            <w:textDirection w:val="lrTb"/>
            <w:noWrap w:val="false"/>
          </w:tcPr>
          <w:p>
            <w:pPr>
              <w:pStyle w:val="925"/>
              <w:spacing w:before="40"/>
              <w:tabs>
                <w:tab w:val="left" w:pos="709" w:leader="none"/>
              </w:tabs>
              <w:rPr>
                <w:iCs/>
              </w:rPr>
            </w:pPr>
            <w:r>
              <w:t xml:space="preserve">по отдельному соглашению</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pPr>
            <w:r/>
            <w:r/>
          </w:p>
        </w:tc>
        <w:tc>
          <w:tcPr>
            <w:tcW w:w="2131" w:type="dxa"/>
            <w:vAlign w:val="top"/>
            <w:textDirection w:val="lrTb"/>
            <w:noWrap w:val="false"/>
          </w:tcPr>
          <w:p>
            <w:pPr>
              <w:pStyle w:val="925"/>
              <w:numPr>
                <w:ilvl w:val="0"/>
                <w:numId w:val="9"/>
              </w:numPr>
              <w:ind w:left="184" w:hanging="142"/>
              <w:spacing w:before="40" w:after="40"/>
              <w:tabs>
                <w:tab w:val="num" w:pos="184" w:leader="none"/>
                <w:tab w:val="left" w:pos="709" w:leader="none"/>
                <w:tab w:val="num" w:pos="751" w:leader="none"/>
                <w:tab w:val="clear" w:pos="1260" w:leader="none"/>
              </w:tabs>
              <w:rPr>
                <w:bCs/>
              </w:rPr>
            </w:pPr>
            <w:r>
              <w:rPr>
                <w:bCs/>
              </w:rPr>
              <w:t xml:space="preserve">на кредитовый остаток</w:t>
            </w:r>
            <w:r>
              <w:rPr>
                <w:bCs/>
              </w:rPr>
            </w:r>
            <w:r>
              <w:rPr>
                <w:bCs/>
              </w:rPr>
            </w:r>
          </w:p>
        </w:tc>
        <w:tc>
          <w:tcPr>
            <w:tcW w:w="4679" w:type="dxa"/>
            <w:vAlign w:val="top"/>
            <w:vMerge w:val="continue"/>
            <w:textDirection w:val="lrTb"/>
            <w:noWrap w:val="false"/>
          </w:tcPr>
          <w:p>
            <w:pPr>
              <w:pStyle w:val="925"/>
              <w:tabs>
                <w:tab w:val="left" w:pos="709" w:leader="none"/>
              </w:tabs>
            </w:pPr>
            <w:r/>
            <w:r/>
          </w:p>
        </w:tc>
        <w:tc>
          <w:tcPr>
            <w:tcW w:w="2960" w:type="dxa"/>
            <w:vAlign w:val="top"/>
            <w:textDirection w:val="lrTb"/>
            <w:noWrap w:val="false"/>
          </w:tcPr>
          <w:p>
            <w:pPr>
              <w:pStyle w:val="925"/>
              <w:spacing w:before="40"/>
              <w:tabs>
                <w:tab w:val="left" w:pos="709" w:leader="none"/>
              </w:tabs>
            </w:pPr>
            <w:r>
              <w:t xml:space="preserve">по отдельному соглашению</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817" w:type="dxa"/>
            <w:vAlign w:val="top"/>
            <w:textDirection w:val="lrTb"/>
            <w:noWrap w:val="false"/>
          </w:tcPr>
          <w:p>
            <w:pPr>
              <w:pStyle w:val="925"/>
              <w:spacing w:before="40" w:after="40"/>
              <w:tabs>
                <w:tab w:val="left" w:pos="709" w:leader="none"/>
              </w:tabs>
            </w:pPr>
            <w:r/>
            <w:r/>
          </w:p>
        </w:tc>
        <w:tc>
          <w:tcPr>
            <w:tcW w:w="2131" w:type="dxa"/>
            <w:vAlign w:val="top"/>
            <w:textDirection w:val="lrTb"/>
            <w:noWrap w:val="false"/>
          </w:tcPr>
          <w:p>
            <w:pPr>
              <w:pStyle w:val="925"/>
              <w:numPr>
                <w:ilvl w:val="0"/>
                <w:numId w:val="9"/>
              </w:numPr>
              <w:ind w:left="184" w:hanging="142"/>
              <w:spacing w:before="40" w:after="40"/>
              <w:tabs>
                <w:tab w:val="num" w:pos="184" w:leader="none"/>
                <w:tab w:val="left" w:pos="709" w:leader="none"/>
              </w:tabs>
              <w:rPr>
                <w:bCs/>
              </w:rPr>
            </w:pPr>
            <w:r>
              <w:rPr>
                <w:bCs/>
              </w:rPr>
              <w:t xml:space="preserve">за овердрафт</w:t>
            </w:r>
            <w:r>
              <w:rPr>
                <w:bCs/>
              </w:rPr>
            </w:r>
            <w:r>
              <w:rPr>
                <w:bCs/>
              </w:rPr>
            </w:r>
          </w:p>
        </w:tc>
        <w:tc>
          <w:tcPr>
            <w:tcW w:w="4679" w:type="dxa"/>
            <w:vAlign w:val="top"/>
            <w:vMerge w:val="continue"/>
            <w:textDirection w:val="lrTb"/>
            <w:noWrap w:val="false"/>
          </w:tcPr>
          <w:p>
            <w:pPr>
              <w:pStyle w:val="925"/>
              <w:tabs>
                <w:tab w:val="left" w:pos="709" w:leader="none"/>
              </w:tabs>
            </w:pPr>
            <w:r/>
            <w:r/>
          </w:p>
        </w:tc>
        <w:tc>
          <w:tcPr>
            <w:tcW w:w="2960" w:type="dxa"/>
            <w:vAlign w:val="top"/>
            <w:textDirection w:val="lrTb"/>
            <w:noWrap w:val="false"/>
          </w:tcPr>
          <w:p>
            <w:pPr>
              <w:pStyle w:val="925"/>
              <w:spacing w:before="40"/>
              <w:tabs>
                <w:tab w:val="left" w:pos="709" w:leader="none"/>
              </w:tabs>
            </w:pPr>
            <w:r>
              <w:t xml:space="preserve">по отдельному соглашению</w:t>
            </w:r>
            <w:r/>
          </w:p>
        </w:tc>
      </w:tr>
    </w:tbl>
    <w:p>
      <w:pPr>
        <w:pStyle w:val="925"/>
      </w:pPr>
      <w:r/>
      <w:r/>
    </w:p>
    <w:p>
      <w:pPr>
        <w:pStyle w:val="925"/>
      </w:pPr>
      <w:r>
        <w:br w:type="page" w:clear="all"/>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69"/>
        <w:gridCol w:w="4863"/>
        <w:gridCol w:w="1841"/>
        <w:gridCol w:w="2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pStyle w:val="925"/>
              <w:jc w:val="center"/>
              <w:spacing w:before="120" w:after="120"/>
              <w:tabs>
                <w:tab w:val="left" w:pos="709" w:leader="none"/>
              </w:tabs>
              <w:rPr>
                <w:b/>
                <w:bCs/>
                <w:sz w:val="24"/>
                <w:szCs w:val="24"/>
              </w:rPr>
            </w:pPr>
            <w:r>
              <w:rPr>
                <w:b/>
                <w:bCs/>
                <w:sz w:val="24"/>
                <w:szCs w:val="24"/>
              </w:rPr>
              <w:t xml:space="preserve">2. Расчетное обслуживание (для респондентов)</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center"/>
            <w:textDirection w:val="lrTb"/>
            <w:noWrap w:val="false"/>
          </w:tcPr>
          <w:p>
            <w:pPr>
              <w:pStyle w:val="925"/>
              <w:spacing w:before="40" w:after="40"/>
              <w:tabs>
                <w:tab w:val="left" w:pos="709" w:leader="none"/>
              </w:tabs>
              <w:rPr>
                <w:iCs/>
              </w:rPr>
            </w:pPr>
            <w:r>
              <w:rPr>
                <w:iCs/>
              </w:rPr>
              <w:t xml:space="preserve">№ п/п</w:t>
            </w:r>
            <w:r>
              <w:rPr>
                <w:iCs/>
              </w:rPr>
            </w:r>
            <w:r>
              <w:rPr>
                <w:iCs/>
              </w:rPr>
            </w:r>
          </w:p>
        </w:tc>
        <w:tc>
          <w:tcPr>
            <w:tcW w:w="2333" w:type="pct"/>
            <w:vAlign w:val="center"/>
            <w:textDirection w:val="lrTb"/>
            <w:noWrap w:val="false"/>
          </w:tcPr>
          <w:p>
            <w:pPr>
              <w:pStyle w:val="925"/>
              <w:spacing w:before="40" w:after="40"/>
              <w:tabs>
                <w:tab w:val="left" w:pos="709" w:leader="none"/>
              </w:tabs>
              <w:rPr>
                <w:iCs/>
              </w:rPr>
            </w:pPr>
            <w:r>
              <w:rPr>
                <w:iCs/>
              </w:rPr>
              <w:t xml:space="preserve">Наименование услуги</w:t>
            </w:r>
            <w:r>
              <w:rPr>
                <w:iCs/>
              </w:rPr>
            </w:r>
            <w:r>
              <w:rPr>
                <w:iCs/>
              </w:rPr>
            </w:r>
          </w:p>
        </w:tc>
        <w:tc>
          <w:tcPr>
            <w:tcW w:w="883" w:type="pct"/>
            <w:vAlign w:val="center"/>
            <w:textDirection w:val="lrTb"/>
            <w:noWrap w:val="false"/>
          </w:tcPr>
          <w:p>
            <w:pPr>
              <w:pStyle w:val="925"/>
              <w:spacing w:before="40" w:after="40"/>
              <w:tabs>
                <w:tab w:val="left" w:pos="709" w:leader="none"/>
              </w:tabs>
              <w:rPr>
                <w:iCs/>
              </w:rPr>
            </w:pPr>
            <w:r>
              <w:rPr>
                <w:iCs/>
              </w:rPr>
              <w:t xml:space="preserve">Тариф</w:t>
            </w:r>
            <w:r>
              <w:rPr>
                <w:iCs/>
              </w:rPr>
            </w:r>
            <w:r>
              <w:rPr>
                <w:iCs/>
              </w:rPr>
            </w:r>
          </w:p>
        </w:tc>
        <w:tc>
          <w:tcPr>
            <w:tcW w:w="1367" w:type="pct"/>
            <w:vAlign w:val="center"/>
            <w:textDirection w:val="lrTb"/>
            <w:noWrap w:val="false"/>
          </w:tcPr>
          <w:p>
            <w:pPr>
              <w:pStyle w:val="925"/>
              <w:spacing w:before="40" w:after="40"/>
              <w:tabs>
                <w:tab w:val="left" w:pos="709"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rPr>
                <w:b/>
                <w:bCs/>
              </w:rPr>
            </w:pPr>
            <w:r>
              <w:rPr>
                <w:b/>
                <w:bCs/>
              </w:rPr>
              <w:t xml:space="preserve">2.1.</w:t>
            </w:r>
            <w:r>
              <w:rPr>
                <w:b/>
                <w:bCs/>
              </w:rPr>
            </w:r>
            <w:r>
              <w:rPr>
                <w:b/>
                <w:bCs/>
              </w:rPr>
            </w:r>
          </w:p>
        </w:tc>
        <w:tc>
          <w:tcPr>
            <w:tcW w:w="2333" w:type="pct"/>
            <w:vAlign w:val="top"/>
            <w:textDirection w:val="lrTb"/>
            <w:noWrap w:val="false"/>
          </w:tcPr>
          <w:p>
            <w:pPr>
              <w:pStyle w:val="925"/>
              <w:spacing w:before="40" w:after="40"/>
              <w:tabs>
                <w:tab w:val="left" w:pos="709" w:leader="none"/>
              </w:tabs>
              <w:rPr>
                <w:b/>
                <w:bCs/>
              </w:rPr>
            </w:pPr>
            <w:r>
              <w:rPr>
                <w:b/>
                <w:bCs/>
              </w:rPr>
              <w:t xml:space="preserve">Переводы в валюте Российской Федерации: </w:t>
            </w:r>
            <w:r>
              <w:rPr>
                <w:b/>
                <w:bCs/>
              </w:rPr>
            </w:r>
            <w:r>
              <w:rPr>
                <w:b/>
                <w:bCs/>
              </w:rPr>
            </w:r>
          </w:p>
        </w:tc>
        <w:tc>
          <w:tcPr>
            <w:tcW w:w="883" w:type="pct"/>
            <w:vAlign w:val="top"/>
            <w:textDirection w:val="lrTb"/>
            <w:noWrap w:val="false"/>
          </w:tcPr>
          <w:p>
            <w:pPr>
              <w:pStyle w:val="925"/>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t xml:space="preserve">2.1.1.</w:t>
            </w:r>
            <w:r/>
          </w:p>
        </w:tc>
        <w:tc>
          <w:tcPr>
            <w:tcW w:w="2333" w:type="pct"/>
            <w:vAlign w:val="top"/>
            <w:textDirection w:val="lrTb"/>
            <w:noWrap w:val="false"/>
          </w:tcPr>
          <w:p>
            <w:pPr>
              <w:pStyle w:val="925"/>
              <w:spacing w:before="40" w:after="40"/>
              <w:tabs>
                <w:tab w:val="left" w:pos="709" w:leader="none"/>
              </w:tabs>
            </w:pPr>
            <w:r>
              <w:t xml:space="preserve">Зачисление средств на корреспондентский счет</w:t>
            </w:r>
            <w:r/>
          </w:p>
        </w:tc>
        <w:tc>
          <w:tcPr>
            <w:tcW w:w="883" w:type="pct"/>
            <w:vAlign w:val="top"/>
            <w:textDirection w:val="lrTb"/>
            <w:noWrap w:val="false"/>
          </w:tcPr>
          <w:p>
            <w:pPr>
              <w:pStyle w:val="925"/>
              <w:spacing w:before="40" w:after="40"/>
              <w:tabs>
                <w:tab w:val="left" w:pos="709" w:leader="none"/>
              </w:tabs>
            </w:pPr>
            <w:r>
              <w:t xml:space="preserve">Комиссия не взимается</w:t>
            </w: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t xml:space="preserve">2.1.2.</w:t>
            </w:r>
            <w:r/>
          </w:p>
        </w:tc>
        <w:tc>
          <w:tcPr>
            <w:tcW w:w="2333" w:type="pct"/>
            <w:vAlign w:val="top"/>
            <w:textDirection w:val="lrTb"/>
            <w:noWrap w:val="false"/>
          </w:tcPr>
          <w:p>
            <w:pPr>
              <w:pStyle w:val="925"/>
              <w:spacing w:before="40" w:after="40"/>
              <w:tabs>
                <w:tab w:val="left" w:pos="709" w:leader="none"/>
              </w:tabs>
            </w:pPr>
            <w:r>
              <w:t xml:space="preserve">Списание средств с корреспондентского счета:</w:t>
            </w:r>
            <w:r/>
          </w:p>
        </w:tc>
        <w:tc>
          <w:tcPr>
            <w:tcW w:w="883" w:type="pct"/>
            <w:vAlign w:val="top"/>
            <w:textDirection w:val="lrTb"/>
            <w:noWrap w:val="false"/>
          </w:tcPr>
          <w:p>
            <w:pPr>
              <w:pStyle w:val="925"/>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restart"/>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numPr>
                <w:ilvl w:val="0"/>
                <w:numId w:val="4"/>
              </w:numPr>
              <w:spacing w:before="40" w:after="40"/>
              <w:tabs>
                <w:tab w:val="num" w:pos="224" w:leader="none"/>
                <w:tab w:val="left" w:pos="709" w:leader="none"/>
              </w:tabs>
            </w:pPr>
            <w:r>
              <w:t xml:space="preserve">переводы внутри Банка</w:t>
            </w:r>
            <w:r/>
          </w:p>
        </w:tc>
        <w:tc>
          <w:tcPr>
            <w:tcW w:w="883" w:type="pct"/>
            <w:vAlign w:val="top"/>
            <w:textDirection w:val="lrTb"/>
            <w:noWrap w:val="false"/>
          </w:tcPr>
          <w:p>
            <w:pPr>
              <w:pStyle w:val="925"/>
              <w:spacing w:before="40" w:after="40"/>
              <w:tabs>
                <w:tab w:val="left" w:pos="709" w:leader="none"/>
              </w:tabs>
              <w:rPr>
                <w:iCs/>
              </w:rPr>
            </w:pPr>
            <w:r>
              <w:t xml:space="preserve">Комиссия не взимается</w:t>
            </w:r>
            <w:r>
              <w:rPr>
                <w:iCs/>
              </w:rPr>
            </w:r>
            <w:r>
              <w:rPr>
                <w:iCs/>
              </w:rP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numPr>
                <w:ilvl w:val="0"/>
                <w:numId w:val="4"/>
              </w:numPr>
              <w:spacing w:before="40" w:after="40"/>
              <w:tabs>
                <w:tab w:val="num" w:pos="224" w:leader="none"/>
                <w:tab w:val="left" w:pos="709" w:leader="none"/>
              </w:tabs>
            </w:pPr>
            <w:r>
              <w:t xml:space="preserve">переводы через платежную систему Банка России:</w:t>
            </w:r>
            <w:r/>
          </w:p>
        </w:tc>
        <w:tc>
          <w:tcPr>
            <w:tcW w:w="883" w:type="pct"/>
            <w:vAlign w:val="top"/>
            <w:textDirection w:val="lrTb"/>
            <w:noWrap w:val="false"/>
          </w:tcPr>
          <w:p>
            <w:pPr>
              <w:pStyle w:val="925"/>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7" w:type="pct"/>
            <w:vAlign w:val="top"/>
            <w:vMerge w:val="continue"/>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spacing w:before="40" w:after="40"/>
              <w:tabs>
                <w:tab w:val="left" w:pos="709" w:leader="none"/>
              </w:tabs>
            </w:pPr>
            <w:r>
              <w:t xml:space="preserve">- переводы с использованием сервиса несрочного перевода Банка России по распоряжениям, принятым до установленного времени, указанного в договоре</w:t>
            </w:r>
            <w:r/>
          </w:p>
        </w:tc>
        <w:tc>
          <w:tcPr>
            <w:tcW w:w="883" w:type="pct"/>
            <w:vAlign w:val="top"/>
            <w:textDirection w:val="lrTb"/>
            <w:noWrap w:val="false"/>
          </w:tcPr>
          <w:p>
            <w:pPr>
              <w:pStyle w:val="925"/>
              <w:spacing w:before="40" w:after="40"/>
              <w:tabs>
                <w:tab w:val="left" w:pos="709" w:leader="none"/>
              </w:tabs>
            </w:pPr>
            <w:r>
              <w:t xml:space="preserve">23 рубля за одно платежное поручение</w:t>
            </w:r>
            <w:r/>
          </w:p>
        </w:tc>
        <w:tc>
          <w:tcPr>
            <w:tcW w:w="1367" w:type="pct"/>
            <w:vAlign w:val="center"/>
            <w:vMerge w:val="restart"/>
            <w:textDirection w:val="lrTb"/>
            <w:noWrap w:val="false"/>
          </w:tcPr>
          <w:p>
            <w:pPr>
              <w:pStyle w:val="925"/>
              <w:spacing w:before="40" w:after="40"/>
              <w:tabs>
                <w:tab w:val="left" w:pos="709" w:leader="none"/>
              </w:tabs>
              <w:rPr>
                <w:iCs/>
              </w:rPr>
            </w:pPr>
            <w:r>
              <w:rPr>
                <w:iCs/>
              </w:rPr>
              <w:t xml:space="preserve">Тариф ЦБ РФ за телеграфный перевод оплачивается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spacing w:before="40" w:after="40"/>
              <w:tabs>
                <w:tab w:val="left" w:pos="709" w:leader="none"/>
              </w:tabs>
            </w:pPr>
            <w:r>
              <w:t xml:space="preserve">- переводы с использованием сервиса срочного перевода Банка России по распоряжениям, принятым до установленного времени, указанного в договоре</w:t>
            </w:r>
            <w:r/>
          </w:p>
        </w:tc>
        <w:tc>
          <w:tcPr>
            <w:tcW w:w="883" w:type="pct"/>
            <w:vAlign w:val="top"/>
            <w:textDirection w:val="lrTb"/>
            <w:noWrap w:val="false"/>
          </w:tcPr>
          <w:p>
            <w:pPr>
              <w:pStyle w:val="925"/>
              <w:spacing w:before="40" w:after="40"/>
              <w:tabs>
                <w:tab w:val="left" w:pos="709" w:leader="none"/>
              </w:tabs>
            </w:pPr>
            <w:r>
              <w:t xml:space="preserve">30 рублей </w:t>
              <w:br w:type="textWrapping" w:clear="all"/>
              <w:t xml:space="preserve">за одно платежное поручение</w:t>
            </w:r>
            <w:r/>
          </w:p>
        </w:tc>
        <w:tc>
          <w:tcPr>
            <w:tcW w:w="1367" w:type="pct"/>
            <w:vAlign w:val="top"/>
            <w:vMerge w:val="continue"/>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spacing w:before="40" w:after="40"/>
              <w:tabs>
                <w:tab w:val="left" w:pos="709" w:leader="none"/>
              </w:tabs>
            </w:pPr>
            <w:r>
              <w:t xml:space="preserve">- переводы по распоряжениям, принятым после установленного времени, указанного в договоре (при наличии возможности)</w:t>
            </w:r>
            <w:r/>
          </w:p>
        </w:tc>
        <w:tc>
          <w:tcPr>
            <w:tcW w:w="883" w:type="pct"/>
            <w:vAlign w:val="top"/>
            <w:textDirection w:val="lrTb"/>
            <w:noWrap w:val="false"/>
          </w:tcPr>
          <w:p>
            <w:pPr>
              <w:pStyle w:val="925"/>
              <w:spacing w:before="40" w:after="40"/>
              <w:tabs>
                <w:tab w:val="left" w:pos="709" w:leader="none"/>
              </w:tabs>
            </w:pPr>
            <w:r>
              <w:t xml:space="preserve">300 рублей </w:t>
              <w:br w:type="textWrapping" w:clear="all"/>
              <w:t xml:space="preserve">за одно платежное поручение</w:t>
            </w:r>
            <w:r/>
          </w:p>
        </w:tc>
        <w:tc>
          <w:tcPr>
            <w:tcW w:w="1367" w:type="pct"/>
            <w:vAlign w:val="top"/>
            <w:vMerge w:val="continue"/>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t xml:space="preserve">2.1.3.</w:t>
            </w:r>
            <w:r/>
          </w:p>
        </w:tc>
        <w:tc>
          <w:tcPr>
            <w:tcW w:w="2333" w:type="pct"/>
            <w:vAlign w:val="top"/>
            <w:textDirection w:val="lrTb"/>
            <w:noWrap w:val="false"/>
          </w:tcPr>
          <w:p>
            <w:pPr>
              <w:pStyle w:val="925"/>
              <w:spacing w:before="40" w:after="40"/>
              <w:tabs>
                <w:tab w:val="left" w:pos="709" w:leader="none"/>
              </w:tabs>
            </w:pPr>
            <w:r>
              <w:t xml:space="preserve">Изменение реквизитов переводов, возврат/аннуляция распоряжения о переводе, запрос о дате зачисления средств на корреспондентский счет в банке-получателе</w:t>
            </w:r>
            <w:r/>
          </w:p>
        </w:tc>
        <w:tc>
          <w:tcPr>
            <w:tcW w:w="883" w:type="pct"/>
            <w:vAlign w:val="top"/>
            <w:textDirection w:val="lrTb"/>
            <w:noWrap w:val="false"/>
          </w:tcPr>
          <w:p>
            <w:pPr>
              <w:pStyle w:val="925"/>
              <w:spacing w:before="40" w:after="40"/>
              <w:tabs>
                <w:tab w:val="left" w:pos="709" w:leader="none"/>
              </w:tabs>
            </w:pPr>
            <w:r>
              <w:t xml:space="preserve">500 рублей </w:t>
              <w:br w:type="textWrapping" w:clear="all"/>
              <w:t xml:space="preserve">за каждый перевод</w:t>
            </w: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rPr>
                <w:b/>
                <w:bCs/>
              </w:rPr>
            </w:pPr>
            <w:r>
              <w:rPr>
                <w:b/>
                <w:bCs/>
              </w:rPr>
              <w:t xml:space="preserve">2.2.</w:t>
            </w:r>
            <w:r>
              <w:rPr>
                <w:b/>
                <w:bCs/>
              </w:rPr>
            </w:r>
            <w:r>
              <w:rPr>
                <w:b/>
                <w:bCs/>
              </w:rPr>
            </w:r>
          </w:p>
        </w:tc>
        <w:tc>
          <w:tcPr>
            <w:tcW w:w="2333" w:type="pct"/>
            <w:vAlign w:val="top"/>
            <w:textDirection w:val="lrTb"/>
            <w:noWrap w:val="false"/>
          </w:tcPr>
          <w:p>
            <w:pPr>
              <w:pStyle w:val="925"/>
              <w:spacing w:before="40" w:after="40"/>
              <w:tabs>
                <w:tab w:val="left" w:pos="709" w:leader="none"/>
              </w:tabs>
              <w:rPr>
                <w:b/>
                <w:bCs/>
              </w:rPr>
            </w:pPr>
            <w:r>
              <w:rPr>
                <w:b/>
                <w:bCs/>
              </w:rPr>
              <w:t xml:space="preserve">Переводы в иностранной валюте:</w:t>
            </w:r>
            <w:r>
              <w:rPr>
                <w:b/>
                <w:bCs/>
              </w:rPr>
            </w:r>
            <w:r>
              <w:rPr>
                <w:b/>
                <w:bCs/>
              </w:rPr>
            </w:r>
          </w:p>
        </w:tc>
        <w:tc>
          <w:tcPr>
            <w:tcW w:w="883" w:type="pct"/>
            <w:vAlign w:val="top"/>
            <w:textDirection w:val="lrTb"/>
            <w:noWrap w:val="false"/>
          </w:tcPr>
          <w:p>
            <w:pPr>
              <w:pStyle w:val="925"/>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t xml:space="preserve">2.2.1.</w:t>
            </w:r>
            <w:r/>
          </w:p>
        </w:tc>
        <w:tc>
          <w:tcPr>
            <w:tcW w:w="2333" w:type="pct"/>
            <w:vAlign w:val="top"/>
            <w:textDirection w:val="lrTb"/>
            <w:noWrap w:val="false"/>
          </w:tcPr>
          <w:p>
            <w:pPr>
              <w:pStyle w:val="925"/>
              <w:spacing w:before="40" w:after="40"/>
              <w:tabs>
                <w:tab w:val="left" w:pos="709" w:leader="none"/>
              </w:tabs>
            </w:pPr>
            <w:r>
              <w:t xml:space="preserve">Зачисление средств на корреспондентский счет</w:t>
            </w:r>
            <w:r/>
          </w:p>
        </w:tc>
        <w:tc>
          <w:tcPr>
            <w:tcW w:w="883" w:type="pct"/>
            <w:vAlign w:val="top"/>
            <w:textDirection w:val="lrTb"/>
            <w:noWrap w:val="false"/>
          </w:tcPr>
          <w:p>
            <w:pPr>
              <w:pStyle w:val="925"/>
              <w:spacing w:before="40" w:after="40"/>
              <w:tabs>
                <w:tab w:val="left" w:pos="709" w:leader="none"/>
              </w:tabs>
            </w:pPr>
            <w:r>
              <w:t xml:space="preserve">Комиссия не взимается</w:t>
            </w: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t xml:space="preserve">2.2.2.</w:t>
            </w:r>
            <w:r/>
          </w:p>
        </w:tc>
        <w:tc>
          <w:tcPr>
            <w:tcW w:w="2333" w:type="pct"/>
            <w:vAlign w:val="top"/>
            <w:textDirection w:val="lrTb"/>
            <w:noWrap w:val="false"/>
          </w:tcPr>
          <w:p>
            <w:pPr>
              <w:pStyle w:val="925"/>
              <w:spacing w:before="40" w:after="40"/>
              <w:tabs>
                <w:tab w:val="left" w:pos="709" w:leader="none"/>
              </w:tabs>
            </w:pPr>
            <w:r>
              <w:t xml:space="preserve">Списание средств с корреспондентского счета:</w:t>
            </w:r>
            <w:r/>
          </w:p>
        </w:tc>
        <w:tc>
          <w:tcPr>
            <w:tcW w:w="883" w:type="pct"/>
            <w:vAlign w:val="top"/>
            <w:textDirection w:val="lrTb"/>
            <w:noWrap w:val="false"/>
          </w:tcPr>
          <w:p>
            <w:pPr>
              <w:pStyle w:val="925"/>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restart"/>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numPr>
                <w:ilvl w:val="0"/>
                <w:numId w:val="4"/>
              </w:numPr>
              <w:jc w:val="both"/>
              <w:spacing w:before="40" w:after="40"/>
              <w:tabs>
                <w:tab w:val="num" w:pos="224" w:leader="none"/>
                <w:tab w:val="left" w:pos="709" w:leader="none"/>
              </w:tabs>
            </w:pPr>
            <w:r>
              <w:t xml:space="preserve">Переводы в пользу бенефициара-клиента Банка</w:t>
            </w:r>
            <w:r/>
          </w:p>
        </w:tc>
        <w:tc>
          <w:tcPr>
            <w:tcW w:w="883" w:type="pct"/>
            <w:vAlign w:val="top"/>
            <w:textDirection w:val="lrTb"/>
            <w:noWrap w:val="false"/>
          </w:tcPr>
          <w:p>
            <w:pPr>
              <w:pStyle w:val="925"/>
              <w:spacing w:before="40" w:after="40"/>
              <w:tabs>
                <w:tab w:val="left" w:pos="709" w:leader="none"/>
              </w:tabs>
            </w:pPr>
            <w:r>
              <w:t xml:space="preserve">Комиссия не взимается</w:t>
            </w: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numPr>
                <w:ilvl w:val="0"/>
                <w:numId w:val="4"/>
              </w:numPr>
              <w:jc w:val="both"/>
              <w:spacing w:before="40" w:after="40"/>
              <w:tabs>
                <w:tab w:val="num" w:pos="224" w:leader="none"/>
                <w:tab w:val="left" w:pos="709" w:leader="none"/>
              </w:tabs>
            </w:pPr>
            <w:r>
              <w:t xml:space="preserve">Переводы с использованием корреспондентской сети ЛОРО АО «Россельхозбанк»</w:t>
            </w:r>
            <w:r/>
          </w:p>
        </w:tc>
        <w:tc>
          <w:tcPr>
            <w:tcW w:w="883" w:type="pct"/>
            <w:vAlign w:val="top"/>
            <w:textDirection w:val="lrTb"/>
            <w:noWrap w:val="false"/>
          </w:tcPr>
          <w:p>
            <w:pPr>
              <w:pStyle w:val="925"/>
              <w:spacing w:before="40" w:after="40"/>
              <w:tabs>
                <w:tab w:val="left" w:pos="709" w:leader="none"/>
              </w:tabs>
            </w:pPr>
            <w:r>
              <w:t xml:space="preserve">Комиссия не взимается</w:t>
            </w: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numPr>
                <w:ilvl w:val="0"/>
                <w:numId w:val="4"/>
              </w:numPr>
              <w:jc w:val="both"/>
              <w:spacing w:before="40" w:after="40"/>
              <w:tabs>
                <w:tab w:val="num" w:pos="224" w:leader="none"/>
                <w:tab w:val="left" w:pos="709" w:leader="none"/>
              </w:tabs>
              <w:rPr>
                <w:b/>
                <w:bCs/>
              </w:rPr>
            </w:pPr>
            <w:r>
              <w:t xml:space="preserve">Переводы в пользу бенефициара-клиента другого банка с использованием счетов НОСТРО </w:t>
            </w:r>
            <w:r>
              <w:br w:type="textWrapping" w:clear="all"/>
            </w:r>
            <w:r>
              <w:t xml:space="preserve">АО «Россельхозбанк»:</w:t>
            </w:r>
            <w:r>
              <w:rPr>
                <w:b/>
                <w:bCs/>
              </w:rPr>
            </w:r>
            <w:r>
              <w:rPr>
                <w:b/>
                <w:bCs/>
              </w:rPr>
            </w:r>
          </w:p>
        </w:tc>
        <w:tc>
          <w:tcPr>
            <w:tcW w:w="883" w:type="pct"/>
            <w:vAlign w:val="top"/>
            <w:textDirection w:val="lrTb"/>
            <w:noWrap w:val="false"/>
          </w:tcPr>
          <w:p>
            <w:pPr>
              <w:pStyle w:val="925"/>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spacing w:before="40" w:after="40"/>
              <w:tabs>
                <w:tab w:val="left" w:pos="709" w:leader="none"/>
              </w:tabs>
            </w:pPr>
            <w:r>
              <w:t xml:space="preserve">«BEN» - все расходы относятся на счет бенефициара</w:t>
            </w:r>
            <w:r/>
          </w:p>
        </w:tc>
        <w:tc>
          <w:tcPr>
            <w:tcW w:w="883" w:type="pct"/>
            <w:vAlign w:val="top"/>
            <w:textDirection w:val="lrTb"/>
            <w:noWrap w:val="false"/>
          </w:tcPr>
          <w:p>
            <w:pPr>
              <w:pStyle w:val="925"/>
              <w:spacing w:before="40" w:after="40"/>
              <w:tabs>
                <w:tab w:val="left" w:pos="709" w:leader="none"/>
              </w:tabs>
            </w:pPr>
            <w:r>
              <w:t xml:space="preserve">12 долларов США</w:t>
            </w: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spacing w:before="40" w:after="40"/>
              <w:tabs>
                <w:tab w:val="left" w:pos="709" w:leader="none"/>
              </w:tabs>
            </w:pPr>
            <w:r>
              <w:t xml:space="preserve">«OUR» - все расходы относятся на счет отправителя</w:t>
            </w:r>
            <w:r/>
          </w:p>
        </w:tc>
        <w:tc>
          <w:tcPr>
            <w:tcW w:w="883" w:type="pct"/>
            <w:vAlign w:val="top"/>
            <w:textDirection w:val="lrTb"/>
            <w:noWrap w:val="false"/>
          </w:tcPr>
          <w:p>
            <w:pPr>
              <w:pStyle w:val="925"/>
              <w:spacing w:before="40" w:after="40"/>
              <w:tabs>
                <w:tab w:val="left" w:pos="709" w:leader="none"/>
              </w:tabs>
            </w:pPr>
            <w:r>
              <w:t xml:space="preserve">12 долларов США</w:t>
            </w:r>
            <w:r/>
          </w:p>
        </w:tc>
        <w:tc>
          <w:tcPr>
            <w:tcW w:w="1367" w:type="pct"/>
            <w:vAlign w:val="top"/>
            <w:textDirection w:val="lrTb"/>
            <w:noWrap w:val="false"/>
          </w:tcPr>
          <w:p>
            <w:pPr>
              <w:pStyle w:val="925"/>
              <w:spacing w:before="40" w:after="40"/>
              <w:tabs>
                <w:tab w:val="left" w:pos="709" w:leader="none"/>
              </w:tabs>
              <w:rPr>
                <w:iCs/>
              </w:rPr>
            </w:pPr>
            <w:r>
              <w:rPr>
                <w:iCs/>
              </w:rPr>
              <w:t xml:space="preserve">Комиссии третьих банков взимаются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spacing w:before="40" w:after="40"/>
              <w:tabs>
                <w:tab w:val="left" w:pos="709" w:leader="none"/>
              </w:tabs>
            </w:pPr>
            <w:r>
              <w:t xml:space="preserve">«SHA» - все расходы на стороне отправителя относятся на счет отправителя</w:t>
            </w:r>
            <w:r/>
          </w:p>
        </w:tc>
        <w:tc>
          <w:tcPr>
            <w:tcW w:w="883" w:type="pct"/>
            <w:vAlign w:val="top"/>
            <w:textDirection w:val="lrTb"/>
            <w:noWrap w:val="false"/>
          </w:tcPr>
          <w:p>
            <w:pPr>
              <w:pStyle w:val="925"/>
              <w:spacing w:before="40" w:after="40"/>
              <w:tabs>
                <w:tab w:val="left" w:pos="709" w:leader="none"/>
              </w:tabs>
            </w:pPr>
            <w:r>
              <w:t xml:space="preserve">12 долларов США</w:t>
            </w:r>
            <w:r/>
          </w:p>
        </w:tc>
        <w:tc>
          <w:tcPr>
            <w:tcW w:w="1367" w:type="pct"/>
            <w:vAlign w:val="top"/>
            <w:textDirection w:val="lrTb"/>
            <w:noWrap w:val="false"/>
          </w:tcPr>
          <w:p>
            <w:pPr>
              <w:pStyle w:val="925"/>
              <w:spacing w:before="40" w:after="40"/>
              <w:tabs>
                <w:tab w:val="left" w:pos="709" w:leader="none"/>
              </w:tabs>
              <w:rPr>
                <w:iCs/>
              </w:rPr>
            </w:pPr>
            <w:r>
              <w:rPr>
                <w:iCs/>
              </w:rPr>
              <w:t xml:space="preserve">Комиссия, взимаемая остальными участниками перевода, взимается за счет бенефициара</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t xml:space="preserve">2.2.3.</w:t>
            </w:r>
            <w:r/>
          </w:p>
        </w:tc>
        <w:tc>
          <w:tcPr>
            <w:tcW w:w="2333" w:type="pct"/>
            <w:vAlign w:val="top"/>
            <w:textDirection w:val="lrTb"/>
            <w:noWrap w:val="false"/>
          </w:tcPr>
          <w:p>
            <w:pPr>
              <w:pStyle w:val="925"/>
              <w:spacing w:before="40" w:after="40"/>
              <w:tabs>
                <w:tab w:val="left" w:pos="709" w:leader="none"/>
              </w:tabs>
            </w:pPr>
            <w:r>
              <w:t xml:space="preserve">Межбанковские переводы</w:t>
            </w:r>
            <w:r/>
          </w:p>
        </w:tc>
        <w:tc>
          <w:tcPr>
            <w:tcW w:w="883" w:type="pct"/>
            <w:vAlign w:val="top"/>
            <w:textDirection w:val="lrTb"/>
            <w:noWrap w:val="false"/>
          </w:tcPr>
          <w:p>
            <w:pPr>
              <w:pStyle w:val="925"/>
              <w:spacing w:before="40" w:after="40"/>
              <w:tabs>
                <w:tab w:val="left" w:pos="709" w:leader="none"/>
              </w:tabs>
            </w:pPr>
            <w:r>
              <w:t xml:space="preserve">Комиссия не взимается</w:t>
            </w:r>
            <w:r/>
          </w:p>
        </w:tc>
        <w:tc>
          <w:tcPr>
            <w:tcW w:w="1367" w:type="pct"/>
            <w:vAlign w:val="top"/>
            <w:textDirection w:val="lrTb"/>
            <w:noWrap w:val="false"/>
          </w:tcPr>
          <w:p>
            <w:pPr>
              <w:pStyle w:val="925"/>
              <w:spacing w:before="40" w:after="40"/>
              <w:tabs>
                <w:tab w:val="left" w:pos="709" w:leader="none"/>
              </w:tabs>
              <w:rPr>
                <w:iCs/>
              </w:rPr>
            </w:pPr>
            <w:r>
              <w:rPr>
                <w:iCs/>
              </w:rPr>
              <w:t xml:space="preserve">Взимаются только комиссии третьих банков</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t xml:space="preserve">2.2.4.</w:t>
            </w:r>
            <w:r/>
          </w:p>
        </w:tc>
        <w:tc>
          <w:tcPr>
            <w:tcW w:w="2333" w:type="pct"/>
            <w:vAlign w:val="top"/>
            <w:textDirection w:val="lrTb"/>
            <w:noWrap w:val="false"/>
          </w:tcPr>
          <w:p>
            <w:pPr>
              <w:pStyle w:val="925"/>
              <w:spacing w:before="40" w:after="40"/>
              <w:tabs>
                <w:tab w:val="left" w:pos="709" w:leader="none"/>
              </w:tabs>
            </w:pPr>
            <w:r>
              <w:t xml:space="preserve">Исполнение распоряжений, полученных после установленного времени, указанного в договоре (распоряжении), сроком валютирования «сегодня» (по возможности) </w:t>
            </w:r>
            <w:r/>
          </w:p>
        </w:tc>
        <w:tc>
          <w:tcPr>
            <w:tcW w:w="883" w:type="pct"/>
            <w:vAlign w:val="top"/>
            <w:textDirection w:val="lrTb"/>
            <w:noWrap w:val="false"/>
          </w:tcPr>
          <w:p>
            <w:pPr>
              <w:pStyle w:val="925"/>
              <w:spacing w:before="40" w:after="40"/>
              <w:tabs>
                <w:tab w:val="left" w:pos="709" w:leader="none"/>
              </w:tabs>
            </w:pPr>
            <w:r>
              <w:t xml:space="preserve">50 долларов США</w:t>
            </w:r>
            <w:r/>
          </w:p>
        </w:tc>
        <w:tc>
          <w:tcPr>
            <w:tcW w:w="1367" w:type="pct"/>
            <w:vAlign w:val="top"/>
            <w:textDirection w:val="lrTb"/>
            <w:noWrap w:val="false"/>
          </w:tcPr>
          <w:p>
            <w:pPr>
              <w:pStyle w:val="925"/>
              <w:spacing w:before="40" w:after="40"/>
              <w:tabs>
                <w:tab w:val="left" w:pos="709" w:leader="none"/>
              </w:tabs>
              <w:rPr>
                <w:iCs/>
              </w:rPr>
            </w:pPr>
            <w:r>
              <w:rPr>
                <w:iCs/>
              </w:rPr>
              <w:t xml:space="preserve">Комиссии третьих банков взимаются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t xml:space="preserve">2.2.5.</w:t>
            </w:r>
            <w:r/>
          </w:p>
        </w:tc>
        <w:tc>
          <w:tcPr>
            <w:tcW w:w="2333" w:type="pct"/>
            <w:vAlign w:val="top"/>
            <w:textDirection w:val="lrTb"/>
            <w:noWrap w:val="false"/>
          </w:tcPr>
          <w:p>
            <w:pPr>
              <w:pStyle w:val="925"/>
              <w:spacing w:before="40" w:after="40"/>
              <w:tabs>
                <w:tab w:val="left" w:pos="709" w:leader="none"/>
              </w:tabs>
            </w:pPr>
            <w:r>
              <w:t xml:space="preserve">Изменение реквизитов переводов, возврат/аннуляция распоряжения о переводе, запрос о дате кредитования счета бенефициара</w:t>
            </w:r>
            <w:r/>
          </w:p>
        </w:tc>
        <w:tc>
          <w:tcPr>
            <w:tcW w:w="883" w:type="pct"/>
            <w:vAlign w:val="top"/>
            <w:textDirection w:val="lrTb"/>
            <w:noWrap w:val="false"/>
          </w:tcPr>
          <w:p>
            <w:pPr>
              <w:pStyle w:val="925"/>
              <w:spacing w:before="40" w:after="40"/>
              <w:tabs>
                <w:tab w:val="left" w:pos="709" w:leader="none"/>
              </w:tabs>
            </w:pPr>
            <w:r>
              <w:t xml:space="preserve">50 долларов США за каждый перевод</w:t>
            </w:r>
            <w:r/>
          </w:p>
        </w:tc>
        <w:tc>
          <w:tcPr>
            <w:tcW w:w="1367" w:type="pct"/>
            <w:vAlign w:val="top"/>
            <w:textDirection w:val="lrTb"/>
            <w:noWrap w:val="false"/>
          </w:tcPr>
          <w:p>
            <w:pPr>
              <w:pStyle w:val="925"/>
              <w:spacing w:before="40" w:after="40"/>
              <w:tabs>
                <w:tab w:val="left" w:pos="709" w:leader="none"/>
              </w:tabs>
              <w:rPr>
                <w:iCs/>
              </w:rPr>
            </w:pPr>
            <w:r>
              <w:rPr>
                <w:iCs/>
              </w:rPr>
              <w:t xml:space="preserve">Комиссии третьих банков взимаются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t xml:space="preserve">2.2.6.</w:t>
            </w:r>
            <w:r/>
          </w:p>
        </w:tc>
        <w:tc>
          <w:tcPr>
            <w:tcW w:w="2333" w:type="pct"/>
            <w:vAlign w:val="top"/>
            <w:textDirection w:val="lrTb"/>
            <w:noWrap w:val="false"/>
          </w:tcPr>
          <w:p>
            <w:pPr>
              <w:pStyle w:val="925"/>
              <w:spacing w:before="40" w:after="40"/>
              <w:tabs>
                <w:tab w:val="left" w:pos="709" w:leader="none"/>
              </w:tabs>
            </w:pPr>
            <w:r>
              <w:t xml:space="preserve">Возврат переводоотправителю поступившего в Банк перевода ввиду невозможности исполнения</w:t>
            </w:r>
            <w:r/>
          </w:p>
        </w:tc>
        <w:tc>
          <w:tcPr>
            <w:tcW w:w="883" w:type="pct"/>
            <w:vAlign w:val="top"/>
            <w:textDirection w:val="lrTb"/>
            <w:noWrap w:val="false"/>
          </w:tcPr>
          <w:p>
            <w:pPr>
              <w:pStyle w:val="925"/>
              <w:spacing w:before="40" w:after="40"/>
              <w:tabs>
                <w:tab w:val="left" w:pos="709" w:leader="none"/>
              </w:tabs>
            </w:pPr>
            <w:r>
              <w:t xml:space="preserve">25 долларов США за каждый перевод </w:t>
            </w:r>
            <w:r>
              <w:t xml:space="preserve">на сумму свыше</w:t>
            </w:r>
            <w:r>
              <w:t xml:space="preserve"> 1000 долларов США</w:t>
            </w:r>
            <w:r/>
          </w:p>
        </w:tc>
        <w:tc>
          <w:tcPr>
            <w:tcW w:w="1367" w:type="pct"/>
            <w:vAlign w:val="top"/>
            <w:textDirection w:val="lrTb"/>
            <w:noWrap w:val="false"/>
          </w:tcPr>
          <w:p>
            <w:pPr>
              <w:pStyle w:val="925"/>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rPr>
                <w:b/>
              </w:rPr>
            </w:pPr>
            <w:r>
              <w:rPr>
                <w:b/>
              </w:rPr>
              <w:t xml:space="preserve">2.3.</w:t>
            </w:r>
            <w:r>
              <w:rPr>
                <w:b/>
              </w:rPr>
            </w:r>
            <w:r>
              <w:rPr>
                <w:b/>
              </w:rPr>
            </w:r>
          </w:p>
        </w:tc>
        <w:tc>
          <w:tcPr>
            <w:tcW w:w="2333" w:type="pct"/>
            <w:vAlign w:val="top"/>
            <w:textDirection w:val="lrTb"/>
            <w:noWrap w:val="false"/>
          </w:tcPr>
          <w:p>
            <w:pPr>
              <w:pStyle w:val="925"/>
              <w:spacing w:before="40" w:after="40"/>
              <w:tabs>
                <w:tab w:val="left" w:pos="709" w:leader="none"/>
              </w:tabs>
            </w:pPr>
            <w:r>
              <w:rPr>
                <w:b/>
                <w:bCs/>
              </w:rPr>
              <w:t xml:space="preserve">Зачисление драгоценного металла на счет:</w:t>
            </w:r>
            <w:r/>
          </w:p>
        </w:tc>
        <w:tc>
          <w:tcPr>
            <w:tcW w:w="883" w:type="pct"/>
            <w:vAlign w:val="top"/>
            <w:textDirection w:val="lrTb"/>
            <w:noWrap w:val="false"/>
          </w:tcPr>
          <w:p>
            <w:pPr>
              <w:pStyle w:val="925"/>
              <w:spacing w:before="40" w:after="40"/>
              <w:tabs>
                <w:tab w:val="left" w:pos="709" w:leader="none"/>
              </w:tabs>
            </w:pPr>
            <w:r/>
            <w:r/>
          </w:p>
        </w:tc>
        <w:tc>
          <w:tcPr>
            <w:tcW w:w="1367" w:type="pct"/>
            <w:vAlign w:val="top"/>
            <w:textDirection w:val="lrTb"/>
            <w:noWrap w:val="false"/>
          </w:tcPr>
          <w:p>
            <w:pPr>
              <w:pStyle w:val="925"/>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trPr>
        <w:tc>
          <w:tcPr>
            <w:tcW w:w="417" w:type="pct"/>
            <w:vAlign w:val="top"/>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numPr>
                <w:ilvl w:val="0"/>
                <w:numId w:val="4"/>
              </w:numPr>
              <w:spacing w:before="40" w:after="40"/>
              <w:tabs>
                <w:tab w:val="num" w:pos="224" w:leader="none"/>
                <w:tab w:val="left" w:pos="709" w:leader="none"/>
              </w:tabs>
            </w:pPr>
            <w:r>
              <w:t xml:space="preserve">внесенного респондентом в виде слитков в хранилище ценностей</w:t>
            </w:r>
            <w:r/>
          </w:p>
        </w:tc>
        <w:tc>
          <w:tcPr>
            <w:tcW w:w="883" w:type="pct"/>
            <w:vAlign w:val="top"/>
            <w:textDirection w:val="lrTb"/>
            <w:noWrap w:val="false"/>
          </w:tcPr>
          <w:p>
            <w:pPr>
              <w:pStyle w:val="925"/>
              <w:spacing w:before="40" w:after="40"/>
              <w:tabs>
                <w:tab w:val="left" w:pos="709" w:leader="none"/>
              </w:tabs>
            </w:pPr>
            <w:r>
              <w:t xml:space="preserve">По </w:t>
            </w:r>
            <w:r>
              <w:t xml:space="preserve">соглашению</w:t>
            </w:r>
            <w:r>
              <w:t xml:space="preserve"> сторон</w:t>
            </w:r>
            <w:r/>
          </w:p>
        </w:tc>
        <w:tc>
          <w:tcPr>
            <w:tcW w:w="1367" w:type="pct"/>
            <w:vAlign w:val="top"/>
            <w:textDirection w:val="lrTb"/>
            <w:noWrap w:val="false"/>
          </w:tcPr>
          <w:p>
            <w:pPr>
              <w:pStyle w:val="925"/>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numPr>
                <w:ilvl w:val="0"/>
                <w:numId w:val="4"/>
              </w:numPr>
              <w:spacing w:before="40" w:after="40"/>
              <w:tabs>
                <w:tab w:val="num" w:pos="224" w:leader="none"/>
                <w:tab w:val="left" w:pos="709" w:leader="none"/>
              </w:tabs>
            </w:pPr>
            <w:r>
              <w:t xml:space="preserve">поступившего с иного корреспондентского счета в драгоценных металлах</w:t>
            </w:r>
            <w:r/>
          </w:p>
        </w:tc>
        <w:tc>
          <w:tcPr>
            <w:tcW w:w="883" w:type="pct"/>
            <w:vAlign w:val="top"/>
            <w:textDirection w:val="lrTb"/>
            <w:noWrap w:val="false"/>
          </w:tcPr>
          <w:p>
            <w:pPr>
              <w:pStyle w:val="925"/>
              <w:spacing w:before="40" w:after="40"/>
              <w:tabs>
                <w:tab w:val="left" w:pos="709" w:leader="none"/>
              </w:tabs>
            </w:pPr>
            <w:r>
              <w:t xml:space="preserve">Комиссия</w:t>
            </w:r>
            <w:r/>
          </w:p>
          <w:p>
            <w:pPr>
              <w:pStyle w:val="925"/>
              <w:spacing w:before="40" w:after="40"/>
              <w:tabs>
                <w:tab w:val="left" w:pos="709" w:leader="none"/>
              </w:tabs>
            </w:pPr>
            <w:r>
              <w:t xml:space="preserve">не взимается</w:t>
            </w:r>
            <w:r/>
          </w:p>
        </w:tc>
        <w:tc>
          <w:tcPr>
            <w:tcW w:w="1367" w:type="pct"/>
            <w:vAlign w:val="top"/>
            <w:textDirection w:val="lrTb"/>
            <w:noWrap w:val="false"/>
          </w:tcPr>
          <w:p>
            <w:pPr>
              <w:pStyle w:val="925"/>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numPr>
                <w:ilvl w:val="0"/>
                <w:numId w:val="4"/>
              </w:numPr>
              <w:spacing w:before="40" w:after="40"/>
              <w:tabs>
                <w:tab w:val="num" w:pos="224" w:leader="none"/>
                <w:tab w:val="left" w:pos="709" w:leader="none"/>
              </w:tabs>
            </w:pPr>
            <w:r>
              <w:t xml:space="preserve">поступившего от Банка по сделкам с драгоценным металлом</w:t>
            </w:r>
            <w:r/>
          </w:p>
        </w:tc>
        <w:tc>
          <w:tcPr>
            <w:tcW w:w="883" w:type="pct"/>
            <w:vAlign w:val="top"/>
            <w:textDirection w:val="lrTb"/>
            <w:noWrap w:val="false"/>
          </w:tcPr>
          <w:p>
            <w:pPr>
              <w:pStyle w:val="925"/>
              <w:spacing w:before="40" w:after="40"/>
              <w:tabs>
                <w:tab w:val="left" w:pos="709" w:leader="none"/>
              </w:tabs>
            </w:pPr>
            <w:r>
              <w:t xml:space="preserve">Комиссия</w:t>
            </w:r>
            <w:r/>
          </w:p>
          <w:p>
            <w:pPr>
              <w:pStyle w:val="925"/>
              <w:spacing w:before="40" w:after="40"/>
              <w:tabs>
                <w:tab w:val="left" w:pos="709" w:leader="none"/>
              </w:tabs>
            </w:pPr>
            <w:r>
              <w:t xml:space="preserve">не взимается</w:t>
            </w:r>
            <w:r/>
          </w:p>
        </w:tc>
        <w:tc>
          <w:tcPr>
            <w:tcW w:w="1367" w:type="pct"/>
            <w:vAlign w:val="top"/>
            <w:textDirection w:val="lrTb"/>
            <w:noWrap w:val="false"/>
          </w:tcPr>
          <w:p>
            <w:pPr>
              <w:pStyle w:val="925"/>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t xml:space="preserve">2.3.1.</w:t>
            </w:r>
            <w:r/>
          </w:p>
        </w:tc>
        <w:tc>
          <w:tcPr>
            <w:tcW w:w="2333" w:type="pct"/>
            <w:vAlign w:val="top"/>
            <w:textDirection w:val="lrTb"/>
            <w:noWrap w:val="false"/>
          </w:tcPr>
          <w:p>
            <w:pPr>
              <w:pStyle w:val="925"/>
              <w:spacing w:before="40" w:after="40"/>
              <w:tabs>
                <w:tab w:val="left" w:pos="709" w:leader="none"/>
              </w:tabs>
            </w:pPr>
            <w:r>
              <w:rPr>
                <w:bCs/>
              </w:rPr>
              <w:t xml:space="preserve">Списание драгоценного металла со счета:</w:t>
            </w:r>
            <w:r/>
          </w:p>
        </w:tc>
        <w:tc>
          <w:tcPr>
            <w:tcW w:w="883" w:type="pct"/>
            <w:vAlign w:val="top"/>
            <w:textDirection w:val="lrTb"/>
            <w:noWrap w:val="false"/>
          </w:tcPr>
          <w:p>
            <w:pPr>
              <w:pStyle w:val="925"/>
              <w:spacing w:before="40" w:after="40"/>
              <w:tabs>
                <w:tab w:val="left" w:pos="709" w:leader="none"/>
              </w:tabs>
            </w:pPr>
            <w:r/>
            <w:r/>
          </w:p>
        </w:tc>
        <w:tc>
          <w:tcPr>
            <w:tcW w:w="1367" w:type="pct"/>
            <w:vAlign w:val="top"/>
            <w:textDirection w:val="lrTb"/>
            <w:noWrap w:val="false"/>
          </w:tcPr>
          <w:p>
            <w:pPr>
              <w:pStyle w:val="925"/>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numPr>
                <w:ilvl w:val="0"/>
                <w:numId w:val="4"/>
              </w:numPr>
              <w:spacing w:before="40" w:after="40"/>
              <w:tabs>
                <w:tab w:val="num" w:pos="224" w:leader="none"/>
                <w:tab w:val="left" w:pos="709" w:leader="none"/>
              </w:tabs>
            </w:pPr>
            <w:r>
              <w:t xml:space="preserve">с последующей выдачей слитков респонденту в хранилище ценностей</w:t>
            </w:r>
            <w:r/>
          </w:p>
        </w:tc>
        <w:tc>
          <w:tcPr>
            <w:tcW w:w="883" w:type="pct"/>
            <w:vAlign w:val="top"/>
            <w:textDirection w:val="lrTb"/>
            <w:noWrap w:val="false"/>
          </w:tcPr>
          <w:p>
            <w:pPr>
              <w:pStyle w:val="925"/>
              <w:spacing w:before="40" w:after="40"/>
              <w:tabs>
                <w:tab w:val="left" w:pos="709" w:leader="none"/>
              </w:tabs>
            </w:pPr>
            <w:r>
              <w:rPr>
                <w:bCs/>
              </w:rPr>
              <w:t xml:space="preserve">По </w:t>
            </w:r>
            <w:r>
              <w:rPr>
                <w:bCs/>
              </w:rPr>
              <w:t xml:space="preserve">соглашению</w:t>
            </w:r>
            <w:r>
              <w:rPr>
                <w:bCs/>
              </w:rPr>
              <w:t xml:space="preserve"> сторон</w:t>
            </w:r>
            <w:r/>
          </w:p>
        </w:tc>
        <w:tc>
          <w:tcPr>
            <w:tcW w:w="1367" w:type="pct"/>
            <w:vAlign w:val="top"/>
            <w:textDirection w:val="lrTb"/>
            <w:noWrap w:val="false"/>
          </w:tcPr>
          <w:p>
            <w:pPr>
              <w:pStyle w:val="925"/>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numPr>
                <w:ilvl w:val="0"/>
                <w:numId w:val="4"/>
              </w:numPr>
              <w:spacing w:before="40" w:after="40"/>
              <w:tabs>
                <w:tab w:val="num" w:pos="224" w:leader="none"/>
                <w:tab w:val="left" w:pos="709" w:leader="none"/>
              </w:tabs>
            </w:pPr>
            <w:r>
              <w:t xml:space="preserve">для зачисления на иной корреспондентский счет в драгоценных металлах</w:t>
            </w:r>
            <w:r/>
          </w:p>
        </w:tc>
        <w:tc>
          <w:tcPr>
            <w:tcW w:w="883" w:type="pct"/>
            <w:vAlign w:val="top"/>
            <w:textDirection w:val="lrTb"/>
            <w:noWrap w:val="false"/>
          </w:tcPr>
          <w:p>
            <w:pPr>
              <w:pStyle w:val="925"/>
              <w:spacing w:before="40" w:after="40"/>
              <w:tabs>
                <w:tab w:val="left" w:pos="709" w:leader="none"/>
              </w:tabs>
              <w:rPr>
                <w:bCs/>
              </w:rPr>
            </w:pPr>
            <w:r>
              <w:rPr>
                <w:bCs/>
              </w:rPr>
              <w:t xml:space="preserve">Комиссия</w:t>
            </w:r>
            <w:r>
              <w:rPr>
                <w:bCs/>
              </w:rPr>
            </w:r>
            <w:r>
              <w:rPr>
                <w:bCs/>
              </w:rPr>
            </w:r>
          </w:p>
          <w:p>
            <w:pPr>
              <w:pStyle w:val="925"/>
              <w:spacing w:before="40" w:after="40"/>
              <w:tabs>
                <w:tab w:val="left" w:pos="709" w:leader="none"/>
              </w:tabs>
            </w:pPr>
            <w:r>
              <w:rPr>
                <w:bCs/>
              </w:rPr>
              <w:t xml:space="preserve">не взимается</w:t>
            </w:r>
            <w:r/>
          </w:p>
        </w:tc>
        <w:tc>
          <w:tcPr>
            <w:tcW w:w="1367" w:type="pct"/>
            <w:vAlign w:val="top"/>
            <w:textDirection w:val="lrTb"/>
            <w:noWrap w:val="false"/>
          </w:tcPr>
          <w:p>
            <w:pPr>
              <w:pStyle w:val="925"/>
              <w:spacing w:before="40" w:after="40"/>
              <w:tabs>
                <w:tab w:val="left" w:pos="709" w:leader="none"/>
              </w:tabs>
            </w:pPr>
            <w:r>
              <w:rPr>
                <w:iCs/>
              </w:rPr>
              <w:t xml:space="preserve">Комиссии третьих банков взимаются дополнительно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rPr>
                <w:bCs/>
                <w:u w:val="single"/>
              </w:rPr>
            </w:pPr>
            <w:r>
              <w:rPr>
                <w:bCs/>
                <w:u w:val="single"/>
              </w:rPr>
            </w:r>
            <w:r>
              <w:rPr>
                <w:bCs/>
                <w:u w:val="single"/>
              </w:rPr>
            </w:r>
            <w:r>
              <w:rPr>
                <w:bCs/>
                <w:u w:val="single"/>
              </w:rPr>
            </w:r>
          </w:p>
        </w:tc>
        <w:tc>
          <w:tcPr>
            <w:tcW w:w="2333" w:type="pct"/>
            <w:vAlign w:val="top"/>
            <w:textDirection w:val="lrTb"/>
            <w:noWrap w:val="false"/>
          </w:tcPr>
          <w:p>
            <w:pPr>
              <w:pStyle w:val="925"/>
              <w:numPr>
                <w:ilvl w:val="0"/>
                <w:numId w:val="4"/>
              </w:numPr>
              <w:spacing w:before="40" w:after="40"/>
              <w:tabs>
                <w:tab w:val="num" w:pos="224" w:leader="none"/>
                <w:tab w:val="left" w:pos="709" w:leader="none"/>
              </w:tabs>
            </w:pPr>
            <w:r>
              <w:t xml:space="preserve">в пользу Банка от респондента по сделкам с драгоценным металлом</w:t>
            </w:r>
            <w:r/>
          </w:p>
        </w:tc>
        <w:tc>
          <w:tcPr>
            <w:tcW w:w="883" w:type="pct"/>
            <w:vAlign w:val="top"/>
            <w:textDirection w:val="lrTb"/>
            <w:noWrap w:val="false"/>
          </w:tcPr>
          <w:p>
            <w:pPr>
              <w:pStyle w:val="925"/>
              <w:spacing w:before="40" w:after="40"/>
              <w:tabs>
                <w:tab w:val="left" w:pos="709" w:leader="none"/>
              </w:tabs>
              <w:rPr>
                <w:bCs/>
              </w:rPr>
            </w:pPr>
            <w:r>
              <w:rPr>
                <w:bCs/>
              </w:rPr>
              <w:t xml:space="preserve">Комиссия</w:t>
            </w:r>
            <w:r>
              <w:rPr>
                <w:bCs/>
              </w:rPr>
            </w:r>
            <w:r>
              <w:rPr>
                <w:bCs/>
              </w:rPr>
            </w:r>
          </w:p>
          <w:p>
            <w:pPr>
              <w:pStyle w:val="925"/>
              <w:spacing w:before="40" w:after="40"/>
              <w:tabs>
                <w:tab w:val="left" w:pos="709" w:leader="none"/>
              </w:tabs>
            </w:pPr>
            <w:r>
              <w:rPr>
                <w:bCs/>
              </w:rPr>
              <w:t xml:space="preserve">не взимается</w:t>
            </w:r>
            <w:r/>
          </w:p>
        </w:tc>
        <w:tc>
          <w:tcPr>
            <w:tcW w:w="1367" w:type="pct"/>
            <w:vAlign w:val="top"/>
            <w:textDirection w:val="lrTb"/>
            <w:noWrap w:val="false"/>
          </w:tcPr>
          <w:p>
            <w:pPr>
              <w:pStyle w:val="925"/>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rPr>
                <w:bCs/>
              </w:rPr>
            </w:pPr>
            <w:r>
              <w:rPr>
                <w:bCs/>
              </w:rPr>
              <w:t xml:space="preserve">2.3.2.</w:t>
            </w:r>
            <w:r>
              <w:rPr>
                <w:bCs/>
              </w:rPr>
            </w:r>
            <w:r>
              <w:rPr>
                <w:bCs/>
              </w:rPr>
            </w:r>
          </w:p>
        </w:tc>
        <w:tc>
          <w:tcPr>
            <w:tcW w:w="2333" w:type="pct"/>
            <w:vAlign w:val="top"/>
            <w:textDirection w:val="lrTb"/>
            <w:noWrap w:val="false"/>
          </w:tcPr>
          <w:p>
            <w:pPr>
              <w:pStyle w:val="925"/>
              <w:spacing w:before="40" w:after="40"/>
              <w:tabs>
                <w:tab w:val="left" w:pos="0" w:leader="none"/>
              </w:tabs>
              <w:rPr>
                <w:b/>
              </w:rPr>
            </w:pPr>
            <w:r>
              <w:rPr>
                <w:b/>
              </w:rPr>
              <w:t xml:space="preserve">Иные операции с драгоценным металлом, предусмотренные законодательством Российской Федерации и нормативными актами Банка России</w:t>
            </w:r>
            <w:r>
              <w:rPr>
                <w:b/>
              </w:rPr>
            </w:r>
            <w:r>
              <w:rPr>
                <w:b/>
              </w:rPr>
            </w:r>
          </w:p>
        </w:tc>
        <w:tc>
          <w:tcPr>
            <w:tcW w:w="883" w:type="pct"/>
            <w:vAlign w:val="top"/>
            <w:textDirection w:val="lrTb"/>
            <w:noWrap w:val="false"/>
          </w:tcPr>
          <w:p>
            <w:pPr>
              <w:pStyle w:val="925"/>
              <w:spacing w:before="40" w:after="40"/>
              <w:tabs>
                <w:tab w:val="left" w:pos="709" w:leader="none"/>
              </w:tabs>
              <w:rPr>
                <w:bCs/>
              </w:rPr>
            </w:pPr>
            <w:r>
              <w:rPr>
                <w:bCs/>
              </w:rPr>
              <w:t xml:space="preserve">По </w:t>
            </w:r>
            <w:r>
              <w:rPr>
                <w:bCs/>
              </w:rPr>
              <w:t xml:space="preserve">соглашению</w:t>
            </w:r>
            <w:r>
              <w:rPr>
                <w:bCs/>
              </w:rPr>
              <w:t xml:space="preserve"> сторон</w:t>
            </w:r>
            <w:r>
              <w:rPr>
                <w:bCs/>
              </w:rPr>
            </w:r>
            <w:r>
              <w:rPr>
                <w:bCs/>
              </w:rPr>
            </w:r>
          </w:p>
        </w:tc>
        <w:tc>
          <w:tcPr>
            <w:tcW w:w="1367" w:type="pct"/>
            <w:vAlign w:val="top"/>
            <w:textDirection w:val="lrTb"/>
            <w:noWrap w:val="false"/>
          </w:tcPr>
          <w:p>
            <w:pPr>
              <w:pStyle w:val="925"/>
              <w:spacing w:before="40" w:after="40"/>
              <w:tabs>
                <w:tab w:val="left" w:pos="709" w:leader="none"/>
              </w:tabs>
            </w:pPr>
            <w:r>
              <w:t xml:space="preserve">П</w:t>
            </w:r>
            <w:r>
              <w:t xml:space="preserve">о отдельному соглашению</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rPr>
                <w:b/>
                <w:bCs/>
              </w:rPr>
            </w:pPr>
            <w:r>
              <w:rPr>
                <w:b/>
                <w:bCs/>
              </w:rPr>
              <w:t xml:space="preserve">2.4.</w:t>
            </w:r>
            <w:r>
              <w:rPr>
                <w:b/>
                <w:bCs/>
              </w:rPr>
            </w:r>
            <w:r>
              <w:rPr>
                <w:b/>
                <w:bCs/>
              </w:rPr>
            </w:r>
          </w:p>
        </w:tc>
        <w:tc>
          <w:tcPr>
            <w:tcW w:w="2333" w:type="pct"/>
            <w:vAlign w:val="top"/>
            <w:textDirection w:val="lrTb"/>
            <w:noWrap w:val="false"/>
          </w:tcPr>
          <w:p>
            <w:pPr>
              <w:pStyle w:val="925"/>
              <w:spacing w:before="40" w:after="40"/>
              <w:tabs>
                <w:tab w:val="left" w:pos="709" w:leader="none"/>
              </w:tabs>
              <w:rPr>
                <w:b/>
                <w:bCs/>
              </w:rPr>
            </w:pPr>
            <w:r>
              <w:rPr>
                <w:b/>
                <w:bCs/>
              </w:rPr>
              <w:t xml:space="preserve">Прием распоряжений о переводе денежных средств в валюте Российской Федерации и иностранной валюте на бумажном носителе (ручная обработка)</w:t>
            </w:r>
            <w:r>
              <w:rPr>
                <w:b/>
                <w:bCs/>
              </w:rPr>
            </w:r>
            <w:r>
              <w:rPr>
                <w:b/>
                <w:bCs/>
              </w:rPr>
            </w:r>
          </w:p>
        </w:tc>
        <w:tc>
          <w:tcPr>
            <w:tcW w:w="883" w:type="pct"/>
            <w:vAlign w:val="top"/>
            <w:textDirection w:val="lrTb"/>
            <w:noWrap w:val="false"/>
          </w:tcPr>
          <w:p>
            <w:pPr>
              <w:pStyle w:val="925"/>
              <w:spacing w:before="40" w:after="40"/>
              <w:tabs>
                <w:tab w:val="left" w:pos="709" w:leader="none"/>
              </w:tabs>
            </w:pPr>
            <w:r>
              <w:t xml:space="preserve">20 долларов США за каждое распоряжение </w:t>
            </w: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rPr>
                <w:b/>
                <w:bCs/>
              </w:rPr>
            </w:pPr>
            <w:r>
              <w:rPr>
                <w:b/>
                <w:bCs/>
              </w:rPr>
              <w:t xml:space="preserve">2.5.</w:t>
            </w:r>
            <w:r>
              <w:rPr>
                <w:b/>
                <w:bCs/>
              </w:rPr>
            </w:r>
            <w:r>
              <w:rPr>
                <w:b/>
                <w:bCs/>
              </w:rPr>
            </w:r>
          </w:p>
        </w:tc>
        <w:tc>
          <w:tcPr>
            <w:tcW w:w="2333" w:type="pct"/>
            <w:vAlign w:val="top"/>
            <w:textDirection w:val="lrTb"/>
            <w:noWrap w:val="false"/>
          </w:tcPr>
          <w:p>
            <w:pPr>
              <w:pStyle w:val="925"/>
              <w:spacing w:before="40" w:after="40"/>
              <w:tabs>
                <w:tab w:val="left" w:pos="709" w:leader="none"/>
              </w:tabs>
              <w:rPr>
                <w:b/>
                <w:bCs/>
              </w:rPr>
            </w:pPr>
            <w:r>
              <w:rPr>
                <w:b/>
              </w:rPr>
              <w:t xml:space="preserve">Прием распоряжений о переводе денежных средств в валюте Российской Федерации и иностранной валюте по системе TELEX (ручная обработка)</w:t>
            </w:r>
            <w:r>
              <w:rPr>
                <w:b/>
                <w:bCs/>
              </w:rPr>
            </w:r>
            <w:r>
              <w:rPr>
                <w:b/>
                <w:bCs/>
              </w:rPr>
            </w:r>
          </w:p>
        </w:tc>
        <w:tc>
          <w:tcPr>
            <w:tcW w:w="883" w:type="pct"/>
            <w:vAlign w:val="top"/>
            <w:textDirection w:val="lrTb"/>
            <w:noWrap w:val="false"/>
          </w:tcPr>
          <w:p>
            <w:pPr>
              <w:pStyle w:val="925"/>
              <w:spacing w:before="40" w:after="40"/>
              <w:tabs>
                <w:tab w:val="left" w:pos="709" w:leader="none"/>
              </w:tabs>
              <w:rPr>
                <w:b/>
                <w:bCs/>
              </w:rPr>
            </w:pPr>
            <w:r>
              <w:rPr>
                <w:b/>
                <w:bCs/>
              </w:rPr>
            </w:r>
            <w:r>
              <w:rPr>
                <w:b/>
                <w:bCs/>
              </w:rPr>
            </w:r>
            <w:r>
              <w:rPr>
                <w:b/>
                <w:bCs/>
              </w:rP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rPr>
                <w:b/>
                <w:bCs/>
              </w:rPr>
            </w:pPr>
            <w:r>
              <w:rPr>
                <w:bCs/>
                <w:lang w:val="en-US"/>
              </w:rPr>
              <w:t xml:space="preserve">2.</w:t>
            </w:r>
            <w:r>
              <w:rPr>
                <w:bCs/>
              </w:rPr>
              <w:t xml:space="preserve">5</w:t>
            </w:r>
            <w:r>
              <w:rPr>
                <w:bCs/>
                <w:lang w:val="en-US"/>
              </w:rPr>
              <w:t xml:space="preserve">.1.</w:t>
            </w:r>
            <w:r>
              <w:rPr>
                <w:b/>
                <w:bCs/>
              </w:rPr>
            </w:r>
            <w:r>
              <w:rPr>
                <w:b/>
                <w:bCs/>
              </w:rPr>
            </w:r>
          </w:p>
        </w:tc>
        <w:tc>
          <w:tcPr>
            <w:tcW w:w="2333" w:type="pct"/>
            <w:vAlign w:val="top"/>
            <w:textDirection w:val="lrTb"/>
            <w:noWrap w:val="false"/>
          </w:tcPr>
          <w:p>
            <w:pPr>
              <w:pStyle w:val="925"/>
              <w:spacing w:before="40" w:after="40"/>
              <w:tabs>
                <w:tab w:val="left" w:pos="709" w:leader="none"/>
              </w:tabs>
              <w:rPr>
                <w:b/>
                <w:bCs/>
              </w:rPr>
            </w:pPr>
            <w:r>
              <w:rPr>
                <w:bCs/>
              </w:rPr>
              <w:t xml:space="preserve">Для кредитных организаций – резидентов Российской Федерации (</w:t>
            </w:r>
            <w:r>
              <w:t xml:space="preserve">кредитных организаций, созданных в соответствии с законодательством Российской Федерации</w:t>
            </w:r>
            <w:r>
              <w:rPr>
                <w:bCs/>
              </w:rPr>
              <w:t xml:space="preserve">)</w:t>
            </w:r>
            <w:r>
              <w:rPr>
                <w:b/>
                <w:bCs/>
              </w:rPr>
            </w:r>
            <w:r>
              <w:rPr>
                <w:b/>
                <w:bCs/>
              </w:rPr>
            </w:r>
          </w:p>
        </w:tc>
        <w:tc>
          <w:tcPr>
            <w:tcW w:w="883" w:type="pct"/>
            <w:vAlign w:val="top"/>
            <w:textDirection w:val="lrTb"/>
            <w:noWrap w:val="false"/>
          </w:tcPr>
          <w:p>
            <w:pPr>
              <w:pStyle w:val="925"/>
              <w:spacing w:before="40" w:after="40"/>
              <w:tabs>
                <w:tab w:val="left" w:pos="709" w:leader="none"/>
              </w:tabs>
            </w:pPr>
            <w:r>
              <w:t xml:space="preserve">20 долларов США за каждое распоряжение</w:t>
            </w: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rPr>
                <w:b/>
                <w:bCs/>
              </w:rPr>
            </w:pPr>
            <w:r>
              <w:rPr>
                <w:bCs/>
                <w:lang w:val="en-US"/>
              </w:rPr>
              <w:t xml:space="preserve">2.</w:t>
            </w:r>
            <w:r>
              <w:rPr>
                <w:bCs/>
              </w:rPr>
              <w:t xml:space="preserve">5</w:t>
            </w:r>
            <w:r>
              <w:rPr>
                <w:bCs/>
                <w:lang w:val="en-US"/>
              </w:rPr>
              <w:t xml:space="preserve">.2.</w:t>
            </w:r>
            <w:r>
              <w:rPr>
                <w:b/>
                <w:bCs/>
              </w:rPr>
            </w:r>
            <w:r>
              <w:rPr>
                <w:b/>
                <w:bCs/>
              </w:rPr>
            </w:r>
          </w:p>
        </w:tc>
        <w:tc>
          <w:tcPr>
            <w:tcW w:w="2333" w:type="pct"/>
            <w:vAlign w:val="top"/>
            <w:textDirection w:val="lrTb"/>
            <w:noWrap w:val="false"/>
          </w:tcPr>
          <w:p>
            <w:pPr>
              <w:pStyle w:val="925"/>
              <w:spacing w:before="40" w:after="40"/>
              <w:tabs>
                <w:tab w:val="left" w:pos="709" w:leader="none"/>
              </w:tabs>
              <w:rPr>
                <w:b/>
                <w:bCs/>
              </w:rPr>
            </w:pPr>
            <w:r>
              <w:rPr>
                <w:bCs/>
              </w:rPr>
              <w:t xml:space="preserve">Для кредитных организаций – нерезидентов (</w:t>
            </w:r>
            <w:r>
              <w:t xml:space="preserve">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b/>
                <w:bCs/>
              </w:rPr>
            </w:r>
            <w:r>
              <w:rPr>
                <w:b/>
                <w:bCs/>
              </w:rPr>
            </w:r>
          </w:p>
        </w:tc>
        <w:tc>
          <w:tcPr>
            <w:tcW w:w="883" w:type="pct"/>
            <w:vAlign w:val="top"/>
            <w:textDirection w:val="lrTb"/>
            <w:noWrap w:val="false"/>
          </w:tcPr>
          <w:p>
            <w:pPr>
              <w:pStyle w:val="925"/>
              <w:spacing w:before="40" w:after="40"/>
              <w:tabs>
                <w:tab w:val="left" w:pos="709" w:leader="none"/>
              </w:tabs>
            </w:pPr>
            <w:r>
              <w:rPr>
                <w:bCs/>
              </w:rPr>
              <w:t xml:space="preserve">Комиссия не взимается</w:t>
            </w: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rPr>
                <w:b/>
                <w:bCs/>
              </w:rPr>
            </w:pPr>
            <w:r>
              <w:rPr>
                <w:b/>
                <w:bCs/>
              </w:rPr>
              <w:t xml:space="preserve">2.6.</w:t>
            </w:r>
            <w:r>
              <w:rPr>
                <w:b/>
                <w:bCs/>
              </w:rPr>
            </w:r>
            <w:r>
              <w:rPr>
                <w:b/>
                <w:bCs/>
              </w:rPr>
            </w:r>
          </w:p>
        </w:tc>
        <w:tc>
          <w:tcPr>
            <w:tcW w:w="2333" w:type="pct"/>
            <w:vAlign w:val="top"/>
            <w:textDirection w:val="lrTb"/>
            <w:noWrap w:val="false"/>
          </w:tcPr>
          <w:p>
            <w:pPr>
              <w:pStyle w:val="925"/>
              <w:spacing w:before="40" w:after="40"/>
              <w:tabs>
                <w:tab w:val="left" w:pos="709" w:leader="none"/>
              </w:tabs>
              <w:rPr>
                <w:b/>
                <w:bCs/>
              </w:rPr>
            </w:pPr>
            <w:r>
              <w:rPr>
                <w:b/>
                <w:bCs/>
              </w:rPr>
              <w:t xml:space="preserve">Подтверждение наличия корреспондентских счетов, открытых в Банке, выдача иных справочных материалов о состоянии счета по письменному запросу Респондента давностью:</w:t>
            </w:r>
            <w:r>
              <w:rPr>
                <w:b/>
                <w:bCs/>
              </w:rPr>
            </w:r>
            <w:r>
              <w:rPr>
                <w:b/>
                <w:bCs/>
              </w:rPr>
            </w:r>
          </w:p>
        </w:tc>
        <w:tc>
          <w:tcPr>
            <w:tcW w:w="883" w:type="pct"/>
            <w:vAlign w:val="top"/>
            <w:textDirection w:val="lrTb"/>
            <w:noWrap w:val="false"/>
          </w:tcPr>
          <w:p>
            <w:pPr>
              <w:pStyle w:val="925"/>
              <w:spacing w:before="40" w:after="40"/>
              <w:tabs>
                <w:tab w:val="left" w:pos="709" w:leader="none"/>
              </w:tabs>
              <w:rPr>
                <w:b/>
                <w:bCs/>
              </w:rPr>
            </w:pPr>
            <w:r>
              <w:rPr>
                <w:b/>
                <w:bCs/>
              </w:rPr>
            </w:r>
            <w:r>
              <w:rPr>
                <w:b/>
                <w:bCs/>
              </w:rPr>
            </w:r>
            <w:r>
              <w:rPr>
                <w:b/>
                <w:bCs/>
              </w:rP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restart"/>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spacing w:before="40" w:after="40"/>
              <w:tabs>
                <w:tab w:val="left" w:pos="709" w:leader="none"/>
              </w:tabs>
            </w:pPr>
            <w:r>
              <w:t xml:space="preserve">до трех</w:t>
            </w:r>
            <w:r>
              <w:t xml:space="preserve"> календарных</w:t>
            </w:r>
            <w:r>
              <w:t xml:space="preserve"> месяцев</w:t>
            </w:r>
            <w:r/>
          </w:p>
        </w:tc>
        <w:tc>
          <w:tcPr>
            <w:tcW w:w="883" w:type="pct"/>
            <w:vAlign w:val="top"/>
            <w:textDirection w:val="lrTb"/>
            <w:noWrap w:val="false"/>
          </w:tcPr>
          <w:p>
            <w:pPr>
              <w:pStyle w:val="925"/>
              <w:spacing w:before="40" w:after="40"/>
              <w:tabs>
                <w:tab w:val="left" w:pos="709" w:leader="none"/>
              </w:tabs>
            </w:pPr>
            <w:r>
              <w:t xml:space="preserve">20 долларов США за каждый счет</w:t>
            </w: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25"/>
              <w:spacing w:before="40" w:after="40"/>
              <w:tabs>
                <w:tab w:val="left" w:pos="709" w:leader="none"/>
              </w:tabs>
            </w:pPr>
            <w:r/>
            <w:r/>
          </w:p>
        </w:tc>
        <w:tc>
          <w:tcPr>
            <w:tcW w:w="2333" w:type="pct"/>
            <w:vAlign w:val="top"/>
            <w:textDirection w:val="lrTb"/>
            <w:noWrap w:val="false"/>
          </w:tcPr>
          <w:p>
            <w:pPr>
              <w:pStyle w:val="925"/>
              <w:spacing w:before="40" w:after="40"/>
              <w:tabs>
                <w:tab w:val="left" w:pos="709" w:leader="none"/>
              </w:tabs>
            </w:pPr>
            <w:r>
              <w:t xml:space="preserve">свыше трех </w:t>
            </w:r>
            <w:r>
              <w:t xml:space="preserve">календарных </w:t>
            </w:r>
            <w:r>
              <w:t xml:space="preserve">месяцев</w:t>
            </w:r>
            <w:r/>
          </w:p>
        </w:tc>
        <w:tc>
          <w:tcPr>
            <w:tcW w:w="883" w:type="pct"/>
            <w:vAlign w:val="top"/>
            <w:textDirection w:val="lrTb"/>
            <w:noWrap w:val="false"/>
          </w:tcPr>
          <w:p>
            <w:pPr>
              <w:pStyle w:val="925"/>
              <w:spacing w:before="40" w:after="40"/>
              <w:tabs>
                <w:tab w:val="left" w:pos="709" w:leader="none"/>
              </w:tabs>
            </w:pPr>
            <w:r>
              <w:t xml:space="preserve">30 долларов США за каждый счет</w:t>
            </w:r>
            <w:r/>
          </w:p>
        </w:tc>
        <w:tc>
          <w:tcPr>
            <w:tcW w:w="1367" w:type="pct"/>
            <w:vAlign w:val="top"/>
            <w:textDirection w:val="lrTb"/>
            <w:noWrap w:val="false"/>
          </w:tcPr>
          <w:p>
            <w:pPr>
              <w:pStyle w:val="925"/>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rPr>
                <w:b/>
                <w:bCs/>
              </w:rPr>
            </w:pPr>
            <w:r>
              <w:rPr>
                <w:b/>
                <w:bCs/>
              </w:rPr>
              <w:t xml:space="preserve">2.7.</w:t>
            </w:r>
            <w:r>
              <w:rPr>
                <w:b/>
                <w:bCs/>
              </w:rPr>
            </w:r>
            <w:r>
              <w:rPr>
                <w:b/>
                <w:bCs/>
              </w:rPr>
            </w:r>
          </w:p>
        </w:tc>
        <w:tc>
          <w:tcPr>
            <w:tcW w:w="2333" w:type="pct"/>
            <w:vAlign w:val="top"/>
            <w:textDirection w:val="lrTb"/>
            <w:noWrap w:val="false"/>
          </w:tcPr>
          <w:p>
            <w:pPr>
              <w:pStyle w:val="925"/>
              <w:spacing w:before="40" w:after="40"/>
              <w:tabs>
                <w:tab w:val="left" w:pos="709" w:leader="none"/>
              </w:tabs>
              <w:rPr>
                <w:b/>
                <w:bCs/>
              </w:rPr>
            </w:pPr>
            <w:r>
              <w:rPr>
                <w:b/>
                <w:bCs/>
              </w:rPr>
              <w:t xml:space="preserve">Предоставление информации по счетам Респондента для Аудиторской компании на основании письменного запроса Респондента</w:t>
            </w:r>
            <w:r>
              <w:rPr>
                <w:b/>
                <w:bCs/>
              </w:rPr>
            </w:r>
            <w:r>
              <w:rPr>
                <w:b/>
                <w:bCs/>
              </w:rPr>
            </w:r>
          </w:p>
        </w:tc>
        <w:tc>
          <w:tcPr>
            <w:tcW w:w="883" w:type="pct"/>
            <w:vAlign w:val="top"/>
            <w:textDirection w:val="lrTb"/>
            <w:noWrap w:val="false"/>
          </w:tcPr>
          <w:p>
            <w:pPr>
              <w:pStyle w:val="925"/>
              <w:spacing w:before="40" w:after="40"/>
              <w:tabs>
                <w:tab w:val="left" w:pos="709" w:leader="none"/>
              </w:tabs>
            </w:pPr>
            <w:r>
              <w:t xml:space="preserve">60 долларов США за каждый счет </w:t>
            </w:r>
            <w:r/>
          </w:p>
        </w:tc>
        <w:tc>
          <w:tcPr>
            <w:tcW w:w="1367" w:type="pct"/>
            <w:vAlign w:val="top"/>
            <w:textDirection w:val="lrTb"/>
            <w:noWrap w:val="false"/>
          </w:tcPr>
          <w:p>
            <w:pPr>
              <w:pStyle w:val="925"/>
              <w:spacing w:before="40" w:after="40"/>
              <w:tabs>
                <w:tab w:val="left" w:pos="709" w:leader="none"/>
              </w:tabs>
              <w:rPr>
                <w:b/>
                <w:bCs/>
              </w:rPr>
            </w:pPr>
            <w:r>
              <w:rPr>
                <w:b/>
                <w:bCs/>
              </w:rPr>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25"/>
              <w:spacing w:before="40" w:after="40"/>
              <w:tabs>
                <w:tab w:val="left" w:pos="709" w:leader="none"/>
              </w:tabs>
              <w:rPr>
                <w:b/>
                <w:bCs/>
              </w:rPr>
            </w:pPr>
            <w:r>
              <w:rPr>
                <w:b/>
                <w:bCs/>
              </w:rPr>
              <w:t xml:space="preserve">2.8.</w:t>
            </w:r>
            <w:r>
              <w:rPr>
                <w:b/>
                <w:bCs/>
              </w:rPr>
            </w:r>
            <w:r>
              <w:rPr>
                <w:b/>
                <w:bCs/>
              </w:rPr>
            </w:r>
          </w:p>
        </w:tc>
        <w:tc>
          <w:tcPr>
            <w:tcW w:w="2333" w:type="pct"/>
            <w:vAlign w:val="top"/>
            <w:textDirection w:val="lrTb"/>
            <w:noWrap w:val="false"/>
          </w:tcPr>
          <w:p>
            <w:pPr>
              <w:pStyle w:val="925"/>
              <w:spacing w:before="40" w:after="40"/>
              <w:tabs>
                <w:tab w:val="left" w:pos="709" w:leader="none"/>
              </w:tabs>
              <w:rPr>
                <w:b/>
                <w:bCs/>
              </w:rPr>
            </w:pPr>
            <w:r>
              <w:rPr>
                <w:b/>
                <w:bCs/>
              </w:rPr>
              <w:t xml:space="preserve">Проведение расследований перед зачислением</w:t>
            </w:r>
            <w:r>
              <w:rPr>
                <w:b/>
                <w:bCs/>
              </w:rPr>
            </w:r>
            <w:r>
              <w:rPr>
                <w:b/>
                <w:bCs/>
              </w:rPr>
            </w:r>
          </w:p>
        </w:tc>
        <w:tc>
          <w:tcPr>
            <w:tcW w:w="883" w:type="pct"/>
            <w:vAlign w:val="top"/>
            <w:textDirection w:val="lrTb"/>
            <w:noWrap w:val="false"/>
          </w:tcPr>
          <w:p>
            <w:pPr>
              <w:pStyle w:val="925"/>
              <w:spacing w:before="40" w:after="40"/>
              <w:tabs>
                <w:tab w:val="left" w:pos="709" w:leader="none"/>
              </w:tabs>
            </w:pPr>
            <w:r>
              <w:t xml:space="preserve">25 долларов США за каждый перевод</w:t>
            </w:r>
            <w:r>
              <w:t xml:space="preserve"> на сумму свыше</w:t>
            </w:r>
            <w:r>
              <w:t xml:space="preserve"> 1000 долларов США </w:t>
            </w:r>
            <w:r/>
          </w:p>
        </w:tc>
        <w:tc>
          <w:tcPr>
            <w:tcW w:w="1367" w:type="pct"/>
            <w:vAlign w:val="top"/>
            <w:textDirection w:val="lrTb"/>
            <w:noWrap w:val="false"/>
          </w:tcPr>
          <w:p>
            <w:pPr>
              <w:pStyle w:val="925"/>
              <w:spacing w:before="40" w:after="40"/>
              <w:tabs>
                <w:tab w:val="left" w:pos="709" w:leader="none"/>
              </w:tabs>
              <w:rPr>
                <w:b/>
                <w:bCs/>
              </w:rPr>
            </w:pPr>
            <w:r>
              <w:rPr>
                <w:b/>
                <w:bCs/>
              </w:rPr>
            </w:r>
            <w:r>
              <w:rPr>
                <w:b/>
                <w:bCs/>
              </w:rPr>
            </w:r>
            <w:r>
              <w:rPr>
                <w:b/>
                <w:bCs/>
              </w:rPr>
            </w:r>
          </w:p>
        </w:tc>
      </w:tr>
    </w:tbl>
    <w:p>
      <w:pPr>
        <w:pStyle w:val="925"/>
      </w:pPr>
      <w:r/>
      <w:r/>
    </w:p>
    <w:p>
      <w:pPr>
        <w:pStyle w:val="925"/>
      </w:pPr>
      <w:r>
        <w:br w:type="page" w:clear="all"/>
      </w:r>
      <w:r/>
    </w:p>
    <w:tbl>
      <w:tblPr>
        <w:tblW w:w="10368" w:type="dxa"/>
        <w:tblInd w:w="0" w:type="dxa"/>
        <w:tblLayout w:type="fixed"/>
        <w:tblCellMar>
          <w:left w:w="108" w:type="dxa"/>
          <w:top w:w="0" w:type="dxa"/>
          <w:right w:w="108" w:type="dxa"/>
          <w:bottom w:w="0" w:type="dxa"/>
        </w:tblCellMar>
        <w:tblLook w:val="04A0" w:firstRow="1" w:lastRow="0" w:firstColumn="1" w:lastColumn="0" w:noHBand="0" w:noVBand="1"/>
      </w:tblPr>
      <w:tblGrid>
        <w:gridCol w:w="959"/>
        <w:gridCol w:w="4819"/>
        <w:gridCol w:w="1843"/>
        <w:gridCol w:w="2747"/>
      </w:tblGrid>
      <w:tr>
        <w:tblPrEx/>
        <w:trPr/>
        <w:tc>
          <w:tcPr>
            <w:gridSpan w:val="4"/>
            <w:tcBorders>
              <w:top w:val="single" w:color="000000" w:sz="4" w:space="0"/>
              <w:left w:val="single" w:color="000000" w:sz="4" w:space="0"/>
              <w:bottom w:val="single" w:color="000000" w:sz="4" w:space="0"/>
              <w:right w:val="single" w:color="000000" w:sz="4" w:space="0"/>
            </w:tcBorders>
            <w:tcW w:w="10368" w:type="dxa"/>
            <w:vAlign w:val="top"/>
            <w:textDirection w:val="lrTb"/>
            <w:noWrap w:val="false"/>
          </w:tcPr>
          <w:p>
            <w:pPr>
              <w:pStyle w:val="925"/>
              <w:jc w:val="center"/>
              <w:spacing w:before="120" w:after="120"/>
            </w:pPr>
            <w:r>
              <w:rPr>
                <w:b/>
                <w:bCs/>
                <w:sz w:val="24"/>
                <w:szCs w:val="24"/>
              </w:rPr>
              <w:t xml:space="preserve">3. </w:t>
            </w:r>
            <w:r>
              <w:rPr>
                <w:b/>
                <w:bCs/>
                <w:sz w:val="24"/>
                <w:szCs w:val="24"/>
              </w:rPr>
              <w:t xml:space="preserve">Конверсионные операции</w:t>
            </w:r>
            <w:r>
              <w:rPr>
                <w:b/>
                <w:bCs/>
                <w:sz w:val="24"/>
                <w:szCs w:val="24"/>
                <w:lang w:val="en-US"/>
              </w:rPr>
              <w:t xml:space="preserve"> (</w:t>
            </w:r>
            <w:r>
              <w:rPr>
                <w:b/>
                <w:bCs/>
                <w:sz w:val="24"/>
                <w:szCs w:val="24"/>
              </w:rPr>
              <w:t xml:space="preserve">для </w:t>
            </w:r>
            <w:r>
              <w:rPr>
                <w:b/>
                <w:bCs/>
                <w:sz w:val="24"/>
                <w:szCs w:val="24"/>
              </w:rPr>
              <w:t xml:space="preserve">р</w:t>
            </w:r>
            <w:r>
              <w:rPr>
                <w:b/>
                <w:bCs/>
                <w:sz w:val="24"/>
                <w:szCs w:val="24"/>
              </w:rPr>
              <w:t xml:space="preserve">еспондентов)</w:t>
            </w:r>
            <w:r/>
          </w:p>
        </w:tc>
      </w:tr>
      <w:tr>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925"/>
              <w:ind w:right="-18"/>
              <w:jc w:val="center"/>
              <w:spacing w:before="40" w:after="40"/>
              <w:tabs>
                <w:tab w:val="left" w:pos="4464" w:leader="none"/>
                <w:tab w:val="left" w:pos="5760" w:leader="none"/>
              </w:tabs>
              <w:rPr>
                <w:iCs/>
              </w:rPr>
            </w:pPr>
            <w:r>
              <w:rPr>
                <w:iCs/>
              </w:rPr>
              <w:t xml:space="preserve">№</w:t>
            </w:r>
            <w:r>
              <w:rPr>
                <w:iCs/>
              </w:rPr>
              <w:t xml:space="preserve"> </w:t>
            </w:r>
            <w:r>
              <w:rPr>
                <w:iCs/>
              </w:rPr>
              <w:br w:type="textWrapping" w:clear="all"/>
            </w:r>
            <w:r>
              <w:rPr>
                <w:iCs/>
              </w:rPr>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4819" w:type="dxa"/>
            <w:vAlign w:val="center"/>
            <w:textDirection w:val="lrTb"/>
            <w:noWrap w:val="false"/>
          </w:tcPr>
          <w:p>
            <w:pPr>
              <w:pStyle w:val="933"/>
              <w:ind w:left="0" w:firstLine="0"/>
              <w:spacing w:before="40" w:after="40"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28"/>
              <w:ind w:left="72" w:right="72"/>
              <w:spacing w:before="40" w:after="40"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747" w:type="dxa"/>
            <w:vAlign w:val="center"/>
            <w:textDirection w:val="lrTb"/>
            <w:noWrap w:val="false"/>
          </w:tcPr>
          <w:p>
            <w:pPr>
              <w:pStyle w:val="925"/>
              <w:ind w:left="72" w:right="-18"/>
              <w:jc w:val="center"/>
              <w:spacing w:before="40" w:after="40"/>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25"/>
              <w:jc w:val="center"/>
              <w:spacing w:before="40" w:after="40"/>
              <w:rPr>
                <w:b/>
                <w:bCs/>
              </w:rPr>
            </w:pPr>
            <w:r>
              <w:rPr>
                <w:b/>
              </w:rPr>
              <w:t xml:space="preserve">3.1.</w:t>
            </w:r>
            <w:r>
              <w:rPr>
                <w:b/>
                <w:bCs/>
              </w:rPr>
            </w:r>
            <w:r>
              <w:rPr>
                <w:b/>
                <w:bCs/>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5"/>
              <w:spacing w:before="40" w:after="40"/>
              <w:rPr>
                <w:b/>
                <w:bCs/>
              </w:rPr>
            </w:pPr>
            <w:r>
              <w:rPr>
                <w:b/>
                <w:bCs/>
              </w:rPr>
              <w:t xml:space="preserve">Покупка/продажа безналичной иностранной валюты за безналичные российские рубли </w:t>
            </w:r>
            <w:r>
              <w:rPr>
                <w:b/>
                <w:bCs/>
              </w:rPr>
            </w:r>
            <w:r>
              <w:rPr>
                <w:b/>
                <w:bCs/>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rPr>
                <w:iCs/>
              </w:rPr>
              <w:t xml:space="preserve">П</w:t>
            </w:r>
            <w:r>
              <w:rPr>
                <w:iCs/>
              </w:rPr>
              <w:t xml:space="preserve">о курсу Банка</w:t>
            </w:r>
            <w:r/>
          </w:p>
        </w:tc>
        <w:tc>
          <w:tcPr>
            <w:tcBorders>
              <w:top w:val="single" w:color="000000" w:sz="4" w:space="0"/>
              <w:left w:val="single" w:color="000000" w:sz="4" w:space="0"/>
              <w:bottom w:val="single" w:color="000000" w:sz="4" w:space="0"/>
              <w:right w:val="single" w:color="000000" w:sz="4" w:space="0"/>
            </w:tcBorders>
            <w:tcW w:w="2747" w:type="dxa"/>
            <w:vAlign w:val="top"/>
            <w:textDirection w:val="lrTb"/>
            <w:noWrap w:val="false"/>
          </w:tcPr>
          <w:p>
            <w:pPr>
              <w:pStyle w:val="925"/>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25"/>
              <w:jc w:val="center"/>
              <w:spacing w:before="40" w:after="40"/>
              <w:rPr>
                <w:b/>
              </w:rPr>
            </w:pPr>
            <w:r>
              <w:rPr>
                <w:b/>
              </w:rPr>
              <w:t xml:space="preserve">3.2.</w:t>
            </w:r>
            <w:r>
              <w:rPr>
                <w:b/>
              </w:rPr>
            </w:r>
            <w:r>
              <w:rPr>
                <w:b/>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5"/>
              <w:spacing w:before="40" w:after="40"/>
              <w:rPr>
                <w:b/>
                <w:bCs/>
              </w:rPr>
            </w:pPr>
            <w:r>
              <w:rPr>
                <w:b/>
                <w:bCs/>
              </w:rPr>
              <w:t xml:space="preserve">Продажа безналичной иностранной валюты одного иностранного государства (группы иностранных государств) за безналичную иностранную валюту другого иностранного государства (группы иностранных государств)</w:t>
            </w:r>
            <w:r>
              <w:rPr>
                <w:b/>
                <w:bCs/>
              </w:rPr>
            </w:r>
            <w:r>
              <w:rPr>
                <w:b/>
                <w:bCs/>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rPr>
                <w:iCs/>
              </w:rPr>
            </w:pPr>
            <w:r>
              <w:rPr>
                <w:iCs/>
              </w:rPr>
              <w:t xml:space="preserve">П</w:t>
            </w:r>
            <w:r>
              <w:rPr>
                <w:iCs/>
              </w:rPr>
              <w:t xml:space="preserve">о курсу Банка</w:t>
            </w:r>
            <w:r>
              <w:rPr>
                <w:iCs/>
              </w:rPr>
            </w:r>
            <w:r>
              <w:rPr>
                <w:iCs/>
              </w:rPr>
            </w:r>
          </w:p>
        </w:tc>
        <w:tc>
          <w:tcPr>
            <w:tcBorders>
              <w:top w:val="single" w:color="000000" w:sz="4" w:space="0"/>
              <w:left w:val="single" w:color="000000" w:sz="4" w:space="0"/>
              <w:bottom w:val="single" w:color="000000" w:sz="4" w:space="0"/>
              <w:right w:val="single" w:color="000000" w:sz="4" w:space="0"/>
            </w:tcBorders>
            <w:tcW w:w="2747" w:type="dxa"/>
            <w:vAlign w:val="top"/>
            <w:textDirection w:val="lrTb"/>
            <w:noWrap w:val="false"/>
          </w:tcPr>
          <w:p>
            <w:pPr>
              <w:pStyle w:val="925"/>
              <w:spacing w:before="40" w:after="40"/>
            </w:pPr>
            <w:r/>
            <w:r/>
          </w:p>
        </w:tc>
      </w:tr>
    </w:tbl>
    <w:p>
      <w:pPr>
        <w:pStyle w:val="940"/>
        <w:tabs>
          <w:tab w:val="clear" w:pos="4320" w:leader="none"/>
          <w:tab w:val="left" w:pos="5940" w:leader="none"/>
          <w:tab w:val="clear" w:pos="8640" w:leader="none"/>
        </w:tabs>
        <w:rPr>
          <w:sz w:val="24"/>
          <w:szCs w:val="24"/>
          <w:lang w:val="ru-RU"/>
        </w:rPr>
      </w:pPr>
      <w:r>
        <w:rPr>
          <w:sz w:val="24"/>
          <w:szCs w:val="24"/>
          <w:lang w:val="ru-RU"/>
        </w:rPr>
      </w:r>
      <w:r>
        <w:rPr>
          <w:sz w:val="24"/>
          <w:szCs w:val="24"/>
          <w:lang w:val="ru-RU"/>
        </w:rPr>
      </w:r>
      <w:r>
        <w:rPr>
          <w:sz w:val="24"/>
          <w:szCs w:val="24"/>
          <w:lang w:val="ru-RU"/>
        </w:rPr>
      </w:r>
    </w:p>
    <w:p>
      <w:pPr>
        <w:pStyle w:val="940"/>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r>
        <w:rPr>
          <w:sz w:val="24"/>
          <w:szCs w:val="24"/>
          <w:lang w:val="ru-RU"/>
        </w:rPr>
      </w:r>
    </w:p>
    <w:p>
      <w:pPr>
        <w:pStyle w:val="940"/>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r>
        <w:rPr>
          <w:sz w:val="24"/>
          <w:szCs w:val="24"/>
          <w:lang w:val="ru-RU"/>
        </w:rPr>
      </w:r>
    </w:p>
    <w:p>
      <w:pPr>
        <w:pStyle w:val="940"/>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r>
        <w:rPr>
          <w:sz w:val="24"/>
          <w:szCs w:val="24"/>
          <w:lang w:val="ru-RU"/>
        </w:rPr>
      </w:r>
    </w:p>
    <w:p>
      <w:pPr>
        <w:pStyle w:val="940"/>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r>
        <w:rPr>
          <w:sz w:val="24"/>
          <w:szCs w:val="24"/>
          <w:lang w:val="ru-RU"/>
        </w:rPr>
      </w:r>
    </w:p>
    <w:tbl>
      <w:tblPr>
        <w:tblW w:w="10206" w:type="dxa"/>
        <w:tblInd w:w="108" w:type="dxa"/>
        <w:tblLayout w:type="fixed"/>
        <w:tblCellMar>
          <w:left w:w="108" w:type="dxa"/>
          <w:top w:w="0" w:type="dxa"/>
          <w:right w:w="108" w:type="dxa"/>
          <w:bottom w:w="0" w:type="dxa"/>
        </w:tblCellMar>
        <w:tblLook w:val="04A0" w:firstRow="1" w:lastRow="0" w:firstColumn="1" w:lastColumn="0" w:noHBand="0" w:noVBand="1"/>
      </w:tblPr>
      <w:tblGrid>
        <w:gridCol w:w="851"/>
        <w:gridCol w:w="4678"/>
        <w:gridCol w:w="1984"/>
        <w:gridCol w:w="2693"/>
      </w:tblGrid>
      <w:tr>
        <w:tblPrEx/>
        <w:trPr/>
        <w:tc>
          <w:tcPr>
            <w:gridSpan w:val="4"/>
            <w:tcBorders>
              <w:top w:val="single" w:color="000000" w:sz="4" w:space="0"/>
              <w:left w:val="single" w:color="000000" w:sz="4" w:space="0"/>
              <w:bottom w:val="single" w:color="000000" w:sz="4" w:space="0"/>
              <w:right w:val="single" w:color="000000" w:sz="4" w:space="0"/>
            </w:tcBorders>
            <w:tcW w:w="10206" w:type="dxa"/>
            <w:vAlign w:val="top"/>
            <w:textDirection w:val="lrTb"/>
            <w:noWrap w:val="false"/>
          </w:tcPr>
          <w:p>
            <w:pPr>
              <w:pStyle w:val="925"/>
              <w:ind w:right="-17"/>
              <w:jc w:val="center"/>
              <w:spacing w:before="120" w:after="120"/>
              <w:tabs>
                <w:tab w:val="left" w:pos="4464" w:leader="none"/>
                <w:tab w:val="left" w:pos="5760" w:leader="none"/>
              </w:tabs>
              <w:rPr>
                <w:sz w:val="24"/>
                <w:szCs w:val="24"/>
              </w:rPr>
            </w:pPr>
            <w:r>
              <w:rPr>
                <w:b/>
                <w:bCs/>
                <w:sz w:val="24"/>
                <w:szCs w:val="24"/>
              </w:rPr>
              <w:t xml:space="preserve">4. Документарные аккредитивы</w:t>
            </w:r>
            <w:r>
              <w:rPr>
                <w:sz w:val="24"/>
                <w:szCs w:val="24"/>
              </w:rPr>
            </w:r>
            <w:r>
              <w:rPr>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25"/>
              <w:ind w:right="-18"/>
              <w:jc w:val="center"/>
              <w:tabs>
                <w:tab w:val="left" w:pos="4464" w:leader="none"/>
                <w:tab w:val="left" w:pos="5760" w:leader="none"/>
              </w:tabs>
              <w:rPr>
                <w:iCs/>
              </w:rPr>
            </w:pPr>
            <w:r>
              <w:rPr>
                <w:iCs/>
              </w:rPr>
              <w:t xml:space="preserve">№ </w:t>
              <w:br w:type="textWrapping" w:clear="all"/>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4678" w:type="dxa"/>
            <w:vAlign w:val="center"/>
            <w:textDirection w:val="lrTb"/>
            <w:noWrap w:val="false"/>
          </w:tcPr>
          <w:p>
            <w:pPr>
              <w:pStyle w:val="933"/>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928"/>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925"/>
              <w:ind w:left="72" w:right="-18"/>
              <w:jc w:val="center"/>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rPr>
                <w:b/>
                <w:bCs/>
              </w:rPr>
              <w:t xml:space="preserve">4.1.</w:t>
            </w: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925"/>
              <w:spacing w:before="40" w:after="40"/>
              <w:rPr>
                <w:b/>
              </w:rPr>
            </w:pPr>
            <w:r>
              <w:rPr>
                <w:b/>
                <w:bCs/>
              </w:rPr>
              <w:t xml:space="preserve">Операции по аккредитивам, открытым другими банками для расчетов по внешнеторговым сделкам </w:t>
            </w:r>
            <w:r>
              <w:rPr>
                <w:b/>
              </w:rPr>
            </w:r>
            <w:r>
              <w:rPr>
                <w:b/>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4.1.1.</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spacing w:before="40" w:after="40"/>
            </w:pPr>
            <w:r>
              <w:rPr>
                <w:bCs/>
              </w:rPr>
              <w:t xml:space="preserve">Предварительное авизование аккредитива </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after="40"/>
            </w:pPr>
            <w:r>
              <w:t xml:space="preserve">10 </w:t>
            </w:r>
            <w:r>
              <w:rPr>
                <w:lang w:val="en-US"/>
              </w:rPr>
              <w:t xml:space="preserve">0</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pPr>
            <w:r>
              <w:t xml:space="preserve">4.1.2.</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8"/>
              <w:numPr>
                <w:ilvl w:val="0"/>
                <w:numId w:val="13"/>
              </w:numPr>
              <w:ind w:left="0" w:firstLine="0"/>
              <w:jc w:val="left"/>
              <w:tabs>
                <w:tab w:val="left" w:pos="177" w:leader="none"/>
              </w:tabs>
              <w:rPr>
                <w:i w:val="0"/>
                <w:iCs w:val="0"/>
              </w:rPr>
            </w:pPr>
            <w:r>
              <w:rPr>
                <w:i w:val="0"/>
                <w:iCs w:val="0"/>
              </w:rPr>
              <w:t xml:space="preserve">Авизование аккредитива </w:t>
            </w:r>
            <w:r>
              <w:rPr>
                <w:i w:val="0"/>
                <w:iCs w:val="0"/>
              </w:rPr>
            </w:r>
            <w:r>
              <w:rPr>
                <w:i w:val="0"/>
                <w:iCs w:val="0"/>
              </w:rPr>
            </w:r>
          </w:p>
          <w:p>
            <w:pPr>
              <w:pStyle w:val="925"/>
              <w:numPr>
                <w:ilvl w:val="0"/>
                <w:numId w:val="13"/>
              </w:numPr>
              <w:ind w:left="0" w:firstLine="0"/>
              <w:tabs>
                <w:tab w:val="left" w:pos="177" w:leader="none"/>
              </w:tabs>
            </w:pPr>
            <w:r>
              <w:rPr>
                <w:bCs/>
              </w:rPr>
              <w:t xml:space="preserve">Авизование изменения условий аккредитива, связанного с увеличением суммы</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pPr>
            <w:r>
              <w:t xml:space="preserve">0,15% от суммы аккредитива </w:t>
            </w:r>
            <w:r>
              <w:rPr>
                <w:bCs/>
              </w:rPr>
              <w:t xml:space="preserve">или увеличения суммы аккредитива</w:t>
            </w:r>
            <w:r>
              <w:t xml:space="preserve">,</w:t>
            </w:r>
            <w:r/>
          </w:p>
          <w:p>
            <w:pPr>
              <w:pStyle w:val="925"/>
              <w:jc w:val="center"/>
            </w:pPr>
            <w:r>
              <w:t xml:space="preserve">мин. 1</w:t>
            </w:r>
            <w:r>
              <w:rPr>
                <w:lang w:val="en-US"/>
              </w:rPr>
              <w:t xml:space="preserve">0</w:t>
            </w:r>
            <w:r>
              <w:t xml:space="preserve"> </w:t>
            </w:r>
            <w:r>
              <w:rPr>
                <w:lang w:val="en-US"/>
              </w:rPr>
              <w:t xml:space="preserve">0</w:t>
            </w:r>
            <w:r>
              <w:t xml:space="preserve">00 руб.,</w:t>
            </w:r>
            <w:r/>
          </w:p>
          <w:p>
            <w:pPr>
              <w:pStyle w:val="925"/>
              <w:jc w:val="center"/>
              <w:rPr>
                <w:b/>
                <w:bCs/>
              </w:rPr>
            </w:pPr>
            <w:r>
              <w:t xml:space="preserve">макс. 75 000 руб.</w:t>
            </w:r>
            <w:r>
              <w:rPr>
                <w:b/>
                <w:bCs/>
              </w:rPr>
            </w:r>
            <w:r>
              <w:rPr>
                <w:b/>
                <w:bC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25"/>
              <w:jc w:val="center"/>
              <w:spacing w:before="40"/>
            </w:pPr>
            <w:r>
              <w:t xml:space="preserve">4.1.3.</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8"/>
              <w:numPr>
                <w:ilvl w:val="0"/>
                <w:numId w:val="14"/>
              </w:numPr>
              <w:ind w:left="0" w:firstLine="0"/>
              <w:jc w:val="left"/>
              <w:spacing w:before="40"/>
              <w:tabs>
                <w:tab w:val="left" w:pos="177" w:leader="none"/>
              </w:tabs>
              <w:rPr>
                <w:i w:val="0"/>
                <w:iCs w:val="0"/>
              </w:rPr>
            </w:pPr>
            <w:r>
              <w:rPr>
                <w:i w:val="0"/>
                <w:iCs w:val="0"/>
              </w:rPr>
              <w:t xml:space="preserve">Подтверждение аккредитива</w:t>
            </w:r>
            <w:r>
              <w:rPr>
                <w:i w:val="0"/>
                <w:iCs w:val="0"/>
              </w:rPr>
            </w:r>
            <w:r>
              <w:rPr>
                <w:i w:val="0"/>
                <w:iCs w:val="0"/>
              </w:rPr>
            </w:r>
          </w:p>
          <w:p>
            <w:pPr>
              <w:pStyle w:val="938"/>
              <w:numPr>
                <w:ilvl w:val="0"/>
                <w:numId w:val="14"/>
              </w:numPr>
              <w:ind w:left="0" w:firstLine="0"/>
              <w:jc w:val="left"/>
              <w:tabs>
                <w:tab w:val="left" w:pos="177" w:leader="none"/>
              </w:tabs>
              <w:rPr>
                <w:i w:val="0"/>
                <w:iCs w:val="0"/>
              </w:rPr>
            </w:pPr>
            <w:r>
              <w:rPr>
                <w:i w:val="0"/>
                <w:iCs w:val="0"/>
              </w:rPr>
              <w:t xml:space="preserve">Подтверждение изменения условий подтвержденного Банком аккредитива, связанного с увеличением суммы:</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p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iCs/>
                <w:highlight w:val="yellow"/>
              </w:rPr>
            </w:pPr>
            <w:r>
              <w:rPr>
                <w:iCs/>
                <w:highlight w:val="yellow"/>
              </w:rPr>
            </w:r>
            <w:r>
              <w:rPr>
                <w:iCs/>
                <w:highlight w:val="yellow"/>
              </w:rPr>
            </w:r>
            <w:r>
              <w:rPr>
                <w:iCs/>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25"/>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8"/>
              <w:jc w:val="left"/>
              <w:spacing w:before="40"/>
              <w:rPr>
                <w:i w:val="0"/>
                <w:iCs w:val="0"/>
              </w:rPr>
            </w:pPr>
            <w:r>
              <w:rPr>
                <w:bCs/>
                <w:i w:val="0"/>
              </w:rPr>
              <w:t xml:space="preserve">- при предоставлении банком-эмитентом 100% денежного покрытия</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41"/>
              <w:jc w:val="cente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0,80% годовых </w:t>
              <w:br w:type="textWrapping" w:clear="all"/>
              <w:t xml:space="preserve">от суммы, предъявленной к оплате по аккредитиву, и/или неиспользованного остатка средств по аккредитиву</w:t>
            </w:r>
            <w:r>
              <w:rPr>
                <w:rFonts w:ascii="Times New Roman" w:hAnsi="Times New Roman" w:cs="Times New Roman"/>
                <w:bCs/>
                <w:sz w:val="20"/>
                <w:szCs w:val="20"/>
              </w:rPr>
              <w:t xml:space="preserve">/от суммы тратты</w:t>
            </w:r>
            <w:r>
              <w:rPr>
                <w:rFonts w:ascii="Times New Roman" w:hAnsi="Times New Roman" w:cs="Times New Roman"/>
                <w:sz w:val="20"/>
                <w:szCs w:val="20"/>
              </w:rPr>
              <w:t xml:space="preserve">, </w:t>
              <w:br w:type="textWrapping" w:clear="all"/>
              <w:t xml:space="preserve">мин. 10 000 руб.</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25"/>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8"/>
              <w:jc w:val="left"/>
              <w:spacing w:before="40" w:after="40"/>
              <w:rPr>
                <w:i w:val="0"/>
                <w:iCs w:val="0"/>
              </w:rPr>
            </w:pPr>
            <w:r>
              <w:rPr>
                <w:i w:val="0"/>
              </w:rPr>
              <w:t xml:space="preserve">- при отсутствии 100% </w:t>
            </w:r>
            <w:r>
              <w:rPr>
                <w:bCs/>
                <w:i w:val="0"/>
              </w:rPr>
              <w:t xml:space="preserve">денежного покрытия </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after="40"/>
              <w:rPr>
                <w:lang w:val="en-US"/>
              </w:rPr>
            </w:pPr>
            <w:r>
              <w:t xml:space="preserve">По соглашению сторон</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iCs/>
                <w:highlight w:val="yellow"/>
              </w:rPr>
            </w:pPr>
            <w:r>
              <w:rPr>
                <w:iCs/>
                <w:highlight w:val="yellow"/>
              </w:rPr>
            </w:r>
            <w:r>
              <w:rPr>
                <w:iCs/>
                <w:highlight w:val="yellow"/>
              </w:rPr>
            </w:r>
            <w:r>
              <w:rPr>
                <w:iCs/>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4.1.4.</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numPr>
                <w:ilvl w:val="0"/>
                <w:numId w:val="14"/>
              </w:numPr>
              <w:ind w:left="0" w:hanging="40"/>
              <w:spacing w:before="40"/>
              <w:tabs>
                <w:tab w:val="left" w:pos="184" w:leader="none"/>
              </w:tabs>
              <w:rPr>
                <w:bCs/>
              </w:rPr>
            </w:pPr>
            <w:r>
              <w:rPr>
                <w:iCs/>
              </w:rPr>
              <w:t xml:space="preserve">Авизование изменения условий</w:t>
            </w:r>
            <w:r>
              <w:rPr>
                <w:bCs/>
              </w:rPr>
              <w:t xml:space="preserve"> аккредитива, не связанного с увеличением суммы </w:t>
            </w:r>
            <w:r>
              <w:rPr>
                <w:bCs/>
              </w:rPr>
            </w:r>
            <w:r>
              <w:rPr>
                <w:bCs/>
              </w:rPr>
            </w:r>
          </w:p>
          <w:p>
            <w:pPr>
              <w:pStyle w:val="925"/>
              <w:numPr>
                <w:ilvl w:val="0"/>
                <w:numId w:val="14"/>
              </w:numPr>
              <w:ind w:left="0" w:hanging="42"/>
              <w:tabs>
                <w:tab w:val="left" w:pos="0" w:leader="none"/>
                <w:tab w:val="left" w:pos="184" w:leader="none"/>
              </w:tabs>
            </w:pPr>
            <w:r>
              <w:t xml:space="preserve">Авизование запроса на аннуляцию аккредитива</w:t>
            </w:r>
            <w:r/>
          </w:p>
          <w:p>
            <w:pPr>
              <w:pStyle w:val="925"/>
              <w:numPr>
                <w:ilvl w:val="0"/>
                <w:numId w:val="14"/>
              </w:numPr>
              <w:ind w:left="0" w:hanging="40"/>
              <w:spacing w:after="40"/>
              <w:tabs>
                <w:tab w:val="left" w:pos="184" w:leader="none"/>
              </w:tabs>
              <w:rPr>
                <w:i/>
                <w:iCs/>
              </w:rPr>
            </w:pPr>
            <w:r>
              <w:rPr>
                <w:bCs/>
                <w:color w:val="000000"/>
              </w:rPr>
              <w:t xml:space="preserve">Авизование иных сообщений по аккредитиву</w:t>
            </w:r>
            <w:r>
              <w:rPr>
                <w:i/>
                <w:iCs/>
              </w:rPr>
            </w:r>
            <w:r>
              <w:rPr>
                <w:i/>
                <w:i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pPr>
            <w:r>
              <w:t xml:space="preserve">3 </w:t>
            </w:r>
            <w: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4.1.5.</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spacing w:before="40"/>
            </w:pPr>
            <w:r>
              <w:rPr>
                <w:bCs/>
              </w:rPr>
              <w:t xml:space="preserve">Обработка/проверка документов</w:t>
            </w:r>
            <w:r>
              <w:t xml:space="preserve"> </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pPr>
            <w:r>
              <w:t xml:space="preserve">0,15% от суммы, </w:t>
            </w:r>
            <w:r>
              <w:rPr>
                <w:bCs/>
              </w:rPr>
              <w:t xml:space="preserve">запрошенной к оплате</w:t>
            </w:r>
            <w:r>
              <w:t xml:space="preserve">,</w:t>
            </w:r>
            <w:r/>
          </w:p>
          <w:p>
            <w:pPr>
              <w:pStyle w:val="925"/>
              <w:jc w:val="center"/>
            </w:pPr>
            <w:r>
              <w:t xml:space="preserve">мин. 1</w:t>
            </w:r>
            <w:r>
              <w:rPr>
                <w:lang w:val="en-US"/>
              </w:rPr>
              <w:t xml:space="preserve">0</w:t>
            </w:r>
            <w:r>
              <w:t xml:space="preserve"> 000 руб.,</w:t>
            </w:r>
            <w:r/>
          </w:p>
          <w:p>
            <w:pPr>
              <w:pStyle w:val="925"/>
              <w:jc w:val="center"/>
            </w:pPr>
            <w:r>
              <w:t xml:space="preserve">макс. 3</w:t>
            </w:r>
            <w:r>
              <w:rPr>
                <w:lang w:val="en-US"/>
              </w:rPr>
              <w:t xml:space="preserve">5</w:t>
            </w:r>
            <w:r>
              <w:t xml:space="preserve">0 000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rPr>
                <w:bCs/>
              </w:rPr>
            </w:pPr>
            <w:r>
              <w:rPr>
                <w:bCs/>
              </w:rPr>
              <w:t xml:space="preserve">Комиссия взимается</w:t>
            </w:r>
            <w:r>
              <w:rPr>
                <w:bCs/>
              </w:rPr>
              <w:t xml:space="preserve"> за обработку/проверку каждого </w:t>
            </w:r>
            <w:r>
              <w:rPr>
                <w:bCs/>
              </w:rPr>
              <w:t xml:space="preserve">представления документов (в т.ч. если документы не приняты к оплате), исходя из суммы, запрошенной к оплате в рамках аккредитива</w:t>
            </w:r>
            <w:r>
              <w:rPr>
                <w:bCs/>
              </w:rPr>
            </w:r>
            <w:r>
              <w:rPr>
                <w:bCs/>
              </w:rPr>
            </w:r>
          </w:p>
          <w:p>
            <w:pPr>
              <w:pStyle w:val="925"/>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4.1.6.</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2"/>
              <w:ind w:left="0"/>
              <w:spacing w:before="40" w:after="40"/>
              <w:rPr>
                <w:b w:val="0"/>
                <w:bCs w:val="0"/>
              </w:rPr>
            </w:pPr>
            <w:r>
              <w:rPr>
                <w:b w:val="0"/>
                <w:bCs w:val="0"/>
              </w:rPr>
              <w:t xml:space="preserve">Комиссия за </w:t>
            </w:r>
            <w:r>
              <w:rPr>
                <w:b w:val="0"/>
              </w:rPr>
              <w:t xml:space="preserve">предоставление </w:t>
            </w:r>
            <w:r>
              <w:rPr>
                <w:b w:val="0"/>
                <w:bCs w:val="0"/>
              </w:rPr>
              <w:t xml:space="preserve">отсрочки </w:t>
            </w:r>
            <w:r>
              <w:rPr>
                <w:b w:val="0"/>
              </w:rPr>
              <w:t xml:space="preserve">возмещения</w:t>
            </w:r>
            <w:r>
              <w:rPr>
                <w:b w:val="0"/>
                <w:bCs w:val="0"/>
              </w:rPr>
              <w:t xml:space="preserve"> платежа, совершенного по аккредитиву (в случае исполнения подтвержденного аккредитива и предоставления финансирования Банком)</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4.1.7.</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2"/>
              <w:ind w:left="0"/>
              <w:spacing w:before="40" w:after="40"/>
              <w:rPr>
                <w:b w:val="0"/>
                <w:bCs w:val="0"/>
              </w:rPr>
            </w:pPr>
            <w:r>
              <w:rPr>
                <w:b w:val="0"/>
                <w:bCs w:val="0"/>
              </w:rPr>
              <w:t xml:space="preserve">Запрос по аккредитиву по инициативе клиента/банка-контрагента</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after="40"/>
            </w:pPr>
            <w:r>
              <w:t xml:space="preserve">2 500 руб. </w:t>
              <w:br w:type="textWrapping" w:clear="all"/>
            </w:r>
            <w:r>
              <w:rPr>
                <w:bCs/>
              </w:rPr>
              <w:t xml:space="preserve">за каждый запрос </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rPr>
                <w:iCs/>
                <w:strike/>
                <w:color w:val="ffffff"/>
              </w:rPr>
            </w:pPr>
            <w:r>
              <w:rPr>
                <w:iCs/>
                <w:strike/>
                <w:color w:val="ffffff"/>
              </w:rPr>
            </w:r>
            <w:r>
              <w:rPr>
                <w:iCs/>
                <w:strike/>
                <w:color w:val="ffffff"/>
              </w:rPr>
            </w:r>
            <w:r>
              <w:rPr>
                <w:iCs/>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rPr>
                <w:lang w:val="en-US"/>
              </w:rPr>
              <w:t xml:space="preserve">4</w:t>
            </w:r>
            <w:r>
              <w:t xml:space="preserve">.1.8.</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2"/>
              <w:ind w:left="0"/>
              <w:spacing w:before="40" w:after="40"/>
              <w:rPr>
                <w:b w:val="0"/>
                <w:bCs w:val="0"/>
              </w:rPr>
            </w:pPr>
            <w:r>
              <w:rPr>
                <w:b w:val="0"/>
                <w:bCs w:val="0"/>
              </w:rPr>
              <w:t xml:space="preserve">Проверка правильности телексных ключей</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after="40"/>
            </w:pPr>
            <w:r>
              <w:t xml:space="preserve">4 000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rPr>
                <w:iCs/>
                <w:strike/>
                <w:color w:val="ffffff"/>
              </w:rPr>
            </w:pPr>
            <w:r>
              <w:rPr>
                <w:bCs/>
              </w:rPr>
              <w:t xml:space="preserve">Комиссия включает НДС</w:t>
            </w:r>
            <w:r>
              <w:rPr>
                <w:iCs/>
                <w:strike/>
                <w:color w:val="ffffff"/>
              </w:rPr>
            </w:r>
            <w:r>
              <w:rPr>
                <w:iCs/>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25"/>
              <w:jc w:val="center"/>
              <w:spacing w:before="40" w:after="40"/>
              <w:rPr>
                <w:bCs/>
              </w:rPr>
            </w:pPr>
            <w:r>
              <w:rPr>
                <w:lang w:val="en-US"/>
              </w:rPr>
              <w:t xml:space="preserve">4</w:t>
            </w:r>
            <w:r>
              <w:t xml:space="preserve">.1.9.</w:t>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53"/>
              <w:numPr>
                <w:ilvl w:val="0"/>
                <w:numId w:val="15"/>
              </w:numPr>
              <w:ind w:left="0" w:firstLine="0"/>
              <w:spacing w:before="40"/>
              <w:tabs>
                <w:tab w:val="left" w:pos="177" w:leader="none"/>
              </w:tabs>
              <w:rPr>
                <w:sz w:val="20"/>
                <w:szCs w:val="20"/>
              </w:rPr>
            </w:pPr>
            <w:r>
              <w:rPr>
                <w:sz w:val="20"/>
                <w:szCs w:val="20"/>
              </w:rPr>
              <w:t xml:space="preserve">Выпуск рамбурсного обязательства</w:t>
            </w:r>
            <w:r>
              <w:rPr>
                <w:sz w:val="20"/>
                <w:szCs w:val="20"/>
              </w:rPr>
            </w:r>
            <w:r>
              <w:rPr>
                <w:sz w:val="20"/>
                <w:szCs w:val="20"/>
              </w:rPr>
            </w:r>
          </w:p>
          <w:p>
            <w:pPr>
              <w:pStyle w:val="925"/>
              <w:numPr>
                <w:ilvl w:val="0"/>
                <w:numId w:val="15"/>
              </w:numPr>
              <w:ind w:left="0" w:firstLine="0"/>
              <w:spacing w:after="40"/>
              <w:tabs>
                <w:tab w:val="left" w:pos="184" w:leader="none"/>
              </w:tabs>
              <w:rPr>
                <w:rFonts w:eastAsia="Arial Unicode MS"/>
                <w:bCs/>
              </w:rPr>
            </w:pPr>
            <w:r>
              <w:t xml:space="preserve">Внесение изменений в условия рамбурсного обязательства, связанное с увеличением суммы: </w:t>
            </w:r>
            <w:r>
              <w:rPr>
                <w:rFonts w:eastAsia="Arial Unicode MS"/>
                <w:bCs/>
              </w:rPr>
            </w:r>
            <w:r>
              <w:rPr>
                <w:rFonts w:eastAsia="Arial Unicode MS"/>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53"/>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53"/>
              <w:jc w:val="both"/>
              <w:rPr>
                <w:sz w:val="20"/>
                <w:szCs w:val="20"/>
              </w:rPr>
            </w:pPr>
            <w:r>
              <w:rPr>
                <w:sz w:val="20"/>
                <w:szCs w:val="20"/>
              </w:rPr>
            </w:r>
            <w:r>
              <w:rPr>
                <w:sz w:val="20"/>
                <w:szCs w:val="20"/>
              </w:rPr>
            </w:r>
            <w:r>
              <w:rPr>
                <w:sz w:val="20"/>
                <w:szCs w:val="20"/>
              </w:rPr>
            </w:r>
          </w:p>
          <w:p>
            <w:pPr>
              <w:pStyle w:val="925"/>
              <w:jc w:val="both"/>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25"/>
              <w:spacing w:before="40" w:after="4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53"/>
              <w:spacing w:before="40" w:after="40"/>
              <w:tabs>
                <w:tab w:val="left" w:pos="177" w:leader="none"/>
              </w:tabs>
              <w:rPr>
                <w:sz w:val="20"/>
                <w:szCs w:val="20"/>
              </w:rPr>
            </w:pPr>
            <w:r>
              <w:rPr>
                <w:bCs/>
                <w:sz w:val="20"/>
                <w:szCs w:val="20"/>
              </w:rPr>
              <w:t xml:space="preserve">- 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53"/>
              <w:jc w:val="center"/>
              <w:spacing w:before="40" w:after="40"/>
              <w:rPr>
                <w:sz w:val="20"/>
                <w:szCs w:val="20"/>
              </w:rPr>
            </w:pPr>
            <w:r>
              <w:rPr>
                <w:sz w:val="20"/>
                <w:szCs w:val="20"/>
              </w:rPr>
              <w:t xml:space="preserve">0,60% годовых от суммы рамбурсного требования и/или неиспользованного остатка по рамбурсному обязательству, </w:t>
            </w:r>
            <w:r>
              <w:rPr>
                <w:sz w:val="20"/>
                <w:szCs w:val="20"/>
              </w:rPr>
              <w:br w:type="textWrapping" w:clear="all"/>
            </w:r>
            <w:r>
              <w:rPr>
                <w:sz w:val="20"/>
                <w:szCs w:val="20"/>
              </w:rPr>
              <w:t xml:space="preserve">мин. 10 000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53"/>
              <w:jc w:val="center"/>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25"/>
              <w:spacing w:before="40" w:after="4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53"/>
              <w:spacing w:before="40" w:after="40"/>
              <w:tabs>
                <w:tab w:val="left" w:pos="177" w:leader="none"/>
              </w:tabs>
              <w:rPr>
                <w:sz w:val="20"/>
                <w:szCs w:val="20"/>
              </w:rPr>
            </w:pPr>
            <w:r>
              <w:rPr>
                <w:bCs/>
                <w:sz w:val="20"/>
                <w:szCs w:val="20"/>
              </w:rPr>
              <w:t xml:space="preserve">- 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53"/>
              <w:jc w:val="center"/>
              <w:spacing w:before="40" w:after="40"/>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53"/>
              <w:jc w:val="both"/>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rPr>
                <w:bCs/>
              </w:rPr>
            </w:pPr>
            <w:r>
              <w:t xml:space="preserve">4</w:t>
            </w:r>
            <w:r>
              <w:t xml:space="preserve">.1.10.</w:t>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numPr>
                <w:ilvl w:val="0"/>
                <w:numId w:val="16"/>
              </w:numPr>
              <w:ind w:left="0" w:firstLine="0"/>
              <w:spacing w:before="40"/>
              <w:tabs>
                <w:tab w:val="left" w:pos="177" w:leader="none"/>
              </w:tabs>
              <w:rPr>
                <w:bCs/>
              </w:rPr>
            </w:pPr>
            <w:r>
              <w:rPr>
                <w:bCs/>
              </w:rPr>
              <w:t xml:space="preserve">Изменение условий рамбурсного обязательства, не связанное с увеличением суммы</w:t>
            </w:r>
            <w:r>
              <w:rPr>
                <w:bCs/>
              </w:rPr>
            </w:r>
            <w:r>
              <w:rPr>
                <w:bCs/>
              </w:rPr>
            </w:r>
          </w:p>
          <w:p>
            <w:pPr>
              <w:pStyle w:val="926"/>
              <w:numPr>
                <w:ilvl w:val="0"/>
                <w:numId w:val="16"/>
              </w:numPr>
              <w:ind w:left="0" w:firstLine="0"/>
              <w:jc w:val="left"/>
              <w:spacing w:after="40"/>
              <w:tabs>
                <w:tab w:val="left" w:pos="177" w:leader="none"/>
              </w:tabs>
              <w:rPr>
                <w:b w:val="0"/>
                <w:sz w:val="20"/>
                <w:szCs w:val="20"/>
              </w:rPr>
            </w:pPr>
            <w:r>
              <w:rPr>
                <w:b w:val="0"/>
                <w:sz w:val="20"/>
                <w:szCs w:val="20"/>
              </w:rPr>
              <w:t xml:space="preserve">Запрос на аннуляцию рамбурсного обязательства</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after="40"/>
              <w:rPr>
                <w:iCs/>
              </w:rPr>
            </w:pPr>
            <w:r>
              <w:rPr>
                <w:bCs/>
              </w:rPr>
              <w:t xml:space="preserve">1</w:t>
            </w:r>
            <w:r>
              <w:rPr>
                <w:bCs/>
                <w:lang w:val="en-US"/>
              </w:rPr>
              <w:t xml:space="preserve">0 0</w:t>
            </w:r>
            <w:r>
              <w:rPr>
                <w:bCs/>
              </w:rPr>
              <w:t xml:space="preserve">00 руб.</w:t>
            </w:r>
            <w:r>
              <w:rPr>
                <w:iCs/>
              </w:rPr>
            </w:r>
            <w:r>
              <w:rPr>
                <w:iC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rPr>
                <w:bCs/>
              </w:rPr>
            </w:pPr>
            <w:r>
              <w:rPr>
                <w:lang w:val="en-US"/>
              </w:rPr>
              <w:t xml:space="preserve">4</w:t>
            </w:r>
            <w:r>
              <w:t xml:space="preserve">.1.11.</w:t>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6"/>
              <w:jc w:val="left"/>
              <w:spacing w:before="40" w:after="40"/>
              <w:rPr>
                <w:b w:val="0"/>
                <w:sz w:val="20"/>
                <w:szCs w:val="20"/>
              </w:rPr>
            </w:pPr>
            <w:r>
              <w:rPr>
                <w:b w:val="0"/>
                <w:sz w:val="20"/>
                <w:szCs w:val="20"/>
              </w:rPr>
              <w:t xml:space="preserve">Платеж по рамбурсному требованию</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after="40"/>
              <w:rPr>
                <w:iCs/>
              </w:rPr>
            </w:pPr>
            <w:r>
              <w:rPr>
                <w:bCs/>
              </w:rPr>
              <w:t xml:space="preserve">3 </w:t>
            </w:r>
            <w:r>
              <w:rPr>
                <w:bCs/>
                <w:lang w:val="en-US"/>
              </w:rPr>
              <w:t xml:space="preserve">5</w:t>
            </w:r>
            <w:r>
              <w:rPr>
                <w:bCs/>
              </w:rPr>
              <w:t xml:space="preserve">00 руб.</w:t>
            </w:r>
            <w:r>
              <w:rPr>
                <w:iCs/>
              </w:rPr>
            </w:r>
            <w:r>
              <w:rPr>
                <w:iC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rPr>
                <w:b/>
              </w:rPr>
            </w:pPr>
            <w:r>
              <w:rPr>
                <w:b/>
                <w:bCs/>
              </w:rPr>
              <w:t xml:space="preserve">4.2.</w:t>
            </w:r>
            <w:r>
              <w:rPr>
                <w:b/>
              </w:rPr>
            </w:r>
            <w:r>
              <w:rPr>
                <w:b/>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925"/>
              <w:spacing w:before="40" w:after="40"/>
              <w:rPr>
                <w:b/>
              </w:rPr>
            </w:pPr>
            <w:r>
              <w:rPr>
                <w:b/>
              </w:rPr>
              <w:t xml:space="preserve">Операции по аккредитивам, открытым АО «Россельхозбанк» по запросам банков-контрагентов для расчетов по внешнеторговым сделкам:</w:t>
            </w:r>
            <w:r>
              <w:rPr>
                <w:b/>
              </w:rPr>
            </w:r>
            <w:r>
              <w:rPr>
                <w:b/>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25"/>
              <w:jc w:val="center"/>
            </w:pPr>
            <w:r>
              <w:t xml:space="preserve">4.2.1.</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numPr>
                <w:ilvl w:val="0"/>
                <w:numId w:val="17"/>
              </w:numPr>
              <w:ind w:left="0" w:firstLine="35"/>
              <w:tabs>
                <w:tab w:val="left" w:pos="177" w:leader="none"/>
              </w:tabs>
              <w:rPr>
                <w:iCs/>
              </w:rPr>
            </w:pPr>
            <w:r>
              <w:rPr>
                <w:iCs/>
              </w:rPr>
              <w:t xml:space="preserve">Открытие аккредитива</w:t>
            </w:r>
            <w:r>
              <w:rPr>
                <w:iCs/>
              </w:rPr>
            </w:r>
            <w:r>
              <w:rPr>
                <w:iCs/>
              </w:rPr>
            </w:r>
          </w:p>
          <w:p>
            <w:pPr>
              <w:pStyle w:val="925"/>
              <w:numPr>
                <w:ilvl w:val="0"/>
                <w:numId w:val="17"/>
              </w:numPr>
              <w:ind w:left="0" w:firstLine="35"/>
              <w:tabs>
                <w:tab w:val="left" w:pos="177" w:leader="none"/>
              </w:tabs>
              <w:rPr>
                <w:iCs/>
              </w:rPr>
            </w:pPr>
            <w:r>
              <w:rPr>
                <w:iCs/>
              </w:rPr>
              <w:t xml:space="preserve">Увеличение суммы</w:t>
            </w:r>
            <w:r>
              <w:rPr>
                <w:iCs/>
              </w:rPr>
            </w:r>
            <w:r>
              <w:rPr>
                <w:iCs/>
              </w:rPr>
            </w:r>
          </w:p>
          <w:p>
            <w:pPr>
              <w:pStyle w:val="925"/>
              <w:numPr>
                <w:ilvl w:val="0"/>
                <w:numId w:val="17"/>
              </w:numPr>
              <w:ind w:left="0" w:firstLine="35"/>
              <w:tabs>
                <w:tab w:val="left" w:pos="177" w:leader="none"/>
              </w:tabs>
            </w:pPr>
            <w:r>
              <w:rPr>
                <w:bCs/>
                <w:color w:val="000000"/>
              </w:rPr>
              <w:t xml:space="preserve">Продление срока действия аккредитива на срок, выходящий за пределы периода, комиссия за который оплачена ранее:</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rPr>
                <w:iCs/>
              </w:rPr>
            </w:pPr>
            <w:r>
              <w:rPr>
                <w:iCs/>
              </w:rPr>
            </w:r>
            <w:r>
              <w:rPr>
                <w:iCs/>
              </w:rPr>
            </w:r>
            <w:r>
              <w:rPr>
                <w:iC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25"/>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8"/>
              <w:jc w:val="left"/>
              <w:tabs>
                <w:tab w:val="left" w:pos="432" w:leader="none"/>
              </w:tabs>
              <w:rPr>
                <w:i w:val="0"/>
                <w:iCs w:val="0"/>
              </w:rPr>
            </w:pPr>
            <w:r>
              <w:rPr>
                <w:i w:val="0"/>
                <w:iCs w:val="0"/>
              </w:rPr>
              <w:t xml:space="preserve">- при наличии 100% </w:t>
            </w:r>
            <w:r>
              <w:rPr>
                <w:bCs/>
                <w:i w:val="0"/>
              </w:rPr>
              <w:t xml:space="preserve">денежного покрытия </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41"/>
              <w:jc w:val="center"/>
              <w:spacing w:line="240" w:lineRule="auto"/>
              <w:rPr>
                <w:sz w:val="20"/>
                <w:szCs w:val="20"/>
              </w:rPr>
            </w:pPr>
            <w:r>
              <w:rPr>
                <w:sz w:val="20"/>
                <w:szCs w:val="20"/>
              </w:rPr>
              <w:t xml:space="preserve">0,60% годовых </w:t>
            </w:r>
            <w:r>
              <w:rPr>
                <w:sz w:val="20"/>
                <w:szCs w:val="20"/>
              </w:rPr>
              <w:br w:type="textWrapping" w:clear="all"/>
            </w:r>
            <w:r>
              <w:rPr>
                <w:sz w:val="20"/>
                <w:szCs w:val="20"/>
              </w:rPr>
              <w:t xml:space="preserve">от суммы, </w:t>
            </w:r>
            <w:r>
              <w:rPr>
                <w:rFonts w:ascii="Times New Roman" w:hAnsi="Times New Roman" w:cs="Times New Roman"/>
                <w:sz w:val="20"/>
                <w:szCs w:val="20"/>
              </w:rPr>
              <w:t xml:space="preserve">предъявленной к оплате по</w:t>
            </w:r>
            <w:r>
              <w:rPr>
                <w:sz w:val="20"/>
                <w:szCs w:val="20"/>
              </w:rPr>
              <w:t xml:space="preserve"> аккредитиву,</w:t>
            </w:r>
            <w:r>
              <w:rPr>
                <w:bCs/>
                <w:sz w:val="20"/>
                <w:szCs w:val="20"/>
              </w:rPr>
              <w:t xml:space="preserve"> и/или неиспользованного остатка средств по аккредитиву</w:t>
            </w:r>
            <w:r>
              <w:rPr>
                <w:sz w:val="20"/>
                <w:szCs w:val="20"/>
              </w:rPr>
              <w:t xml:space="preserve">, </w:t>
              <w:br w:type="textWrapping" w:clear="all"/>
              <w:t xml:space="preserve">мин.</w:t>
            </w:r>
            <w:r>
              <w:rPr>
                <w:sz w:val="20"/>
                <w:szCs w:val="20"/>
              </w:rPr>
              <w:t xml:space="preserve"> </w:t>
            </w:r>
            <w:r>
              <w:rPr>
                <w:sz w:val="20"/>
                <w:szCs w:val="20"/>
              </w:rPr>
              <w:t xml:space="preserve">10 000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25"/>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spacing w:before="40" w:after="40"/>
              <w:tabs>
                <w:tab w:val="left" w:pos="432" w:leader="none"/>
              </w:tabs>
              <w:rPr>
                <w:bCs/>
              </w:rPr>
            </w:pPr>
            <w:r>
              <w:rPr>
                <w:bCs/>
              </w:rPr>
              <w:t xml:space="preserve">- при отсутствии 100% денежного покрытия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4.2.2.</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numPr>
                <w:ilvl w:val="0"/>
                <w:numId w:val="18"/>
              </w:numPr>
              <w:ind w:left="0" w:firstLine="0"/>
              <w:spacing w:before="40" w:after="40"/>
              <w:tabs>
                <w:tab w:val="left" w:pos="184" w:leader="none"/>
              </w:tabs>
              <w:rPr>
                <w:bCs/>
              </w:rPr>
            </w:pPr>
            <w:r>
              <w:rPr>
                <w:iCs/>
              </w:rPr>
              <w:t xml:space="preserve">Внесение изменений в условия </w:t>
            </w:r>
            <w:r>
              <w:rPr>
                <w:bCs/>
              </w:rPr>
              <w:t xml:space="preserve">открытого Банком аккредитива, не связанных с увеличением суммы</w:t>
            </w:r>
            <w:r>
              <w:rPr>
                <w:bCs/>
              </w:rPr>
            </w:r>
            <w:r>
              <w:rPr>
                <w:bCs/>
              </w:rPr>
            </w:r>
          </w:p>
          <w:p>
            <w:pPr>
              <w:pStyle w:val="925"/>
              <w:numPr>
                <w:ilvl w:val="0"/>
                <w:numId w:val="19"/>
              </w:numPr>
              <w:ind w:left="0" w:firstLine="0"/>
              <w:spacing w:before="40" w:after="40"/>
              <w:tabs>
                <w:tab w:val="left" w:pos="177" w:leader="none"/>
              </w:tabs>
              <w:rPr>
                <w:bCs/>
              </w:rPr>
            </w:pPr>
            <w:r>
              <w:rPr>
                <w:bCs/>
              </w:rPr>
              <w:t xml:space="preserve">Запрос согласия на аннуляцию аккредитива</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after="40"/>
            </w:pPr>
            <w:r>
              <w:t xml:space="preserve">3 </w:t>
            </w:r>
            <w:r>
              <w:rPr>
                <w:lang w:val="en-US"/>
              </w:rP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pPr>
            <w:r>
              <w:t xml:space="preserve">4.2.3.</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rPr>
                <w:bCs/>
              </w:rPr>
            </w:pPr>
            <w:r>
              <w:rPr>
                <w:bCs/>
              </w:rPr>
              <w:t xml:space="preserve">Обработка/проверка документов</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pPr>
            <w:r>
              <w:t xml:space="preserve">0,15% от суммы, </w:t>
            </w:r>
            <w:r>
              <w:rPr>
                <w:bCs/>
              </w:rPr>
              <w:t xml:space="preserve">запрошенной к оплате</w:t>
            </w:r>
            <w:r>
              <w:t xml:space="preserve">,</w:t>
            </w:r>
            <w:r/>
          </w:p>
          <w:p>
            <w:pPr>
              <w:pStyle w:val="925"/>
              <w:jc w:val="center"/>
            </w:pPr>
            <w:r>
              <w:t xml:space="preserve">мин. 10 </w:t>
            </w:r>
            <w:r>
              <w:rPr>
                <w:lang w:val="en-US"/>
              </w:rPr>
              <w:t xml:space="preserve">0</w:t>
            </w:r>
            <w:r>
              <w:t xml:space="preserve">00 руб., макс. 350 000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120" w:after="120"/>
              <w:rPr>
                <w:iCs/>
              </w:rPr>
            </w:pPr>
            <w:r>
              <w:rPr>
                <w:bCs/>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4.2.4.</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32"/>
              <w:ind w:left="0"/>
              <w:spacing w:before="40" w:after="40"/>
              <w:rPr>
                <w:b w:val="0"/>
                <w:bCs w:val="0"/>
              </w:rPr>
            </w:pPr>
            <w:r>
              <w:rPr>
                <w:b w:val="0"/>
                <w:bCs w:val="0"/>
              </w:rPr>
              <w:t xml:space="preserve">Запрос по аккредитиву или рамбурсному обязательству по инициативе клиента/банка-контрагента</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after="40"/>
            </w:pPr>
            <w:r>
              <w:t xml:space="preserve">2 500 руб. </w:t>
            </w:r>
            <w:r>
              <w:rPr>
                <w:bCs/>
              </w:rPr>
              <w:t xml:space="preserve">за каждый запрос </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120" w:after="120"/>
            </w:pPr>
            <w:r>
              <w:t xml:space="preserve">4.2.5.</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spacing w:before="120" w:after="120"/>
            </w:pPr>
            <w:r>
              <w:rPr>
                <w:bCs/>
              </w:rPr>
              <w:t xml:space="preserve">Проверка правильности телексных ключей</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120" w:after="120"/>
            </w:pPr>
            <w:r>
              <w:t xml:space="preserve">4 000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120" w:after="120"/>
              <w:rPr>
                <w:strike/>
                <w:color w:val="ffffff"/>
              </w:rPr>
            </w:pPr>
            <w:r>
              <w:rPr>
                <w:bCs/>
              </w:rPr>
              <w:t xml:space="preserve">Комиссия включает НДС</w:t>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pPr>
            <w:r>
              <w:t xml:space="preserve">4.2.6.</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numPr>
                <w:ilvl w:val="0"/>
                <w:numId w:val="19"/>
              </w:numPr>
              <w:ind w:left="0" w:firstLine="0"/>
              <w:tabs>
                <w:tab w:val="left" w:pos="177" w:leader="none"/>
              </w:tabs>
              <w:rPr>
                <w:bCs/>
              </w:rPr>
            </w:pPr>
            <w:r>
              <w:rPr>
                <w:bCs/>
              </w:rPr>
              <w:t xml:space="preserve">Перевод аккредитива в пользу другого бенефициара (трансферация второму бенефициару)</w:t>
            </w:r>
            <w:r>
              <w:rPr>
                <w:bCs/>
              </w:rPr>
            </w:r>
            <w:r>
              <w:rPr>
                <w:bCs/>
              </w:rPr>
            </w:r>
          </w:p>
          <w:p>
            <w:pPr>
              <w:pStyle w:val="932"/>
              <w:numPr>
                <w:ilvl w:val="0"/>
                <w:numId w:val="19"/>
              </w:numPr>
              <w:ind w:left="0" w:firstLine="0"/>
              <w:tabs>
                <w:tab w:val="left" w:pos="177" w:leader="none"/>
              </w:tabs>
              <w:rPr>
                <w:b w:val="0"/>
                <w:bCs w:val="0"/>
              </w:rPr>
            </w:pPr>
            <w:r>
              <w:rPr>
                <w:b w:val="0"/>
                <w:bCs w:val="0"/>
              </w:rPr>
              <w:t xml:space="preserve">Внесение изменений в условия трансферированного аккредитива, связанных с увеличением суммы</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spacing w:before="40"/>
              <w:rPr>
                <w:bCs/>
              </w:rPr>
            </w:pPr>
            <w:r>
              <w:rPr>
                <w:bCs/>
              </w:rPr>
              <w:t xml:space="preserve">0,15% от трансферированной суммы либо ее увеличения</w:t>
            </w:r>
            <w:r>
              <w:rPr>
                <w:bCs/>
              </w:rPr>
            </w:r>
            <w:r>
              <w:rPr>
                <w:bCs/>
              </w:rPr>
            </w:r>
          </w:p>
          <w:p>
            <w:pPr>
              <w:pStyle w:val="925"/>
              <w:jc w:val="center"/>
              <w:rPr>
                <w:bCs/>
              </w:rPr>
            </w:pPr>
            <w:r>
              <w:rPr>
                <w:bCs/>
              </w:rPr>
              <w:t xml:space="preserve">мин. 1</w:t>
            </w:r>
            <w:r>
              <w:rPr>
                <w:bCs/>
                <w:lang w:val="en-US"/>
              </w:rPr>
              <w:t xml:space="preserve">0</w:t>
            </w:r>
            <w:r>
              <w:rPr>
                <w:bCs/>
              </w:rPr>
              <w:t xml:space="preserve"> </w:t>
            </w:r>
            <w:r>
              <w:rPr>
                <w:bCs/>
                <w:lang w:val="en-US"/>
              </w:rPr>
              <w:t xml:space="preserve">0</w:t>
            </w:r>
            <w:r>
              <w:rPr>
                <w:bCs/>
              </w:rPr>
              <w:t xml:space="preserve">00 руб.,</w:t>
            </w:r>
            <w:r>
              <w:rPr>
                <w:bCs/>
              </w:rPr>
            </w:r>
            <w:r>
              <w:rPr>
                <w:bCs/>
              </w:rPr>
            </w:r>
          </w:p>
          <w:p>
            <w:pPr>
              <w:pStyle w:val="932"/>
              <w:ind w:left="0"/>
              <w:jc w:val="center"/>
              <w:spacing w:after="40"/>
              <w:rPr>
                <w:b w:val="0"/>
                <w:bCs w:val="0"/>
              </w:rPr>
            </w:pPr>
            <w:r>
              <w:rPr>
                <w:b w:val="0"/>
                <w:bCs w:val="0"/>
              </w:rPr>
              <w:t xml:space="preserve">макс. 1</w:t>
            </w:r>
            <w:r>
              <w:rPr>
                <w:b w:val="0"/>
                <w:bCs w:val="0"/>
                <w:lang w:val="en-US"/>
              </w:rPr>
              <w:t xml:space="preserve">00</w:t>
            </w:r>
            <w:r>
              <w:rPr>
                <w:b w:val="0"/>
                <w:bCs w:val="0"/>
              </w:rPr>
              <w:t xml:space="preserve"> 000 руб.</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pPr>
            <w:r>
              <w:t xml:space="preserve">4.2.7.</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numPr>
                <w:ilvl w:val="0"/>
                <w:numId w:val="19"/>
              </w:numPr>
              <w:ind w:left="0" w:firstLine="0"/>
              <w:tabs>
                <w:tab w:val="left" w:pos="177" w:leader="none"/>
              </w:tabs>
              <w:rPr>
                <w:bCs/>
              </w:rPr>
            </w:pPr>
            <w:r>
              <w:rPr>
                <w:bCs/>
              </w:rPr>
              <w:t xml:space="preserve">Внесение изменений в условия трансферированного аккредитива, не связанных с увеличением суммы</w:t>
            </w:r>
            <w:r>
              <w:rPr>
                <w:bCs/>
              </w:rPr>
            </w:r>
            <w:r>
              <w:rPr>
                <w:bCs/>
              </w:rPr>
            </w:r>
          </w:p>
          <w:p>
            <w:pPr>
              <w:pStyle w:val="932"/>
              <w:numPr>
                <w:ilvl w:val="0"/>
                <w:numId w:val="19"/>
              </w:numPr>
              <w:ind w:left="0" w:firstLine="0"/>
              <w:tabs>
                <w:tab w:val="left" w:pos="177" w:leader="none"/>
              </w:tabs>
              <w:rPr>
                <w:b w:val="0"/>
                <w:bCs w:val="0"/>
              </w:rPr>
            </w:pPr>
            <w:r>
              <w:rPr>
                <w:b w:val="0"/>
                <w:bCs w:val="0"/>
              </w:rPr>
              <w:t xml:space="preserve">Запрос согласия на аннуляцию трансферированного аккредитива</w:t>
            </w:r>
            <w:r>
              <w:rPr>
                <w:b w:val="0"/>
                <w:bCs w:val="0"/>
              </w:rPr>
            </w:r>
            <w:r>
              <w:rPr>
                <w:b w:val="0"/>
                <w:bCs w:val="0"/>
              </w:rPr>
            </w:r>
          </w:p>
          <w:p>
            <w:pPr>
              <w:pStyle w:val="925"/>
              <w:numPr>
                <w:ilvl w:val="0"/>
                <w:numId w:val="19"/>
              </w:numPr>
              <w:ind w:left="0" w:firstLine="0"/>
              <w:tabs>
                <w:tab w:val="left" w:pos="177" w:leader="none"/>
              </w:tabs>
              <w:rPr>
                <w:bCs/>
                <w:color w:val="000000"/>
              </w:rPr>
            </w:pPr>
            <w:r>
              <w:rPr>
                <w:bCs/>
                <w:color w:val="000000"/>
              </w:rPr>
              <w:t xml:space="preserve">Авизование иного сообщения второму бенефициару по трансферированному аккредитиву</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2"/>
              <w:ind w:left="0"/>
              <w:jc w:val="center"/>
              <w:rPr>
                <w:b w:val="0"/>
                <w:bCs w:val="0"/>
              </w:rPr>
            </w:pPr>
            <w:r>
              <w:rPr>
                <w:b w:val="0"/>
                <w:bCs w:val="0"/>
              </w:rPr>
              <w:t xml:space="preserve">1</w:t>
            </w:r>
            <w:r>
              <w:rPr>
                <w:b w:val="0"/>
                <w:bCs w:val="0"/>
                <w:lang w:val="en-US"/>
              </w:rPr>
              <w:t xml:space="preserve">0</w:t>
            </w:r>
            <w:r>
              <w:rPr>
                <w:b w:val="0"/>
                <w:bCs w:val="0"/>
              </w:rPr>
              <w:t xml:space="preserve"> </w:t>
            </w:r>
            <w:r>
              <w:rPr>
                <w:b w:val="0"/>
                <w:bCs w:val="0"/>
                <w:lang w:val="en-US"/>
              </w:rPr>
              <w:t xml:space="preserve">0</w:t>
            </w:r>
            <w:r>
              <w:rPr>
                <w:b w:val="0"/>
                <w:bCs w:val="0"/>
              </w:rPr>
              <w:t xml:space="preserve">00 руб.</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rPr>
                <w:b/>
              </w:rPr>
            </w:pPr>
            <w:r>
              <w:rPr>
                <w:b/>
              </w:rPr>
              <w:t xml:space="preserve">4.3.</w:t>
            </w:r>
            <w:r>
              <w:rPr>
                <w:b/>
              </w:rPr>
            </w:r>
            <w:r>
              <w:rPr>
                <w:b/>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925"/>
              <w:spacing w:before="40" w:after="40"/>
              <w:rPr>
                <w:bCs/>
              </w:rPr>
            </w:pPr>
            <w:r>
              <w:rPr>
                <w:b/>
                <w:bCs/>
              </w:rPr>
              <w:t xml:space="preserve">Аккредитивы для расчетов на территории Российской Федерации </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pPr>
            <w:r>
              <w:rPr>
                <w:bCs/>
              </w:rPr>
              <w:t xml:space="preserve">4.3.1.</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numPr>
                <w:ilvl w:val="0"/>
                <w:numId w:val="19"/>
              </w:numPr>
              <w:ind w:left="0" w:firstLine="0"/>
              <w:tabs>
                <w:tab w:val="left" w:pos="177" w:leader="none"/>
              </w:tabs>
              <w:rPr>
                <w:bCs/>
              </w:rPr>
            </w:pPr>
            <w:r>
              <w:rPr>
                <w:bCs/>
              </w:rPr>
              <w:t xml:space="preserve">Авизование аккредитива; </w:t>
            </w:r>
            <w:r>
              <w:rPr>
                <w:bCs/>
              </w:rPr>
            </w:r>
            <w:r>
              <w:rPr>
                <w:bCs/>
              </w:rPr>
            </w:r>
          </w:p>
          <w:p>
            <w:pPr>
              <w:pStyle w:val="925"/>
              <w:numPr>
                <w:ilvl w:val="0"/>
                <w:numId w:val="19"/>
              </w:numPr>
              <w:ind w:left="0" w:firstLine="0"/>
              <w:tabs>
                <w:tab w:val="left" w:pos="177" w:leader="none"/>
              </w:tabs>
              <w:rPr>
                <w:bCs/>
              </w:rPr>
            </w:pPr>
            <w:r>
              <w:rPr>
                <w:bCs/>
              </w:rPr>
              <w:t xml:space="preserve">Авизование изменения условий аккредитива, связанного с увеличением суммы</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rPr>
                <w:bCs/>
              </w:rPr>
            </w:pPr>
            <w:r>
              <w:rPr>
                <w:bCs/>
              </w:rPr>
              <w:t xml:space="preserve">0,1% от суммы аккредитива или ее увеличения</w:t>
            </w:r>
            <w:r>
              <w:rPr>
                <w:bCs/>
              </w:rPr>
            </w:r>
            <w:r>
              <w:rPr>
                <w:bCs/>
              </w:rPr>
            </w:r>
          </w:p>
          <w:p>
            <w:pPr>
              <w:pStyle w:val="925"/>
              <w:jc w:val="center"/>
              <w:rPr>
                <w:bCs/>
              </w:rPr>
            </w:pPr>
            <w:r>
              <w:rPr>
                <w:bCs/>
              </w:rPr>
              <w:t xml:space="preserve">мин. 1 000 руб.,</w:t>
            </w:r>
            <w:r>
              <w:rPr>
                <w:bCs/>
              </w:rPr>
            </w:r>
            <w:r>
              <w:rPr>
                <w:bCs/>
              </w:rPr>
            </w:r>
          </w:p>
          <w:p>
            <w:pPr>
              <w:pStyle w:val="932"/>
              <w:ind w:left="0"/>
              <w:jc w:val="center"/>
              <w:rPr>
                <w:b w:val="0"/>
              </w:rPr>
            </w:pPr>
            <w:r>
              <w:rPr>
                <w:b w:val="0"/>
              </w:rPr>
              <w:t xml:space="preserve">макс. 10 000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25"/>
              <w:jc w:val="center"/>
            </w:pPr>
            <w:r>
              <w:rPr>
                <w:bCs/>
              </w:rPr>
              <w:t xml:space="preserve">4.3.2.</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numPr>
                <w:ilvl w:val="0"/>
                <w:numId w:val="19"/>
              </w:numPr>
              <w:ind w:left="0" w:firstLine="0"/>
              <w:tabs>
                <w:tab w:val="left" w:pos="177" w:leader="none"/>
              </w:tabs>
              <w:rPr>
                <w:bCs/>
              </w:rPr>
            </w:pPr>
            <w:r>
              <w:rPr>
                <w:bCs/>
              </w:rPr>
              <w:t xml:space="preserve">Подтверждение аккредитива;</w:t>
            </w:r>
            <w:r>
              <w:rPr>
                <w:bCs/>
              </w:rPr>
            </w:r>
            <w:r>
              <w:rPr>
                <w:bCs/>
              </w:rPr>
            </w:r>
          </w:p>
          <w:p>
            <w:pPr>
              <w:pStyle w:val="925"/>
              <w:numPr>
                <w:ilvl w:val="0"/>
                <w:numId w:val="19"/>
              </w:numPr>
              <w:ind w:left="0" w:firstLine="0"/>
              <w:tabs>
                <w:tab w:val="left" w:pos="177" w:leader="none"/>
              </w:tabs>
              <w:rPr>
                <w:bCs/>
              </w:rPr>
            </w:pPr>
            <w:r>
              <w:rPr>
                <w:bCs/>
              </w:rPr>
              <w:t xml:space="preserve">Подтверждение изменения условий подтвержденного Банком аккредитива, связанного с увеличением суммы: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2"/>
              <w:ind w:left="0"/>
              <w:jc w:val="center"/>
            </w:p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25"/>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tabs>
                <w:tab w:val="left" w:pos="327" w:leader="none"/>
              </w:tabs>
              <w:rPr>
                <w:bCs/>
              </w:rPr>
            </w:pPr>
            <w:r>
              <w:rPr>
                <w:bCs/>
              </w:rPr>
              <w:t xml:space="preserve">- при предоставлении банком-эмитентом 100% денежного покрытия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5"/>
              <w:jc w:val="center"/>
            </w:pPr>
            <w:r>
              <w:t xml:space="preserve">0,80% годовых от суммы, предъявленной к оплате по аккредитиву, и/или неиспользованного остатка по аккредитиву</w:t>
            </w:r>
            <w:r/>
          </w:p>
          <w:p>
            <w:pPr>
              <w:pStyle w:val="925"/>
              <w:jc w:val="center"/>
            </w:pPr>
            <w:r>
              <w:t xml:space="preserve">мин. 5 000 руб. </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bCs/>
                <w:lang w:val="en-US"/>
              </w:rPr>
            </w:pPr>
            <w:r>
              <w:rPr>
                <w:bCs/>
                <w:lang w:val="en-US"/>
              </w:rPr>
            </w:r>
            <w:r>
              <w:rPr>
                <w:bCs/>
                <w:lang w:val="en-US"/>
              </w:rPr>
            </w:r>
            <w:r>
              <w:rPr>
                <w:bCs/>
                <w:lang w:val="en-U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25"/>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tabs>
                <w:tab w:val="left" w:pos="327" w:leader="none"/>
              </w:tabs>
              <w:rPr>
                <w:bCs/>
              </w:rPr>
            </w:pPr>
            <w:r>
              <w:t xml:space="preserve">- при отсутствии 100%</w:t>
            </w:r>
            <w:r>
              <w:rPr>
                <w:bCs/>
              </w:rPr>
              <w:t xml:space="preserve"> денежного покрытия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2"/>
              <w:ind w:left="0"/>
              <w:jc w:val="center"/>
              <w:rPr>
                <w:b w:val="0"/>
              </w:rPr>
            </w:pPr>
            <w:r>
              <w:rPr>
                <w:b w:val="0"/>
              </w:rPr>
              <w:t xml:space="preserve">По соглашению сторон</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pPr>
            <w:r>
              <w:rPr>
                <w:bCs/>
              </w:rPr>
              <w:t xml:space="preserve">4.3.3.</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numPr>
                <w:ilvl w:val="0"/>
                <w:numId w:val="20"/>
              </w:numPr>
              <w:ind w:left="0" w:firstLine="0"/>
              <w:tabs>
                <w:tab w:val="num" w:pos="177" w:leader="none"/>
              </w:tabs>
              <w:rPr>
                <w:bCs/>
              </w:rPr>
            </w:pPr>
            <w:r>
              <w:rPr>
                <w:bCs/>
              </w:rPr>
              <w:t xml:space="preserve">Авизование изменений условий аккредитива, не связанных с увеличением суммы </w:t>
            </w:r>
            <w:r>
              <w:rPr>
                <w:bCs/>
              </w:rPr>
            </w:r>
            <w:r>
              <w:rPr>
                <w:bCs/>
              </w:rPr>
            </w:r>
          </w:p>
          <w:p>
            <w:pPr>
              <w:pStyle w:val="925"/>
              <w:numPr>
                <w:ilvl w:val="0"/>
                <w:numId w:val="20"/>
              </w:numPr>
              <w:ind w:left="0" w:firstLine="0"/>
              <w:tabs>
                <w:tab w:val="num" w:pos="177" w:leader="none"/>
              </w:tabs>
              <w:rPr>
                <w:bCs/>
              </w:rPr>
            </w:pPr>
            <w:r>
              <w:rPr>
                <w:bCs/>
              </w:rPr>
              <w:t xml:space="preserve">Авизование запроса на аннуляцию/отзыв аккредитива</w:t>
            </w:r>
            <w:r>
              <w:rPr>
                <w:bCs/>
              </w:rPr>
            </w:r>
            <w:r>
              <w:rPr>
                <w:bCs/>
              </w:rPr>
            </w:r>
          </w:p>
          <w:p>
            <w:pPr>
              <w:pStyle w:val="925"/>
              <w:numPr>
                <w:ilvl w:val="0"/>
                <w:numId w:val="20"/>
              </w:numPr>
              <w:ind w:left="0" w:firstLine="0"/>
              <w:tabs>
                <w:tab w:val="num" w:pos="177" w:leader="none"/>
              </w:tabs>
              <w:rPr>
                <w:bCs/>
                <w:color w:val="000000"/>
              </w:rPr>
            </w:pPr>
            <w:r>
              <w:rPr>
                <w:bCs/>
                <w:color w:val="000000"/>
              </w:rPr>
              <w:t xml:space="preserve">Авизование иных запросов по аккредитивам</w:t>
            </w:r>
            <w:r>
              <w:rPr>
                <w:bCs/>
                <w:color w:val="000000"/>
              </w:rPr>
            </w:r>
            <w:r>
              <w:rPr>
                <w:bCs/>
                <w:color w:val="000000"/>
              </w:rPr>
            </w:r>
          </w:p>
          <w:p>
            <w:pPr>
              <w:pStyle w:val="925"/>
              <w:numPr>
                <w:ilvl w:val="0"/>
                <w:numId w:val="20"/>
              </w:numPr>
              <w:ind w:left="0" w:firstLine="0"/>
              <w:tabs>
                <w:tab w:val="left" w:pos="184" w:leader="none"/>
              </w:tabs>
              <w:rPr>
                <w:bCs/>
                <w:color w:val="000000"/>
              </w:rPr>
            </w:pPr>
            <w:r>
              <w:rPr>
                <w:bCs/>
                <w:color w:val="000000"/>
              </w:rPr>
              <w:t xml:space="preserve">Запрос по аккредитиву по инициативе банка-контрагента</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2"/>
              <w:ind w:left="0"/>
              <w:jc w:val="center"/>
              <w:rPr>
                <w:b w:val="0"/>
              </w:rPr>
            </w:pPr>
            <w:r>
              <w:rPr>
                <w:b w:val="0"/>
              </w:rPr>
              <w:t xml:space="preserve">1 500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pPr>
            <w:r>
              <w:rPr>
                <w:bCs/>
              </w:rPr>
              <w:t xml:space="preserve">4.3.4.</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numPr>
                <w:ilvl w:val="0"/>
                <w:numId w:val="20"/>
              </w:numPr>
              <w:ind w:left="0" w:firstLine="0"/>
              <w:tabs>
                <w:tab w:val="left" w:pos="177" w:leader="none"/>
              </w:tabs>
              <w:rPr>
                <w:bCs/>
              </w:rPr>
            </w:pPr>
            <w:r>
              <w:rPr>
                <w:bCs/>
              </w:rPr>
              <w:t xml:space="preserve">Внесение в условия открытого Банком аккредитива изменений, не связанных с увеличением суммы</w:t>
            </w:r>
            <w:r>
              <w:rPr>
                <w:bCs/>
              </w:rPr>
            </w:r>
            <w:r>
              <w:rPr>
                <w:bCs/>
              </w:rPr>
            </w:r>
          </w:p>
          <w:p>
            <w:pPr>
              <w:pStyle w:val="925"/>
              <w:numPr>
                <w:ilvl w:val="0"/>
                <w:numId w:val="20"/>
              </w:numPr>
              <w:ind w:left="0" w:firstLine="0"/>
              <w:tabs>
                <w:tab w:val="left" w:pos="177" w:leader="none"/>
              </w:tabs>
              <w:rPr>
                <w:bCs/>
              </w:rPr>
            </w:pPr>
            <w:r>
              <w:rPr>
                <w:bCs/>
              </w:rPr>
              <w:t xml:space="preserve">Запрос согласия на аннуляцию аккредитива/отзыв аккредитива</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2"/>
              <w:ind w:left="0"/>
              <w:jc w:val="center"/>
              <w:rPr>
                <w:b w:val="0"/>
              </w:rPr>
            </w:pPr>
            <w:r>
              <w:rPr>
                <w:b w:val="0"/>
              </w:rPr>
              <w:t xml:space="preserve">1 500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pPr>
            <w:r>
              <w:rPr>
                <w:bCs/>
              </w:rPr>
              <w:t xml:space="preserve">4.3.5.</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5"/>
              <w:rPr>
                <w:bCs/>
              </w:rPr>
            </w:pPr>
            <w:r>
              <w:rPr>
                <w:bCs/>
              </w:rPr>
              <w:t xml:space="preserve">Обработка/проверка документов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2"/>
              <w:ind w:left="0"/>
              <w:jc w:val="center"/>
              <w:rPr>
                <w:b w:val="0"/>
              </w:rPr>
            </w:pPr>
            <w:r>
              <w:rPr>
                <w:b w:val="0"/>
              </w:rPr>
              <w:t xml:space="preserve">0,15% от суммы, запрошенной к оплате, </w:t>
            </w:r>
            <w:r>
              <w:rPr>
                <w:b w:val="0"/>
              </w:rPr>
            </w:r>
            <w:r>
              <w:rPr>
                <w:b w:val="0"/>
              </w:rPr>
            </w:r>
          </w:p>
          <w:p>
            <w:pPr>
              <w:pStyle w:val="932"/>
              <w:ind w:left="0"/>
              <w:jc w:val="center"/>
              <w:rPr>
                <w:b w:val="0"/>
              </w:rPr>
            </w:pPr>
            <w:r>
              <w:rPr>
                <w:b w:val="0"/>
              </w:rPr>
              <w:t xml:space="preserve">мин. 5 000 руб.,</w:t>
            </w:r>
            <w:r>
              <w:rPr>
                <w:b w:val="0"/>
              </w:rPr>
            </w:r>
            <w:r>
              <w:rPr>
                <w:b w:val="0"/>
              </w:rPr>
            </w:r>
          </w:p>
          <w:p>
            <w:pPr>
              <w:pStyle w:val="932"/>
              <w:ind w:left="0"/>
              <w:jc w:val="center"/>
              <w:rPr>
                <w:b w:val="0"/>
              </w:rPr>
            </w:pPr>
            <w:r>
              <w:rPr>
                <w:b w:val="0"/>
              </w:rPr>
              <w:t xml:space="preserve">макс. 100 000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rPr>
                <w:bCs/>
              </w:rPr>
            </w:pPr>
            <w:r>
              <w:rPr>
                <w:bCs/>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bCs/>
              </w:rPr>
            </w:r>
            <w:r>
              <w:rPr>
                <w:bCs/>
              </w:rPr>
            </w:r>
          </w:p>
        </w:tc>
      </w:tr>
    </w:tbl>
    <w:p>
      <w:pPr>
        <w:pStyle w:val="940"/>
        <w:tabs>
          <w:tab w:val="clear" w:pos="4320" w:leader="none"/>
          <w:tab w:val="left" w:pos="5940" w:leader="none"/>
        </w:tabs>
        <w:rPr>
          <w:sz w:val="24"/>
          <w:szCs w:val="24"/>
          <w:lang w:val="ru-RU"/>
        </w:rPr>
      </w:pPr>
      <w:r>
        <w:rPr>
          <w:sz w:val="24"/>
          <w:szCs w:val="24"/>
          <w:lang w:val="ru-RU"/>
        </w:rPr>
      </w:r>
      <w:r>
        <w:rPr>
          <w:sz w:val="24"/>
          <w:szCs w:val="24"/>
          <w:lang w:val="ru-RU"/>
        </w:rPr>
      </w:r>
      <w:r>
        <w:rPr>
          <w:sz w:val="24"/>
          <w:szCs w:val="24"/>
          <w:lang w:val="ru-RU"/>
        </w:rPr>
      </w:r>
    </w:p>
    <w:p>
      <w:pPr>
        <w:pStyle w:val="940"/>
        <w:tabs>
          <w:tab w:val="clear" w:pos="4320" w:leader="none"/>
          <w:tab w:val="left" w:pos="5940" w:leader="none"/>
        </w:tabs>
        <w:rPr>
          <w:sz w:val="24"/>
          <w:szCs w:val="24"/>
          <w:lang w:val="ru-RU"/>
        </w:rPr>
      </w:pPr>
      <w:r>
        <w:rPr>
          <w:sz w:val="24"/>
          <w:szCs w:val="24"/>
          <w:lang w:val="ru-RU"/>
        </w:rPr>
      </w:r>
      <w:r>
        <w:rPr>
          <w:sz w:val="24"/>
          <w:szCs w:val="24"/>
          <w:lang w:val="ru-RU"/>
        </w:rPr>
      </w:r>
      <w:r>
        <w:rPr>
          <w:sz w:val="24"/>
          <w:szCs w:val="24"/>
          <w:lang w:val="ru-RU"/>
        </w:rPr>
      </w:r>
    </w:p>
    <w:p>
      <w:pPr>
        <w:pStyle w:val="940"/>
        <w:tabs>
          <w:tab w:val="clear" w:pos="4320" w:leader="none"/>
          <w:tab w:val="left" w:pos="5940" w:leader="none"/>
        </w:tabs>
        <w:rPr>
          <w:sz w:val="24"/>
          <w:szCs w:val="24"/>
          <w:lang w:val="ru-RU"/>
        </w:rPr>
      </w:pPr>
      <w:r>
        <w:rPr>
          <w:sz w:val="24"/>
          <w:szCs w:val="24"/>
          <w:lang w:val="ru-RU"/>
        </w:rPr>
      </w:r>
      <w:r>
        <w:rPr>
          <w:sz w:val="24"/>
          <w:szCs w:val="24"/>
          <w:lang w:val="ru-RU"/>
        </w:rPr>
      </w:r>
      <w:r>
        <w:rPr>
          <w:sz w:val="24"/>
          <w:szCs w:val="24"/>
          <w:lang w:val="ru-RU"/>
        </w:rPr>
      </w:r>
    </w:p>
    <w:p>
      <w:pPr>
        <w:pStyle w:val="940"/>
        <w:tabs>
          <w:tab w:val="clear" w:pos="4320" w:leader="none"/>
          <w:tab w:val="left" w:pos="5940" w:leader="none"/>
        </w:tabs>
        <w:rPr>
          <w:sz w:val="24"/>
          <w:szCs w:val="24"/>
          <w:lang w:val="ru-RU"/>
        </w:rPr>
      </w:pPr>
      <w:r>
        <w:rPr>
          <w:sz w:val="24"/>
          <w:szCs w:val="24"/>
          <w:lang w:val="ru-RU"/>
        </w:rPr>
        <w:br w:type="page" w:clear="all"/>
      </w:r>
      <w:r>
        <w:rPr>
          <w:sz w:val="24"/>
          <w:szCs w:val="24"/>
          <w:lang w:val="ru-RU"/>
        </w:rPr>
      </w:r>
      <w:r>
        <w:rPr>
          <w:sz w:val="24"/>
          <w:szCs w:val="24"/>
          <w:lang w:val="ru-RU"/>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819"/>
        <w:gridCol w:w="1843"/>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6" w:type="dxa"/>
            <w:vAlign w:val="top"/>
            <w:textDirection w:val="lrTb"/>
            <w:noWrap w:val="false"/>
          </w:tcPr>
          <w:p>
            <w:pPr>
              <w:pStyle w:val="925"/>
              <w:jc w:val="center"/>
              <w:spacing w:before="120" w:after="120"/>
              <w:rPr>
                <w:b/>
                <w:bCs/>
                <w:sz w:val="24"/>
                <w:szCs w:val="24"/>
              </w:rPr>
            </w:pPr>
            <w:r>
              <w:br w:type="page" w:clear="all"/>
            </w:r>
            <w:r>
              <w:rPr>
                <w:b/>
                <w:bCs/>
                <w:sz w:val="24"/>
                <w:szCs w:val="24"/>
              </w:rPr>
              <w:t xml:space="preserve">5. Инкассовые операции</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25"/>
              <w:ind w:right="-18"/>
              <w:jc w:val="center"/>
              <w:tabs>
                <w:tab w:val="left" w:pos="4464" w:leader="none"/>
                <w:tab w:val="left" w:pos="5760" w:leader="none"/>
              </w:tabs>
              <w:rPr>
                <w:iCs/>
              </w:rPr>
            </w:pPr>
            <w:r>
              <w:rPr>
                <w:iCs/>
              </w:rPr>
              <w:t xml:space="preserve">№ </w:t>
              <w:br w:type="textWrapping" w:clear="all"/>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4819" w:type="dxa"/>
            <w:vAlign w:val="center"/>
            <w:textDirection w:val="lrTb"/>
            <w:noWrap w:val="false"/>
          </w:tcPr>
          <w:p>
            <w:pPr>
              <w:pStyle w:val="933"/>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28"/>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925"/>
              <w:ind w:left="72" w:right="-18"/>
              <w:jc w:val="center"/>
              <w:tabs>
                <w:tab w:val="left" w:pos="4464" w:leader="none"/>
                <w:tab w:val="left" w:pos="5760"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rPr>
                <w:b/>
                <w:bCs/>
              </w:rPr>
              <w:t xml:space="preserve">5.1</w:t>
            </w:r>
            <w:r>
              <w:rPr>
                <w:b/>
                <w:bCs/>
              </w:rPr>
              <w:t xml:space="preserve">.</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5"/>
              <w:spacing w:before="40" w:after="40"/>
              <w:rPr>
                <w:b/>
                <w:bCs/>
              </w:rPr>
            </w:pPr>
            <w:r>
              <w:rPr>
                <w:b/>
                <w:bCs/>
              </w:rPr>
              <w:t xml:space="preserve">Документарное инкассо</w:t>
            </w:r>
            <w:r>
              <w:rPr>
                <w:b/>
                <w:bCs/>
              </w:rPr>
            </w:r>
            <w:r>
              <w:rPr>
                <w:b/>
                <w:bCs/>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5.1.1.</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5"/>
              <w:spacing w:before="40" w:after="40"/>
            </w:pPr>
            <w:r>
              <w:t xml:space="preserve">Прием, проверка, подготовка документов для отправки на инкассо</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0,15% от суммы документов,</w:t>
            </w:r>
            <w:r/>
          </w:p>
          <w:p>
            <w:pPr>
              <w:pStyle w:val="925"/>
              <w:jc w:val="center"/>
              <w:spacing w:before="40" w:after="40"/>
            </w:pPr>
            <w:r>
              <w:t xml:space="preserve">мин.</w:t>
            </w:r>
            <w:r>
              <w:t xml:space="preserve"> </w:t>
            </w:r>
            <w:r>
              <w:t xml:space="preserve">3 </w:t>
            </w:r>
            <w:r>
              <w:t xml:space="preserve">5</w:t>
            </w:r>
            <w:r>
              <w:t xml:space="preserve">00 руб.,</w:t>
            </w:r>
            <w:r/>
          </w:p>
          <w:p>
            <w:pPr>
              <w:pStyle w:val="925"/>
              <w:jc w:val="center"/>
              <w:spacing w:before="40" w:after="40"/>
            </w:pPr>
            <w:r>
              <w:t xml:space="preserve">макс. </w:t>
            </w:r>
            <w:r>
              <w:rPr>
                <w:lang w:val="en-US"/>
              </w:rPr>
              <w:t xml:space="preserve">35</w:t>
            </w:r>
            <w:r>
              <w:t xml:space="preserve">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5.1.2.</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5"/>
              <w:spacing w:before="40" w:after="40"/>
            </w:pPr>
            <w:r>
              <w:t xml:space="preserve">Внесение изменений в условия инкассового поручения или его аннуляция </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2 500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5.1.3.</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5"/>
              <w:spacing w:before="40" w:after="40"/>
            </w:pPr>
            <w:r>
              <w:t xml:space="preserve">Выдача документов против платежа и/или акцепта или на других условиях</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0,15% от суммы,</w:t>
            </w:r>
            <w:r/>
          </w:p>
          <w:p>
            <w:pPr>
              <w:pStyle w:val="925"/>
              <w:jc w:val="center"/>
              <w:spacing w:before="40" w:after="40"/>
            </w:pPr>
            <w:r>
              <w:t xml:space="preserve">мин. 3 </w:t>
            </w:r>
            <w:r>
              <w:t xml:space="preserve">5</w:t>
            </w:r>
            <w:r>
              <w:t xml:space="preserve">00 руб.,</w:t>
            </w:r>
            <w:r/>
          </w:p>
          <w:p>
            <w:pPr>
              <w:pStyle w:val="925"/>
              <w:jc w:val="center"/>
              <w:spacing w:before="40" w:after="40"/>
            </w:pPr>
            <w:r>
              <w:t xml:space="preserve">макс. 3</w:t>
            </w:r>
            <w:r>
              <w:rPr>
                <w:lang w:val="en-US"/>
              </w:rPr>
              <w:t xml:space="preserve">5</w:t>
            </w:r>
            <w:r>
              <w:t xml:space="preserve">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5.1.4.</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5"/>
              <w:spacing w:before="40" w:after="40"/>
            </w:pPr>
            <w:r>
              <w:t xml:space="preserve">Возврат неоплаченных/неакцептованных документов</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3 500 руб. за каждый комплект документов</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5.1.5.</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5"/>
              <w:spacing w:before="40" w:after="40"/>
            </w:pPr>
            <w:r>
              <w:t xml:space="preserve">Запрос по инкассо по инициативе </w:t>
            </w:r>
            <w:r>
              <w:rPr>
                <w:bCs/>
              </w:rPr>
              <w:t xml:space="preserve">банка-контрагента</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2 500 руб.</w:t>
            </w:r>
            <w:r>
              <w:rPr>
                <w:bCs/>
              </w:rPr>
              <w:t xml:space="preserve"> за каждый запрос</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rPr>
                <w:strike/>
                <w:color w:val="ffffff"/>
              </w:rPr>
            </w:pPr>
            <w:r>
              <w:rPr>
                <w:strike/>
                <w:color w:val="ffffff"/>
              </w:rPr>
            </w:r>
            <w:r>
              <w:rPr>
                <w:strike/>
                <w:color w:val="ffffff"/>
              </w:rPr>
            </w:r>
            <w:r>
              <w:rPr>
                <w:strike/>
                <w:color w:val="ffffff"/>
              </w:rPr>
            </w:r>
          </w:p>
        </w:tc>
      </w:tr>
    </w:tbl>
    <w:p>
      <w:pPr>
        <w:pStyle w:val="925"/>
        <w:rPr>
          <w:sz w:val="24"/>
          <w:szCs w:val="24"/>
        </w:rPr>
      </w:pPr>
      <w:r>
        <w:rPr>
          <w:sz w:val="24"/>
          <w:szCs w:val="24"/>
        </w:rPr>
      </w:r>
      <w:r>
        <w:rPr>
          <w:sz w:val="24"/>
          <w:szCs w:val="24"/>
        </w:rPr>
      </w:r>
      <w:r>
        <w:rPr>
          <w:sz w:val="24"/>
          <w:szCs w:val="24"/>
        </w:rPr>
      </w:r>
    </w:p>
    <w:p>
      <w:pPr>
        <w:pStyle w:val="925"/>
        <w:rPr>
          <w:sz w:val="24"/>
          <w:szCs w:val="24"/>
        </w:rPr>
      </w:pPr>
      <w:r>
        <w:rPr>
          <w:sz w:val="24"/>
          <w:szCs w:val="24"/>
        </w:rPr>
      </w:r>
      <w:r>
        <w:rPr>
          <w:sz w:val="24"/>
          <w:szCs w:val="24"/>
        </w:rPr>
      </w:r>
      <w:r>
        <w:rPr>
          <w:sz w:val="24"/>
          <w:szCs w:val="24"/>
        </w:rPr>
      </w:r>
    </w:p>
    <w:p>
      <w:pPr>
        <w:pStyle w:val="925"/>
        <w:rPr>
          <w:sz w:val="24"/>
          <w:szCs w:val="24"/>
        </w:rPr>
      </w:pPr>
      <w:r>
        <w:rPr>
          <w:sz w:val="24"/>
          <w:szCs w:val="24"/>
        </w:rPr>
      </w:r>
      <w:r>
        <w:rPr>
          <w:sz w:val="24"/>
          <w:szCs w:val="24"/>
        </w:rPr>
      </w:r>
      <w:r>
        <w:rPr>
          <w:sz w:val="24"/>
          <w:szCs w:val="24"/>
        </w:rPr>
      </w:r>
    </w:p>
    <w:p>
      <w:pPr>
        <w:pStyle w:val="925"/>
        <w:rPr>
          <w:sz w:val="24"/>
          <w:szCs w:val="24"/>
        </w:rPr>
      </w:pPr>
      <w:r>
        <w:rPr>
          <w:sz w:val="24"/>
          <w:szCs w:val="24"/>
        </w:rPr>
      </w:r>
      <w:r>
        <w:rPr>
          <w:sz w:val="24"/>
          <w:szCs w:val="24"/>
        </w:rPr>
      </w:r>
      <w:r>
        <w:rPr>
          <w:sz w:val="24"/>
          <w:szCs w:val="24"/>
        </w:rPr>
      </w:r>
    </w:p>
    <w:tbl>
      <w:tblPr>
        <w:tblW w:w="10206" w:type="dxa"/>
        <w:tblInd w:w="108" w:type="dxa"/>
        <w:tblLayout w:type="fixed"/>
        <w:tblCellMar>
          <w:left w:w="108" w:type="dxa"/>
          <w:top w:w="0" w:type="dxa"/>
          <w:right w:w="108" w:type="dxa"/>
          <w:bottom w:w="0" w:type="dxa"/>
        </w:tblCellMar>
        <w:tblLook w:val="04A0" w:firstRow="1" w:lastRow="0" w:firstColumn="1" w:lastColumn="0" w:noHBand="0" w:noVBand="1"/>
      </w:tblPr>
      <w:tblGrid>
        <w:gridCol w:w="851"/>
        <w:gridCol w:w="4819"/>
        <w:gridCol w:w="1843"/>
        <w:gridCol w:w="2693"/>
      </w:tblGrid>
      <w:tr>
        <w:tblPrEx/>
        <w:trPr/>
        <w:tc>
          <w:tcPr>
            <w:gridSpan w:val="4"/>
            <w:tcBorders>
              <w:top w:val="single" w:color="000000" w:sz="4" w:space="0"/>
              <w:left w:val="single" w:color="000000" w:sz="4" w:space="0"/>
              <w:bottom w:val="single" w:color="000000" w:sz="4" w:space="0"/>
              <w:right w:val="single" w:color="000000" w:sz="4" w:space="0"/>
            </w:tcBorders>
            <w:tcW w:w="10206" w:type="dxa"/>
            <w:vAlign w:val="top"/>
            <w:textDirection w:val="lrTb"/>
            <w:noWrap w:val="false"/>
          </w:tcPr>
          <w:p>
            <w:pPr>
              <w:pStyle w:val="925"/>
              <w:jc w:val="center"/>
              <w:spacing w:before="120" w:after="120"/>
            </w:pPr>
            <w:r>
              <w:rPr>
                <w:b/>
                <w:bCs/>
                <w:sz w:val="24"/>
                <w:szCs w:val="24"/>
              </w:rPr>
              <w:t xml:space="preserve">6. Гарантийные операции</w:t>
            </w: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25"/>
              <w:ind w:right="-18"/>
              <w:jc w:val="center"/>
              <w:tabs>
                <w:tab w:val="left" w:pos="4464" w:leader="none"/>
                <w:tab w:val="left" w:pos="5760" w:leader="none"/>
              </w:tabs>
              <w:rPr>
                <w:iCs/>
              </w:rPr>
            </w:pPr>
            <w:r>
              <w:rPr>
                <w:iCs/>
              </w:rPr>
              <w:t xml:space="preserve">№ </w:t>
              <w:br w:type="textWrapping" w:clear="all"/>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4819" w:type="dxa"/>
            <w:vAlign w:val="center"/>
            <w:textDirection w:val="lrTb"/>
            <w:noWrap w:val="false"/>
          </w:tcPr>
          <w:p>
            <w:pPr>
              <w:pStyle w:val="933"/>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28"/>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925"/>
              <w:ind w:left="72" w:right="-18"/>
              <w:jc w:val="center"/>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6.1.</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5"/>
              <w:spacing w:before="40"/>
            </w:pPr>
            <w:r>
              <w:t xml:space="preserve">Выдача гарантии/контргарантии/открытие резервного аккредитива (увеличение суммы, пролонгация):</w:t>
            </w:r>
            <w:r/>
          </w:p>
          <w:p>
            <w:pPr>
              <w:pStyle w:val="925"/>
            </w:pPr>
            <w:r>
              <w:t xml:space="preserve">- на условиях размещения в Банке денежного обеспечения (покрытия)</w:t>
            </w:r>
            <w:r/>
          </w:p>
          <w:p>
            <w:pPr>
              <w:pStyle w:val="925"/>
              <w:spacing w:after="40"/>
            </w:pPr>
            <w:r>
              <w:t xml:space="preserve">- без размещения в Банке денежного обеспечения</w:t>
            </w: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25"/>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ind w:right="-108"/>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6.2.</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2"/>
              <w:ind w:left="0" w:right="72"/>
              <w:spacing w:before="40" w:after="40"/>
              <w:rPr>
                <w:b w:val="0"/>
              </w:rPr>
            </w:pPr>
            <w:r>
              <w:rPr>
                <w:b w:val="0"/>
              </w:rPr>
              <w:t xml:space="preserve">Внесение изменений в условия выданной гарантии/контргарантии/резервного аккредитива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6.3.</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2"/>
              <w:ind w:left="0" w:right="72"/>
              <w:spacing w:before="40" w:after="40"/>
              <w:rPr>
                <w:b w:val="0"/>
              </w:rPr>
            </w:pPr>
            <w:r>
              <w:rPr>
                <w:b w:val="0"/>
              </w:rPr>
              <w:t xml:space="preserve">Аннуляция выданной гарантии/контргарантии/ резервного аккредитива до срока истечения действия</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7 500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5"/>
              <w:jc w:val="center"/>
              <w:spacing w:before="40" w:after="40"/>
            </w:pPr>
            <w:r>
              <w:t xml:space="preserve">6.4.</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2"/>
              <w:ind w:left="0" w:right="72"/>
              <w:spacing w:before="40" w:after="40"/>
              <w:rPr>
                <w:b w:val="0"/>
              </w:rPr>
            </w:pPr>
            <w:r>
              <w:rPr>
                <w:b w:val="0"/>
              </w:rPr>
              <w:t xml:space="preserve">Проверка представленных требования и документов, в том числе, платеж по гарантии/контргарантии/резервному аккредитиву, выданным Банком</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0,1% от суммы,</w:t>
            </w:r>
            <w:r/>
          </w:p>
          <w:p>
            <w:pPr>
              <w:pStyle w:val="925"/>
              <w:jc w:val="center"/>
              <w:spacing w:before="40" w:after="40"/>
            </w:pPr>
            <w:r>
              <w:t xml:space="preserve">мин. 10 000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9"/>
              <w:ind w:left="72" w:right="72"/>
              <w:jc w:val="center"/>
              <w:spacing w:before="40" w:after="40"/>
              <w:rPr>
                <w:b w:val="0"/>
              </w:rPr>
            </w:pPr>
            <w:r>
              <w:rPr>
                <w:b w:val="0"/>
                <w:bCs w:val="0"/>
              </w:rPr>
              <w:t xml:space="preserve">6.5.</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9"/>
              <w:ind w:left="0" w:right="72"/>
              <w:jc w:val="left"/>
              <w:spacing w:before="40" w:after="40"/>
              <w:rPr>
                <w:b w:val="0"/>
              </w:rPr>
            </w:pPr>
            <w:r>
              <w:rPr>
                <w:b w:val="0"/>
              </w:rPr>
              <w:t xml:space="preserve">Авизование гарантии/контргарантии/резервного аккредитива без обязательств со стороны Банка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20 000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9"/>
              <w:ind w:left="72" w:right="72"/>
              <w:jc w:val="center"/>
              <w:spacing w:before="40" w:after="40"/>
              <w:rPr>
                <w:b w:val="0"/>
              </w:rPr>
            </w:pPr>
            <w:r>
              <w:rPr>
                <w:b w:val="0"/>
                <w:bCs w:val="0"/>
              </w:rPr>
              <w:t xml:space="preserve">6.6.</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9"/>
              <w:ind w:left="72" w:right="72"/>
              <w:jc w:val="left"/>
              <w:spacing w:before="40" w:after="40"/>
              <w:rPr>
                <w:b w:val="0"/>
              </w:rPr>
            </w:pPr>
            <w:r>
              <w:rPr>
                <w:b w:val="0"/>
              </w:rPr>
              <w:t xml:space="preserve">Авизование изменения условий гарантии/контр-гарантии/резервного аккредитива, авизование сообщения по гарантии/контргарантии/резервному аккредитиву без обязательств со стороны Банка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3 </w:t>
            </w:r>
            <w:r>
              <w:rPr>
                <w:lang w:val="en-US"/>
              </w:rP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9"/>
              <w:ind w:left="72" w:right="72"/>
              <w:jc w:val="center"/>
              <w:spacing w:before="40" w:after="40"/>
              <w:rPr>
                <w:b w:val="0"/>
              </w:rPr>
            </w:pPr>
            <w:r>
              <w:rPr>
                <w:b w:val="0"/>
                <w:bCs w:val="0"/>
              </w:rPr>
              <w:t xml:space="preserve">6.7.</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9"/>
              <w:ind w:left="72" w:right="72"/>
              <w:jc w:val="left"/>
              <w:spacing w:before="40" w:after="40"/>
              <w:rPr>
                <w:b w:val="0"/>
              </w:rPr>
            </w:pPr>
            <w:r>
              <w:rPr>
                <w:b w:val="0"/>
              </w:rPr>
              <w:t xml:space="preserve">Требование платежа по гарантии, авизованной без обязательств со стороны Банка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7 500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2"/>
              <w:ind w:left="74" w:right="74"/>
              <w:jc w:val="center"/>
              <w:keepNext w:val="0"/>
              <w:spacing w:before="40" w:after="40"/>
              <w:rPr>
                <w:b w:val="0"/>
              </w:rPr>
            </w:pPr>
            <w:r>
              <w:rPr>
                <w:b w:val="0"/>
                <w:bCs w:val="0"/>
              </w:rPr>
              <w:t xml:space="preserve">6.8.</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2"/>
              <w:ind w:left="72" w:right="72"/>
              <w:spacing w:before="40" w:after="40"/>
              <w:rPr>
                <w:b w:val="0"/>
              </w:rPr>
            </w:pPr>
            <w:r>
              <w:rPr>
                <w:b w:val="0"/>
              </w:rPr>
              <w:t xml:space="preserve">Проверка по запросу </w:t>
            </w:r>
            <w:r>
              <w:rPr>
                <w:b w:val="0"/>
                <w:bCs w:val="0"/>
              </w:rPr>
              <w:t xml:space="preserve">банка-контрагента</w:t>
            </w:r>
            <w:r>
              <w:rPr>
                <w:b w:val="0"/>
              </w:rPr>
              <w:t xml:space="preserve"> подлинности гарантии/контргарантии/резервного аккредитива и/или правильности телексных ключей</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3 </w:t>
            </w:r>
            <w:r>
              <w:rPr>
                <w:lang w:val="en-US"/>
              </w:rP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32"/>
              <w:ind w:left="72" w:right="72"/>
              <w:jc w:val="center"/>
              <w:spacing w:before="40" w:after="40"/>
              <w:rPr>
                <w:b w:val="0"/>
              </w:rPr>
            </w:pPr>
            <w:r>
              <w:rPr>
                <w:b w:val="0"/>
                <w:bCs w:val="0"/>
              </w:rPr>
              <w:t xml:space="preserve">6.9.</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32"/>
              <w:ind w:left="72" w:right="72"/>
              <w:spacing w:before="40" w:after="40"/>
              <w:rPr>
                <w:b w:val="0"/>
              </w:rPr>
            </w:pPr>
            <w:r>
              <w:rPr>
                <w:b w:val="0"/>
              </w:rPr>
              <w:t xml:space="preserve">Отправка сообщения по гарантии/контргарантии/ резервному аккредитиву по запросу </w:t>
            </w:r>
            <w:r>
              <w:rPr>
                <w:b w:val="0"/>
                <w:bCs w:val="0"/>
              </w:rPr>
              <w:t xml:space="preserve">банка-контрагента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25"/>
              <w:jc w:val="center"/>
              <w:spacing w:before="40" w:after="40"/>
            </w:pPr>
            <w:r>
              <w:t xml:space="preserve">2 500 руб. </w:t>
            </w:r>
            <w:r>
              <w:rPr>
                <w:bCs/>
              </w:rPr>
              <w:t xml:space="preserve">за каждое отправленное сообщение</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25"/>
              <w:jc w:val="center"/>
              <w:spacing w:before="40" w:after="40"/>
            </w:pPr>
            <w:r>
              <w:t xml:space="preserve">Комиссия включает НДС</w:t>
            </w:r>
            <w:r/>
          </w:p>
        </w:tc>
      </w:tr>
    </w:tbl>
    <w:p>
      <w:pPr>
        <w:pStyle w:val="925"/>
        <w:rPr>
          <w:sz w:val="24"/>
          <w:szCs w:val="24"/>
        </w:rPr>
      </w:pPr>
      <w:r>
        <w:rPr>
          <w:sz w:val="24"/>
          <w:szCs w:val="24"/>
        </w:rPr>
      </w:r>
      <w:r>
        <w:rPr>
          <w:sz w:val="24"/>
          <w:szCs w:val="24"/>
        </w:rPr>
      </w:r>
      <w:r>
        <w:rPr>
          <w:sz w:val="24"/>
          <w:szCs w:val="24"/>
        </w:rPr>
      </w:r>
    </w:p>
    <w:p>
      <w:pPr>
        <w:pStyle w:val="925"/>
      </w:pPr>
      <w:r>
        <w:t xml:space="preserve">Примечание к разделам 4-6 Тарифов:</w:t>
      </w:r>
      <w:r/>
    </w:p>
    <w:p>
      <w:pPr>
        <w:pStyle w:val="925"/>
        <w:jc w:val="both"/>
        <w:spacing w:before="40"/>
        <w:tabs>
          <w:tab w:val="left" w:pos="-1276" w:leader="none"/>
          <w:tab w:val="left" w:pos="284" w:leader="none"/>
          <w:tab w:val="left" w:pos="1134" w:leader="none"/>
        </w:tabs>
      </w:pPr>
      <w:r>
        <w:t xml:space="preserve">Комиссионное вознаграждение за услугу Банка, инициированную банком-контрагентом, и подлежащую уплате клиентом Банка, начисляется в соответствии с </w:t>
      </w:r>
      <w:r>
        <w:t xml:space="preserve">Тарифами </w:t>
      </w:r>
      <w:r>
        <w:t xml:space="preserve">комиссионного вознаграждени</w:t>
      </w:r>
      <w: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t xml:space="preserve">. Если комиссионное вознаграждение не может быть получено Банком или удержано с клиента Банка по любым причинам, то обязанность по его уплате в сумме первоначального требования возлагается на банк-контрагент, как инструктирующую сторону. </w:t>
      </w:r>
      <w:r/>
    </w:p>
    <w:p>
      <w:pPr>
        <w:pStyle w:val="925"/>
        <w:jc w:val="both"/>
        <w:spacing w:before="40"/>
        <w:tabs>
          <w:tab w:val="left" w:pos="-1276" w:leader="none"/>
          <w:tab w:val="left" w:pos="284" w:leader="none"/>
          <w:tab w:val="left" w:pos="1134" w:leader="none"/>
        </w:tabs>
      </w:pPr>
      <w:r>
        <w:t xml:space="preserve">1. При указании в наименовании услуги двух и более операций к</w:t>
      </w:r>
      <w:r>
        <w:rPr>
          <w:bCs/>
          <w:color w:val="000000"/>
        </w:rPr>
        <w:t xml:space="preserve">омиссионное вознаграждение взимается за каждую осуществленную операцию из перечисленных в соответствующем пункте Тарифа.</w:t>
      </w:r>
      <w:r>
        <w:t xml:space="preserve"> </w:t>
      </w:r>
      <w:r/>
    </w:p>
    <w:p>
      <w:pPr>
        <w:pStyle w:val="925"/>
        <w:jc w:val="both"/>
        <w:spacing w:before="40"/>
        <w:tabs>
          <w:tab w:val="left" w:pos="284" w:leader="none"/>
          <w:tab w:val="left" w:pos="1134" w:leader="none"/>
        </w:tabs>
      </w:pPr>
      <w:r>
        <w:t xml:space="preserve">2. По документарным</w:t>
      </w:r>
      <w:r>
        <w:t xml:space="preserve"> операциям,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w:t>
      </w:r>
      <w:r/>
    </w:p>
    <w:p>
      <w:pPr>
        <w:pStyle w:val="925"/>
        <w:jc w:val="both"/>
        <w:spacing w:before="40"/>
      </w:pPr>
      <w:r>
        <w:t xml:space="preserve">3. Комиссионное вознаграждение Банка может быть уплачено в российских рублях и в иностранной валюте. Если уплата к</w:t>
      </w:r>
      <w:r>
        <w:t xml:space="preserve">омиссионного вознаграждения Банка, начисленного в российских рублях, производится в иностранной валюте, то расчет суммы эквивалента осуществляется по курсу Банка России, действующему на дату уплаты комиссии.</w:t>
      </w:r>
      <w:r/>
    </w:p>
    <w:p>
      <w:pPr>
        <w:pStyle w:val="925"/>
        <w:jc w:val="both"/>
        <w:spacing w:before="40"/>
        <w:rPr>
          <w:iCs/>
        </w:rPr>
      </w:pPr>
      <w:r>
        <w:rPr>
          <w:iCs/>
        </w:rPr>
        <w:t xml:space="preserve">4. Комиссионное вознаграждение по пунктам 4.1.3, 4.1.9, 4.2.1 и 4.3.2 Тарифов (при наличии 100% денежного покрытия) взимается за фактический срок действия обязательства. </w:t>
      </w:r>
      <w:r>
        <w:rPr>
          <w:color w:val="000000"/>
        </w:rPr>
        <w:t xml:space="preserve">Комиссионное вознаграждение рассчитывается от суммы, предъявленной к оплате по аккредитиву/рамбурсному обязательству.</w:t>
      </w:r>
      <w:r>
        <w:rPr>
          <w:iCs/>
        </w:rPr>
      </w:r>
      <w:r>
        <w:rPr>
          <w:iCs/>
        </w:rPr>
      </w:r>
    </w:p>
    <w:p>
      <w:pPr>
        <w:pStyle w:val="925"/>
        <w:jc w:val="both"/>
        <w:rPr>
          <w:color w:val="000000"/>
        </w:rPr>
      </w:pPr>
      <w:r>
        <w:rPr>
          <w:iCs/>
        </w:rPr>
        <w:t xml:space="preserve">Расчет комиссионного вознаграждения по пунктам 4.1.3, 4.1.9, 4.2.1 и 4.3.2 Тарифов (при наличии 100% денежного покрытия) начинается в дату </w:t>
      </w:r>
      <w:r>
        <w:rPr>
          <w:color w:val="000000"/>
        </w:rPr>
        <w:t xml:space="preserve">оказания соответствующей услуги.</w:t>
      </w:r>
      <w:r>
        <w:rPr>
          <w:color w:val="000000"/>
        </w:rPr>
      </w:r>
      <w:r>
        <w:rPr>
          <w:color w:val="000000"/>
        </w:rPr>
      </w:r>
    </w:p>
    <w:p>
      <w:pPr>
        <w:pStyle w:val="925"/>
        <w:jc w:val="both"/>
        <w:rPr>
          <w:color w:val="000000"/>
        </w:rPr>
      </w:pPr>
      <w:r>
        <w:rPr>
          <w:color w:val="000000"/>
        </w:rPr>
        <w:t xml:space="preserve">Комиссионное вознаграждение рассчитывается до даты платежа (включая дату открытия/дату подтверждения и дату платежа) и уплачивается по мере принятия к оплате документов/рамбурсного требования.</w:t>
      </w:r>
      <w:r>
        <w:rPr>
          <w:color w:val="000000"/>
        </w:rPr>
      </w:r>
      <w:r>
        <w:rPr>
          <w:color w:val="000000"/>
        </w:rPr>
      </w:r>
    </w:p>
    <w:p>
      <w:pPr>
        <w:pStyle w:val="925"/>
        <w:jc w:val="both"/>
        <w:tabs>
          <w:tab w:val="left" w:pos="-1276" w:leader="none"/>
          <w:tab w:val="left" w:pos="0" w:leader="none"/>
          <w:tab w:val="left" w:pos="1134" w:leader="none"/>
        </w:tabs>
        <w:rPr>
          <w:iCs/>
        </w:rPr>
      </w:pPr>
      <w:r>
        <w:rPr>
          <w:color w:val="000000"/>
        </w:rPr>
        <w:t xml:space="preserve">В случае </w:t>
      </w:r>
      <w:r>
        <w:rPr>
          <w:color w:val="000000"/>
        </w:rPr>
        <w:t xml:space="preserve">закрытия </w:t>
      </w:r>
      <w:r>
        <w:rPr>
          <w:color w:val="000000"/>
        </w:rPr>
        <w:t xml:space="preserve">неиспользованного </w:t>
      </w:r>
      <w:r>
        <w:rPr>
          <w:color w:val="000000"/>
        </w:rPr>
        <w:t xml:space="preserve">(полностью или частично) </w:t>
      </w:r>
      <w:r>
        <w:rPr>
          <w:color w:val="000000"/>
        </w:rPr>
        <w:t xml:space="preserve">аккредитива/рамбурсного обязательства комиссионное вознаграждение рассчитывается от суммы неиспользованного остатка за период с даты открытия аккредитива (по открытым Банком аккредитива</w:t>
      </w:r>
      <w:r>
        <w:rPr>
          <w:color w:val="000000"/>
        </w:rPr>
        <w:t xml:space="preserve">м)/даты подтверждения аккредитива (по подтвержденным Банком аккредитивам)/даты выпуска рамбурсного обязательства до даты истечения срока действия аккредитива/рамбурсного обязательства и уплачивается в течение 5 рабочих дней по истечении срока его действия.</w:t>
      </w:r>
      <w:r>
        <w:rPr>
          <w:iCs/>
        </w:rPr>
        <w:t xml:space="preserve"> </w:t>
      </w:r>
      <w:r>
        <w:rPr>
          <w:iCs/>
        </w:rPr>
      </w:r>
      <w:r>
        <w:rPr>
          <w:iCs/>
        </w:rPr>
      </w:r>
    </w:p>
    <w:p>
      <w:pPr>
        <w:pStyle w:val="925"/>
        <w:jc w:val="both"/>
        <w:tabs>
          <w:tab w:val="left" w:pos="-1276" w:leader="none"/>
          <w:tab w:val="left" w:pos="0" w:leader="none"/>
          <w:tab w:val="left" w:pos="1134" w:leader="none"/>
        </w:tabs>
        <w:rPr>
          <w:sz w:val="24"/>
          <w:szCs w:val="24"/>
        </w:rPr>
      </w:pPr>
      <w:r>
        <w:rPr>
          <w:iCs/>
        </w:rPr>
        <w:t xml:space="preserve">Минимальное значение комиссионного вознаграждения применяется при каждом расчете комиссии к уплате.</w:t>
      </w:r>
      <w:r>
        <w:rPr>
          <w:sz w:val="24"/>
          <w:szCs w:val="24"/>
        </w:rPr>
      </w:r>
      <w:r>
        <w:rPr>
          <w:sz w:val="24"/>
          <w:szCs w:val="24"/>
        </w:rPr>
      </w:r>
    </w:p>
    <w:p>
      <w:pPr>
        <w:pStyle w:val="925"/>
        <w:jc w:val="both"/>
        <w:rPr>
          <w:color w:val="000000"/>
        </w:rPr>
      </w:pPr>
      <w:r>
        <w:rPr>
          <w:color w:val="000000"/>
        </w:rPr>
        <w:t xml:space="preserve">Базис расчета – фактическое количество дней в году (365/366).</w:t>
      </w:r>
      <w:r>
        <w:rPr>
          <w:color w:val="000000"/>
        </w:rPr>
      </w:r>
      <w:r>
        <w:rPr>
          <w:color w:val="000000"/>
        </w:rPr>
      </w:r>
    </w:p>
    <w:p>
      <w:pPr>
        <w:pStyle w:val="925"/>
        <w:jc w:val="both"/>
        <w:spacing w:before="40"/>
        <w:tabs>
          <w:tab w:val="left" w:pos="-1276" w:leader="none"/>
          <w:tab w:val="left" w:pos="0" w:leader="none"/>
          <w:tab w:val="left" w:pos="1134" w:leader="none"/>
        </w:tabs>
        <w:rPr>
          <w:bCs/>
          <w:iCs/>
        </w:rPr>
      </w:pPr>
      <w:r>
        <w:t xml:space="preserve">5. </w:t>
      </w:r>
      <w:r>
        <w:rPr>
          <w:bCs/>
          <w:iCs/>
        </w:rPr>
        <w:t xml:space="preserve">Размер комиссионного вознаграждения, отличный от установленного в Тарифах, определяется на основании отд</w:t>
      </w:r>
      <w:r>
        <w:rPr>
          <w:bCs/>
          <w:iCs/>
        </w:rPr>
        <w:t xml:space="preserve">ельного соглашения сторон.</w:t>
      </w:r>
      <w:r>
        <w:rPr>
          <w:bCs/>
          <w:iCs/>
        </w:rPr>
      </w:r>
      <w:r>
        <w:rPr>
          <w:bCs/>
          <w:iCs/>
        </w:rPr>
      </w:r>
    </w:p>
    <w:p>
      <w:pPr>
        <w:pStyle w:val="940"/>
        <w:tabs>
          <w:tab w:val="clear" w:pos="4320" w:leader="none"/>
          <w:tab w:val="left" w:pos="5940" w:leader="none"/>
        </w:tabs>
        <w:rPr>
          <w:sz w:val="24"/>
          <w:szCs w:val="24"/>
          <w:lang w:val="ru-RU"/>
        </w:rPr>
      </w:pPr>
      <w:r>
        <w:rPr>
          <w:sz w:val="24"/>
          <w:szCs w:val="24"/>
          <w:lang w:val="ru-RU"/>
        </w:rPr>
      </w:r>
      <w:r>
        <w:rPr>
          <w:sz w:val="24"/>
          <w:szCs w:val="24"/>
          <w:lang w:val="ru-RU"/>
        </w:rPr>
      </w:r>
      <w:r>
        <w:rPr>
          <w:sz w:val="24"/>
          <w:szCs w:val="24"/>
          <w:lang w:val="ru-RU"/>
        </w:rPr>
      </w:r>
    </w:p>
    <w:p>
      <w:pPr>
        <w:pStyle w:val="925"/>
        <w:jc w:val="center"/>
        <w:rPr>
          <w:sz w:val="24"/>
          <w:szCs w:val="24"/>
        </w:rPr>
      </w:pPr>
      <w:r>
        <w:rPr>
          <w:sz w:val="24"/>
          <w:szCs w:val="24"/>
        </w:rPr>
      </w:r>
      <w:r>
        <w:rPr>
          <w:sz w:val="24"/>
          <w:szCs w:val="24"/>
        </w:rPr>
      </w:r>
      <w:r>
        <w:rPr>
          <w:sz w:val="24"/>
          <w:szCs w:val="24"/>
        </w:rPr>
      </w:r>
    </w:p>
    <w:p>
      <w:pPr>
        <w:pStyle w:val="925"/>
        <w:jc w:val="center"/>
        <w:rPr>
          <w:sz w:val="24"/>
          <w:szCs w:val="24"/>
        </w:rPr>
      </w:pPr>
      <w:r>
        <w:rPr>
          <w:sz w:val="24"/>
          <w:szCs w:val="24"/>
        </w:rPr>
      </w:r>
      <w:r>
        <w:rPr>
          <w:sz w:val="24"/>
          <w:szCs w:val="24"/>
        </w:rPr>
      </w:r>
      <w:r>
        <w:rPr>
          <w:sz w:val="24"/>
          <w:szCs w:val="24"/>
        </w:rPr>
      </w:r>
    </w:p>
    <w:p>
      <w:pPr>
        <w:pStyle w:val="925"/>
        <w:jc w:val="center"/>
        <w:rPr>
          <w:sz w:val="2"/>
          <w:szCs w:val="2"/>
        </w:rPr>
      </w:pPr>
      <w:r>
        <w:rPr>
          <w:sz w:val="24"/>
          <w:szCs w:val="24"/>
        </w:rPr>
        <w:br w:type="page" w:clear="all"/>
      </w:r>
      <w:r>
        <w:rPr>
          <w:sz w:val="2"/>
          <w:szCs w:val="2"/>
        </w:rPr>
      </w:r>
      <w:r>
        <w:rPr>
          <w:sz w:val="2"/>
          <w:szCs w:val="2"/>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59"/>
        <w:gridCol w:w="4990"/>
        <w:gridCol w:w="2241"/>
        <w:gridCol w:w="281"/>
        <w:gridCol w:w="1951"/>
      </w:tblGrid>
      <w:tr>
        <w:tblPrEx/>
        <w:trPr>
          <w:trHeight w:val="341"/>
        </w:trPr>
        <w:tc>
          <w:tcPr>
            <w:gridSpan w:val="5"/>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25"/>
              <w:jc w:val="center"/>
              <w:spacing w:before="120" w:after="120"/>
              <w:rPr>
                <w:b/>
                <w:bCs/>
                <w:sz w:val="24"/>
                <w:szCs w:val="24"/>
              </w:rPr>
            </w:pPr>
            <w:r>
              <w:rPr>
                <w:b/>
                <w:bCs/>
                <w:sz w:val="24"/>
                <w:szCs w:val="24"/>
              </w:rPr>
              <w:t xml:space="preserve">7</w:t>
            </w:r>
            <w:r>
              <w:rPr>
                <w:b/>
                <w:bCs/>
                <w:sz w:val="24"/>
                <w:szCs w:val="24"/>
              </w:rPr>
              <w:t xml:space="preserve">. </w:t>
            </w:r>
            <w:r>
              <w:rPr>
                <w:b/>
                <w:bCs/>
                <w:sz w:val="24"/>
                <w:szCs w:val="24"/>
              </w:rPr>
              <w:t xml:space="preserve">Операции с наличной валютой</w:t>
            </w:r>
            <w:r>
              <w:rPr>
                <w:b/>
                <w:bCs/>
                <w:sz w:val="24"/>
                <w:szCs w:val="24"/>
              </w:rPr>
            </w:r>
            <w:r>
              <w:rPr>
                <w:b/>
                <w:bCs/>
                <w:sz w:val="24"/>
                <w:szCs w:val="24"/>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25"/>
              <w:ind w:right="-18"/>
              <w:jc w:val="center"/>
              <w:tabs>
                <w:tab w:val="left" w:pos="4464" w:leader="none"/>
                <w:tab w:val="left" w:pos="5760" w:leader="none"/>
              </w:tabs>
              <w:rPr>
                <w:iCs/>
              </w:rPr>
            </w:pPr>
            <w:r>
              <w:rPr>
                <w:iCs/>
              </w:rPr>
              <w:t xml:space="preserve">№</w:t>
            </w:r>
            <w:r>
              <w:rPr>
                <w:iCs/>
              </w:rPr>
              <w:t xml:space="preserve"> </w:t>
            </w:r>
            <w:r>
              <w:rPr>
                <w:iCs/>
              </w:rPr>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933"/>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075" w:type="pct"/>
            <w:vAlign w:val="center"/>
            <w:textDirection w:val="lrTb"/>
            <w:noWrap w:val="false"/>
          </w:tcPr>
          <w:p>
            <w:pPr>
              <w:pStyle w:val="928"/>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gridSpan w:val="2"/>
            <w:tcBorders>
              <w:top w:val="single" w:color="000000" w:sz="4" w:space="0"/>
              <w:left w:val="single" w:color="000000" w:sz="4" w:space="0"/>
              <w:bottom w:val="single" w:color="000000" w:sz="4" w:space="0"/>
              <w:right w:val="single" w:color="000000" w:sz="4" w:space="0"/>
            </w:tcBorders>
            <w:tcW w:w="1071" w:type="pct"/>
            <w:vAlign w:val="center"/>
            <w:textDirection w:val="lrTb"/>
            <w:noWrap w:val="false"/>
          </w:tcPr>
          <w:p>
            <w:pPr>
              <w:pStyle w:val="925"/>
              <w:ind w:left="72" w:right="-18"/>
              <w:jc w:val="center"/>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25"/>
              <w:jc w:val="center"/>
              <w:spacing w:before="40" w:after="40"/>
              <w:rPr>
                <w:rFonts w:eastAsia="Arial Unicode MS"/>
                <w:b/>
                <w:bCs/>
                <w:sz w:val="24"/>
                <w:szCs w:val="24"/>
                <w:lang w:val="en-US"/>
              </w:rPr>
            </w:pPr>
            <w:r>
              <w:rPr>
                <w:b/>
                <w:bCs/>
              </w:rPr>
              <w:t xml:space="preserve">7</w:t>
            </w:r>
            <w:r>
              <w:rPr>
                <w:b/>
                <w:bCs/>
              </w:rPr>
              <w:t xml:space="preserve">.1</w:t>
            </w:r>
            <w:r>
              <w:rPr>
                <w:b/>
                <w:bCs/>
                <w:lang w:val="en-US"/>
              </w:rPr>
              <w:t xml:space="preserve">.</w:t>
            </w:r>
            <w:r>
              <w:rPr>
                <w:rFonts w:eastAsia="Arial Unicode MS"/>
                <w:b/>
                <w:bCs/>
                <w:sz w:val="24"/>
                <w:szCs w:val="24"/>
                <w:lang w:val="en-US"/>
              </w:rPr>
            </w:r>
            <w:r>
              <w:rPr>
                <w:rFonts w:eastAsia="Arial Unicode MS"/>
                <w:b/>
                <w:bCs/>
                <w:sz w:val="24"/>
                <w:szCs w:val="24"/>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spacing w:before="40" w:after="40"/>
              <w:rPr>
                <w:rFonts w:eastAsia="Arial Unicode MS"/>
                <w:b/>
                <w:bCs/>
              </w:rPr>
            </w:pPr>
            <w:r>
              <w:rPr>
                <w:b/>
                <w:bCs/>
              </w:rPr>
              <w:t xml:space="preserve">Выдача </w:t>
            </w:r>
            <w:r>
              <w:rPr>
                <w:b/>
                <w:bCs/>
              </w:rPr>
              <w:t xml:space="preserve">наличной валюты Российской Федерации со счета </w:t>
            </w:r>
            <w:r>
              <w:rPr>
                <w:b/>
                <w:bCs/>
              </w:rPr>
              <w:t xml:space="preserve">р</w:t>
            </w:r>
            <w:r>
              <w:rPr>
                <w:b/>
                <w:bCs/>
              </w:rPr>
              <w:t xml:space="preserve">еспондента</w:t>
            </w:r>
            <w:r>
              <w:rPr>
                <w:rFonts w:eastAsia="Arial Unicode MS"/>
                <w:b/>
                <w:bCs/>
              </w:rPr>
            </w:r>
            <w:r>
              <w:rPr>
                <w:rFonts w:eastAsia="Arial Unicode MS"/>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spacing w:before="40" w:after="40"/>
              <w:rPr>
                <w:rFonts w:eastAsia="Arial Unicode MS"/>
              </w:rPr>
            </w:pPr>
            <w:r>
              <w:t xml:space="preserve">0,2% от суммы</w:t>
            </w:r>
            <w:r>
              <w:rPr>
                <w:rFonts w:eastAsia="Arial Unicode MS"/>
              </w:rPr>
            </w:r>
            <w:r>
              <w:rPr>
                <w:rFonts w:eastAsia="Arial Unicode M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ind w:left="40"/>
              <w:jc w:val="center"/>
              <w:rPr>
                <w:rFonts w:eastAsia="Arial Unicode MS"/>
                <w:iCs/>
              </w:rPr>
            </w:pPr>
            <w:r>
              <w:rPr>
                <w:iCs/>
              </w:rPr>
              <w:t xml:space="preserve">Комиссия взимается в день выдачи.</w:t>
            </w:r>
            <w:r>
              <w:rPr>
                <w:iCs/>
              </w:rPr>
              <w:br w:type="textWrapping" w:clear="all"/>
            </w:r>
            <w:r>
              <w:rPr>
                <w:iCs/>
              </w:rPr>
              <w:t xml:space="preserve">Заказ наличной валюты Российской Федерации производится по письменной заявке за 3 банковских дня.</w:t>
            </w:r>
            <w:r>
              <w:rPr>
                <w:rFonts w:eastAsia="Arial Unicode MS"/>
                <w:iCs/>
              </w:rPr>
            </w:r>
            <w:r>
              <w:rPr>
                <w:rFonts w:eastAsia="Arial Unicode MS"/>
                <w:iCs/>
              </w:rPr>
            </w:r>
          </w:p>
        </w:tc>
      </w:tr>
      <w:tr>
        <w:tblPrEx/>
        <w:trPr>
          <w:trHeight w:val="485"/>
        </w:trPr>
        <w:tc>
          <w:tcPr>
            <w:tcBorders>
              <w:top w:val="single" w:color="000000" w:sz="4" w:space="0"/>
              <w:left w:val="single" w:color="000000" w:sz="4" w:space="0"/>
              <w:right w:val="single" w:color="000000" w:sz="4" w:space="0"/>
            </w:tcBorders>
            <w:tcW w:w="460" w:type="pct"/>
            <w:vAlign w:val="top"/>
            <w:textDirection w:val="lrTb"/>
            <w:noWrap w:val="false"/>
          </w:tcPr>
          <w:p>
            <w:pPr>
              <w:pStyle w:val="953"/>
              <w:jc w:val="center"/>
              <w:spacing w:before="120" w:after="40"/>
              <w:rPr>
                <w:b/>
                <w:bCs/>
                <w:sz w:val="20"/>
                <w:szCs w:val="20"/>
              </w:rPr>
            </w:pPr>
            <w:r>
              <w:rPr>
                <w:b/>
                <w:bCs/>
                <w:sz w:val="20"/>
                <w:szCs w:val="20"/>
              </w:rPr>
              <w:t xml:space="preserve">7.2.</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53"/>
              <w:spacing w:before="120" w:after="120"/>
              <w:rPr>
                <w:b/>
                <w:bCs/>
                <w:sz w:val="20"/>
                <w:szCs w:val="20"/>
              </w:rPr>
            </w:pPr>
            <w:r>
              <w:rPr>
                <w:b/>
                <w:sz w:val="20"/>
                <w:szCs w:val="20"/>
              </w:rPr>
              <w:t xml:space="preserve">Прием наличной валюты Российской Федерации с зачислением на счет респондента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53"/>
              <w:jc w:val="center"/>
              <w:spacing w:before="40" w:after="40"/>
              <w:rPr>
                <w:b/>
                <w:bCs/>
                <w:sz w:val="20"/>
                <w:szCs w:val="20"/>
              </w:rPr>
            </w:pPr>
            <w:r>
              <w:rPr>
                <w:sz w:val="20"/>
                <w:szCs w:val="20"/>
              </w:rPr>
              <w:t xml:space="preserve">0,3% от суммы</w:t>
            </w:r>
            <w:r>
              <w:rPr>
                <w:b/>
                <w:bCs/>
                <w:sz w:val="20"/>
                <w:szCs w:val="20"/>
              </w:rPr>
            </w:r>
            <w:r>
              <w:rPr>
                <w:b/>
                <w:bCs/>
                <w:sz w:val="20"/>
                <w:szCs w:val="20"/>
              </w:rPr>
            </w:r>
          </w:p>
        </w:tc>
        <w:tc>
          <w:tcPr>
            <w:gridSpan w:val="2"/>
            <w:tcBorders>
              <w:top w:val="single" w:color="000000" w:sz="4" w:space="0"/>
              <w:left w:val="single" w:color="000000" w:sz="4" w:space="0"/>
              <w:right w:val="single" w:color="000000" w:sz="4" w:space="0"/>
            </w:tcBorders>
            <w:tcW w:w="1071" w:type="pct"/>
            <w:vAlign w:val="top"/>
            <w:textDirection w:val="lrTb"/>
            <w:noWrap w:val="false"/>
          </w:tcPr>
          <w:p>
            <w:pPr>
              <w:pStyle w:val="925"/>
              <w:jc w:val="center"/>
              <w:spacing w:before="40" w:after="40"/>
              <w:rPr>
                <w:iCs/>
              </w:rPr>
            </w:pPr>
            <w:r>
              <w:t xml:space="preserve">Комиссия взимается в день зачисления на счет Респондента</w:t>
            </w:r>
            <w:r>
              <w:rPr>
                <w:iCs/>
              </w:rPr>
            </w:r>
            <w:r>
              <w:rPr>
                <w:iCs/>
              </w:rPr>
            </w:r>
          </w:p>
        </w:tc>
      </w:tr>
      <w:tr>
        <w:tblPrEx/>
        <w:trPr>
          <w:trHeight w:val="485"/>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25"/>
              <w:jc w:val="center"/>
              <w:spacing w:before="40" w:after="40"/>
              <w:rPr>
                <w:b/>
                <w:bCs/>
              </w:rPr>
            </w:pPr>
            <w:r>
              <w:rPr>
                <w:b/>
                <w:bCs/>
              </w:rPr>
              <w:t xml:space="preserve">7</w:t>
            </w:r>
            <w:r>
              <w:rPr>
                <w:b/>
                <w:bCs/>
              </w:rPr>
              <w:t xml:space="preserve">.</w:t>
            </w:r>
            <w:r>
              <w:rPr>
                <w:b/>
                <w:bCs/>
                <w:lang w:val="en-US"/>
              </w:rPr>
              <w:t xml:space="preserve">3</w:t>
            </w:r>
            <w:r>
              <w:rPr>
                <w:b/>
                <w:b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spacing w:before="40"/>
              <w:rPr>
                <w:b/>
                <w:bCs/>
              </w:rPr>
            </w:pPr>
            <w:r>
              <w:rPr>
                <w:b/>
                <w:bCs/>
              </w:rPr>
              <w:t xml:space="preserve">Прием </w:t>
            </w:r>
            <w:r>
              <w:rPr>
                <w:b/>
                <w:bCs/>
              </w:rPr>
              <w:t xml:space="preserve">наличной валюты Российской Федерации</w:t>
            </w:r>
            <w:r>
              <w:rPr>
                <w:b/>
                <w:bCs/>
              </w:rPr>
              <w:t xml:space="preserve"> </w:t>
            </w:r>
            <w:r>
              <w:rPr>
                <w:b/>
                <w:bCs/>
              </w:rPr>
              <w:t xml:space="preserve">в инкассаторских сумках в послеоперационное время Банка, а также в выходные и праздничные дни, с зачислением на счета </w:t>
            </w:r>
            <w:r>
              <w:rPr>
                <w:b/>
                <w:bCs/>
              </w:rPr>
              <w:t xml:space="preserve">р</w:t>
            </w:r>
            <w:r>
              <w:rPr>
                <w:b/>
                <w:bCs/>
              </w:rPr>
              <w:t xml:space="preserve">еспондента до 10</w:t>
            </w:r>
            <w:r>
              <w:rPr>
                <w:b/>
                <w:bCs/>
              </w:rPr>
              <w:t xml:space="preserve">:</w:t>
            </w:r>
            <w:r>
              <w:rPr>
                <w:b/>
                <w:bCs/>
              </w:rPr>
              <w:t xml:space="preserve">00 часов утра следующего операционного дня</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spacing w:before="40" w:after="40"/>
              <w:rPr>
                <w:rFonts w:eastAsia="Arial Unicode MS"/>
              </w:rPr>
            </w:pPr>
            <w:r>
              <w:t xml:space="preserve">0,2% от суммы</w:t>
            </w:r>
            <w:r>
              <w:t xml:space="preserve">, по курсу Банка</w:t>
            </w:r>
            <w:r>
              <w:rPr>
                <w:rFonts w:eastAsia="Arial Unicode MS"/>
              </w:rPr>
            </w:r>
            <w:r>
              <w:rPr>
                <w:rFonts w:eastAsia="Arial Unicode M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jc w:val="center"/>
              <w:spacing w:before="40" w:after="40"/>
              <w:rPr>
                <w:iCs/>
              </w:rPr>
            </w:pPr>
            <w:r>
              <w:rPr>
                <w:iCs/>
              </w:rPr>
              <w:t xml:space="preserve">Комиссия взимается в день </w:t>
            </w:r>
            <w:r>
              <w:rPr>
                <w:iCs/>
              </w:rPr>
              <w:t xml:space="preserve">зачисления на счет Респондента</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25"/>
              <w:jc w:val="center"/>
              <w:spacing w:before="40" w:after="40"/>
              <w:rPr>
                <w:b/>
                <w:iCs/>
              </w:rPr>
            </w:pPr>
            <w:r>
              <w:rPr>
                <w:b/>
                <w:iCs/>
              </w:rPr>
              <w:t xml:space="preserve">7.4.</w:t>
            </w:r>
            <w:r>
              <w:rPr>
                <w:b/>
                <w:iCs/>
              </w:rPr>
            </w:r>
            <w:r>
              <w:rPr>
                <w:b/>
                <w:i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8"/>
              <w:ind w:right="72"/>
              <w:jc w:val="left"/>
              <w:spacing w:before="40"/>
              <w:rPr>
                <w:b/>
                <w:i w:val="0"/>
                <w:iCs w:val="0"/>
              </w:rPr>
            </w:pPr>
            <w:r>
              <w:rPr>
                <w:b/>
                <w:bCs/>
                <w:i w:val="0"/>
              </w:rPr>
              <w:t xml:space="preserve">Повторный пересчет денежной наличности в результате образовавшегося излишка или недостачи по вине </w:t>
            </w:r>
            <w:r>
              <w:rPr>
                <w:b/>
                <w:bCs/>
                <w:i w:val="0"/>
              </w:rPr>
              <w:t xml:space="preserve">р</w:t>
            </w:r>
            <w:r>
              <w:rPr>
                <w:b/>
                <w:bCs/>
                <w:i w:val="0"/>
              </w:rPr>
              <w:t xml:space="preserve">еспондента</w:t>
            </w:r>
            <w:r>
              <w:rPr>
                <w:b/>
                <w:i w:val="0"/>
                <w:iCs w:val="0"/>
              </w:rPr>
            </w:r>
            <w:r>
              <w:rPr>
                <w:b/>
                <w:i w:val="0"/>
                <w:iCs w:val="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spacing w:before="40" w:after="40"/>
            </w:pPr>
            <w:r>
              <w:rPr>
                <w:bCs/>
              </w:rPr>
              <w:t xml:space="preserve">0,05</w:t>
            </w:r>
            <w:r>
              <w:rPr>
                <w:bCs/>
              </w:rPr>
              <w:t xml:space="preserve">% от суммы</w:t>
            </w: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jc w:val="center"/>
              <w:spacing w:before="40" w:after="40"/>
              <w:rPr>
                <w:iCs/>
              </w:rPr>
            </w:pPr>
            <w:r>
              <w:rPr>
                <w:iCs/>
              </w:rPr>
            </w:r>
            <w:r>
              <w:rPr>
                <w:iCs/>
              </w:rPr>
            </w:r>
            <w:r>
              <w:rPr>
                <w:iCs/>
              </w:rPr>
            </w:r>
          </w:p>
        </w:tc>
      </w:tr>
      <w:tr>
        <w:tblPrEx/>
        <w:trPr>
          <w:trHeight w:val="485"/>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25"/>
              <w:jc w:val="center"/>
              <w:spacing w:before="40" w:after="40"/>
              <w:rPr>
                <w:b/>
                <w:bCs/>
              </w:rPr>
            </w:pPr>
            <w:r>
              <w:rPr>
                <w:b/>
                <w:iCs/>
              </w:rPr>
              <w:t xml:space="preserve">7</w:t>
            </w:r>
            <w:r>
              <w:rPr>
                <w:b/>
                <w:iCs/>
              </w:rPr>
              <w:t xml:space="preserve">.</w:t>
            </w:r>
            <w:r>
              <w:rPr>
                <w:b/>
                <w:iCs/>
              </w:rPr>
              <w:t xml:space="preserve">5</w:t>
            </w:r>
            <w:r>
              <w:rPr>
                <w:b/>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38"/>
              <w:ind w:right="72"/>
              <w:jc w:val="left"/>
              <w:spacing w:before="40" w:after="40"/>
              <w:rPr>
                <w:b/>
                <w:i w:val="0"/>
                <w:iCs w:val="0"/>
              </w:rPr>
            </w:pPr>
            <w:r>
              <w:rPr>
                <w:b/>
                <w:i w:val="0"/>
                <w:iCs w:val="0"/>
              </w:rPr>
              <w:t xml:space="preserve">Выдача наличной иностранной валюты</w:t>
            </w:r>
            <w:r>
              <w:rPr>
                <w:b/>
                <w:i w:val="0"/>
                <w:iCs w:val="0"/>
              </w:rPr>
            </w:r>
            <w:r>
              <w:rPr>
                <w:b/>
                <w:i w:val="0"/>
                <w:iCs w:val="0"/>
              </w:rPr>
            </w:r>
          </w:p>
          <w:p>
            <w:pPr>
              <w:pStyle w:val="925"/>
              <w:ind w:right="74"/>
              <w:spacing w:before="40" w:after="40"/>
              <w:rPr>
                <w:b/>
                <w:iCs/>
              </w:rPr>
            </w:pPr>
            <w:r>
              <w:rPr>
                <w:b/>
                <w:iCs/>
              </w:rPr>
              <w:t xml:space="preserve">(за исключением монеты иностранного государства (группы иностранных государств)</w:t>
            </w:r>
            <w:r>
              <w:rPr>
                <w:b/>
                <w:iCs/>
              </w:rPr>
              <w:t xml:space="preserve">)</w:t>
            </w:r>
            <w:r>
              <w:rPr>
                <w:b/>
                <w:iCs/>
              </w:rPr>
            </w:r>
            <w:r>
              <w:rPr>
                <w:b/>
                <w:iCs/>
              </w:rPr>
            </w:r>
          </w:p>
          <w:p>
            <w:pPr>
              <w:pStyle w:val="925"/>
              <w:spacing w:before="40" w:after="40"/>
              <w:rPr>
                <w:rFonts w:eastAsia="Arial Unicode MS"/>
                <w:b/>
                <w:bCs/>
              </w:rPr>
            </w:pPr>
            <w:r>
              <w:rPr>
                <w:b/>
                <w:iCs/>
              </w:rPr>
              <w:t xml:space="preserve">со счета </w:t>
            </w:r>
            <w:r>
              <w:rPr>
                <w:b/>
                <w:iCs/>
              </w:rPr>
              <w:t xml:space="preserve">р</w:t>
            </w:r>
            <w:r>
              <w:rPr>
                <w:b/>
                <w:iCs/>
              </w:rPr>
              <w:t xml:space="preserve">еспондента, открытого в соответствующей валюте:</w:t>
            </w:r>
            <w:r>
              <w:rPr>
                <w:rFonts w:eastAsia="Arial Unicode MS"/>
                <w:b/>
                <w:bCs/>
              </w:rPr>
            </w:r>
            <w:r>
              <w:rPr>
                <w:rFonts w:eastAsia="Arial Unicode MS"/>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spacing w:before="40" w:after="40"/>
              <w:rPr>
                <w:rFonts w:eastAsia="Arial Unicode MS"/>
              </w:rPr>
            </w:pPr>
            <w:r>
              <w:rPr>
                <w:rFonts w:eastAsia="Arial Unicode MS"/>
              </w:rPr>
            </w:r>
            <w:r>
              <w:rPr>
                <w:rFonts w:eastAsia="Arial Unicode MS"/>
              </w:rPr>
            </w:r>
            <w:r>
              <w:rPr>
                <w:rFonts w:eastAsia="Arial Unicode M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jc w:val="center"/>
              <w:rPr>
                <w:rFonts w:eastAsia="Arial Unicode MS"/>
                <w:iCs/>
              </w:rPr>
            </w:pPr>
            <w:r>
              <w:rPr>
                <w:iCs/>
              </w:rPr>
              <w:t xml:space="preserve">На основании предварительно представленного </w:t>
            </w:r>
            <w:r>
              <w:rPr>
                <w:iCs/>
              </w:rPr>
              <w:t xml:space="preserve">р</w:t>
            </w:r>
            <w:r>
              <w:rPr>
                <w:iCs/>
              </w:rPr>
              <w:t xml:space="preserve">еспондентом </w:t>
            </w:r>
            <w:r>
              <w:rPr>
                <w:iCs/>
              </w:rPr>
              <w:t xml:space="preserve">п</w:t>
            </w:r>
            <w:r>
              <w:rPr>
                <w:iCs/>
              </w:rPr>
              <w:t xml:space="preserve">исьма в соответствии со сроками, установленными в Договоре на кассовое обслуживание в наличной иностранной валюте кредитной организации - респондента</w:t>
            </w:r>
            <w:r>
              <w:rPr>
                <w:rFonts w:eastAsia="Arial Unicode MS"/>
                <w:iCs/>
              </w:rPr>
            </w:r>
            <w:r>
              <w:rPr>
                <w:rFonts w:eastAsia="Arial Unicode MS"/>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25"/>
              <w:jc w:val="center"/>
              <w:spacing w:before="40" w:after="40"/>
              <w:rPr>
                <w:b/>
                <w:bCs/>
                <w:lang w:val="en-US"/>
              </w:rPr>
            </w:pPr>
            <w:r>
              <w:rPr>
                <w:iCs/>
              </w:rPr>
              <w:t xml:space="preserve">7</w:t>
            </w:r>
            <w:r>
              <w:rPr>
                <w:iCs/>
              </w:rPr>
              <w:t xml:space="preserve">.</w:t>
            </w:r>
            <w:r>
              <w:rPr>
                <w:iCs/>
              </w:rPr>
              <w:t xml:space="preserve">5</w:t>
            </w:r>
            <w:r>
              <w:rPr>
                <w:iCs/>
              </w:rPr>
              <w:t xml:space="preserve">.1</w:t>
            </w:r>
            <w:r>
              <w:rPr>
                <w:iCs/>
                <w:lang w:val="en-US"/>
              </w:rPr>
              <w:t xml:space="preserve">.</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ind w:left="1"/>
              <w:spacing w:before="40" w:after="40"/>
              <w:rPr>
                <w:b/>
                <w:bCs/>
              </w:rPr>
            </w:pPr>
            <w:r>
              <w:rPr>
                <w:iCs/>
              </w:rPr>
              <w:t xml:space="preserve">доллары США, евро</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spacing w:before="40" w:after="40"/>
              <w:rPr>
                <w:iCs/>
              </w:rPr>
            </w:pPr>
            <w:r>
              <w:rPr>
                <w:iCs/>
              </w:rPr>
              <w:t xml:space="preserve">0,5% от суммы</w:t>
            </w:r>
            <w:r>
              <w:rPr>
                <w:iCs/>
              </w:rPr>
            </w:r>
            <w:r>
              <w:rPr>
                <w:iC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25"/>
              <w:jc w:val="center"/>
              <w:spacing w:before="40" w:after="40"/>
              <w:rPr>
                <w:b/>
                <w:bCs/>
                <w:lang w:val="en-US"/>
              </w:rPr>
            </w:pPr>
            <w:r>
              <w:rPr>
                <w:iCs/>
              </w:rPr>
              <w:t xml:space="preserve">7</w:t>
            </w:r>
            <w:r>
              <w:rPr>
                <w:iCs/>
              </w:rPr>
              <w:t xml:space="preserve">.</w:t>
            </w:r>
            <w:r>
              <w:rPr>
                <w:iCs/>
              </w:rPr>
              <w:t xml:space="preserve">5</w:t>
            </w:r>
            <w:r>
              <w:rPr>
                <w:iCs/>
              </w:rPr>
              <w:t xml:space="preserve">.2</w:t>
            </w:r>
            <w:r>
              <w:rPr>
                <w:iCs/>
                <w:lang w:val="en-US"/>
              </w:rPr>
              <w:t xml:space="preserve">.</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ind w:left="1"/>
              <w:spacing w:before="40" w:after="40"/>
              <w:rPr>
                <w:b/>
                <w:bCs/>
              </w:rPr>
            </w:pPr>
            <w:r>
              <w:rPr>
                <w:iCs/>
              </w:rPr>
              <w:t xml:space="preserve">другие виды иностранных валют</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spacing w:before="40" w:after="40"/>
            </w:pPr>
            <w:r>
              <w:rPr>
                <w:iCs/>
              </w:rPr>
              <w:t xml:space="preserve">3,0% от суммы</w:t>
            </w: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25"/>
              <w:jc w:val="center"/>
              <w:spacing w:before="40" w:after="40"/>
              <w:rPr>
                <w:b/>
                <w:iCs/>
              </w:rPr>
            </w:pPr>
            <w:r>
              <w:rPr>
                <w:b/>
                <w:iCs/>
              </w:rPr>
              <w:t xml:space="preserve">7</w:t>
            </w:r>
            <w:r>
              <w:rPr>
                <w:b/>
                <w:iCs/>
              </w:rPr>
              <w:t xml:space="preserve">.</w:t>
            </w:r>
            <w:r>
              <w:rPr>
                <w:b/>
                <w:iCs/>
              </w:rPr>
              <w:t xml:space="preserve">6</w:t>
            </w:r>
            <w:r>
              <w:rPr>
                <w:b/>
                <w:iCs/>
              </w:rPr>
              <w:t xml:space="preserve">.</w:t>
            </w:r>
            <w:r>
              <w:rPr>
                <w:b/>
                <w:iCs/>
              </w:rPr>
            </w:r>
            <w:r>
              <w:rPr>
                <w:b/>
                <w:i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ind w:right="74"/>
              <w:spacing w:before="40" w:after="40"/>
              <w:rPr>
                <w:b/>
                <w:bCs/>
              </w:rPr>
            </w:pPr>
            <w:r>
              <w:rPr>
                <w:b/>
                <w:iCs/>
              </w:rPr>
              <w:t xml:space="preserve">Прием наличной иностранной валюты</w:t>
            </w:r>
            <w:r>
              <w:rPr>
                <w:b/>
                <w:iCs/>
              </w:rPr>
              <w:t xml:space="preserve"> </w:t>
            </w:r>
            <w:r>
              <w:rPr>
                <w:b/>
                <w:iCs/>
              </w:rPr>
              <w:br w:type="textWrapping" w:clear="all"/>
            </w:r>
            <w:r>
              <w:rPr>
                <w:b/>
                <w:iCs/>
              </w:rPr>
              <w:t xml:space="preserve">(за исключением монеты иностранного государства (группы иностранных государств)</w:t>
            </w:r>
            <w:r>
              <w:rPr>
                <w:b/>
                <w:iCs/>
              </w:rPr>
              <w:t xml:space="preserve">)</w:t>
            </w:r>
            <w:r>
              <w:rPr>
                <w:b/>
                <w:iCs/>
              </w:rPr>
              <w:t xml:space="preserve"> </w:t>
            </w:r>
            <w:r>
              <w:rPr>
                <w:b/>
                <w:iCs/>
              </w:rPr>
              <w:br w:type="textWrapping" w:clear="all"/>
            </w:r>
            <w:r>
              <w:rPr>
                <w:b/>
                <w:iCs/>
              </w:rPr>
              <w:t xml:space="preserve">с зачислением на счет </w:t>
            </w:r>
            <w:r>
              <w:rPr>
                <w:b/>
                <w:iCs/>
              </w:rPr>
              <w:t xml:space="preserve">р</w:t>
            </w:r>
            <w:r>
              <w:rPr>
                <w:b/>
                <w:iCs/>
              </w:rPr>
              <w:t xml:space="preserve">еспондента, открытого в соответствующей валюте:</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spacing w:before="40" w:after="40"/>
            </w:pPr>
            <w: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25"/>
              <w:jc w:val="center"/>
              <w:spacing w:before="40" w:after="40"/>
              <w:rPr>
                <w:b/>
                <w:bCs/>
              </w:rPr>
            </w:pPr>
            <w:r>
              <w:rPr>
                <w:iCs/>
              </w:rPr>
              <w:t xml:space="preserve">7</w:t>
            </w:r>
            <w:r>
              <w:rPr>
                <w:iCs/>
              </w:rPr>
              <w:t xml:space="preserve">.</w:t>
            </w:r>
            <w:r>
              <w:rPr>
                <w:iCs/>
              </w:rPr>
              <w:t xml:space="preserve">6</w:t>
            </w:r>
            <w:r>
              <w:rPr>
                <w:iCs/>
              </w:rPr>
              <w:t xml:space="preserve">.1</w:t>
            </w:r>
            <w:r>
              <w:rPr>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spacing w:before="40" w:after="40"/>
              <w:rPr>
                <w:b/>
                <w:bCs/>
              </w:rPr>
            </w:pPr>
            <w:r>
              <w:rPr>
                <w:iCs/>
              </w:rPr>
              <w:t xml:space="preserve">доллары США, евро</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spacing w:before="40" w:after="40"/>
            </w:pPr>
            <w: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jc w:val="center"/>
              <w:spacing w:before="40" w:after="40"/>
              <w:rPr>
                <w:iCs/>
              </w:rPr>
            </w:pPr>
            <w:r>
              <w:rPr>
                <w:iCs/>
              </w:rPr>
            </w:r>
            <w:r>
              <w:rPr>
                <w:iCs/>
              </w:rPr>
            </w:r>
            <w:r>
              <w:rPr>
                <w:iCs/>
              </w:rPr>
            </w:r>
          </w:p>
        </w:tc>
      </w:tr>
      <w:tr>
        <w:tblPrEx/>
        <w:trPr/>
        <w:tc>
          <w:tcPr>
            <w:tcBorders>
              <w:top w:val="single" w:color="000000" w:sz="4" w:space="0"/>
              <w:left w:val="single" w:color="000000" w:sz="4" w:space="0"/>
              <w:right w:val="single" w:color="000000" w:sz="4" w:space="0"/>
            </w:tcBorders>
            <w:tcW w:w="460" w:type="pct"/>
            <w:vAlign w:val="top"/>
            <w:vMerge w:val="restart"/>
            <w:textDirection w:val="lrTb"/>
            <w:noWrap w:val="false"/>
          </w:tcPr>
          <w:p>
            <w:pPr>
              <w:pStyle w:val="925"/>
              <w:jc w:val="center"/>
              <w:spacing w:before="40" w:after="40"/>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numPr>
                <w:ilvl w:val="0"/>
                <w:numId w:val="7"/>
              </w:numPr>
              <w:ind w:left="317" w:right="74" w:hanging="284"/>
              <w:jc w:val="both"/>
              <w:spacing w:before="40" w:after="40"/>
              <w:rPr>
                <w:iCs/>
              </w:rPr>
            </w:pPr>
            <w:r>
              <w:rPr>
                <w:iCs/>
              </w:rPr>
              <w:t xml:space="preserve">банкноты в упаковке банка-эмитента</w:t>
            </w:r>
            <w:r>
              <w:rPr>
                <w:iCs/>
              </w:rPr>
            </w:r>
            <w:r>
              <w:rPr>
                <w:i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spacing w:before="40" w:after="40"/>
              <w:rPr>
                <w:iCs/>
              </w:rPr>
            </w:pPr>
            <w:r>
              <w:rPr>
                <w:iCs/>
              </w:rPr>
              <w:t xml:space="preserve">0,5</w:t>
            </w:r>
            <w:r>
              <w:rPr>
                <w:iCs/>
              </w:rPr>
              <w:t xml:space="preserve">% от суммы</w:t>
            </w:r>
            <w:r>
              <w:rPr>
                <w:iCs/>
              </w:rPr>
            </w:r>
            <w:r>
              <w:rPr>
                <w:iC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jc w:val="center"/>
              <w:spacing w:before="40" w:after="40"/>
              <w:rPr>
                <w:iCs/>
              </w:rPr>
            </w:pPr>
            <w:r>
              <w:rPr>
                <w:iCs/>
              </w:rPr>
            </w:r>
            <w:r>
              <w:rPr>
                <w:iCs/>
              </w:rPr>
            </w:r>
            <w:r>
              <w:rPr>
                <w:iCs/>
              </w:rPr>
            </w:r>
          </w:p>
        </w:tc>
      </w:tr>
      <w:tr>
        <w:tblPrEx/>
        <w:trPr/>
        <w:tc>
          <w:tcPr>
            <w:tcBorders>
              <w:left w:val="single" w:color="000000" w:sz="4" w:space="0"/>
              <w:right w:val="single" w:color="000000" w:sz="4" w:space="0"/>
            </w:tcBorders>
            <w:tcW w:w="460" w:type="pct"/>
            <w:vAlign w:val="top"/>
            <w:vMerge w:val="continue"/>
            <w:textDirection w:val="lrTb"/>
            <w:noWrap w:val="false"/>
          </w:tcPr>
          <w:p>
            <w:pPr>
              <w:pStyle w:val="925"/>
              <w:jc w:val="center"/>
              <w:spacing w:before="40" w:after="40"/>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numPr>
                <w:ilvl w:val="0"/>
                <w:numId w:val="7"/>
              </w:numPr>
              <w:ind w:left="317" w:right="74" w:hanging="284"/>
              <w:spacing w:before="40" w:after="40"/>
              <w:rPr>
                <w:iCs/>
              </w:rPr>
            </w:pPr>
            <w:r>
              <w:rPr>
                <w:iCs/>
              </w:rPr>
              <w:t xml:space="preserve">банкноты, бывшие в употреблении </w:t>
            </w:r>
            <w:r>
              <w:rPr>
                <w:iCs/>
              </w:rPr>
              <w:br w:type="textWrapping" w:clear="all"/>
            </w:r>
            <w:r>
              <w:rPr>
                <w:iCs/>
              </w:rPr>
              <w:t xml:space="preserve">(без повреждений и дефектов)</w:t>
            </w:r>
            <w:r>
              <w:rPr>
                <w:iCs/>
              </w:rPr>
            </w:r>
            <w:r>
              <w:rPr>
                <w:i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spacing w:before="40" w:after="40"/>
              <w:rPr>
                <w:iCs/>
              </w:rPr>
            </w:pPr>
            <w:r>
              <w:rPr>
                <w:iCs/>
              </w:rPr>
              <w:t xml:space="preserve">1</w:t>
            </w:r>
            <w:r>
              <w:rPr>
                <w:iCs/>
              </w:rPr>
              <w:t xml:space="preserve">% от суммы</w:t>
            </w:r>
            <w:r>
              <w:rPr>
                <w:iCs/>
              </w:rPr>
            </w:r>
            <w:r>
              <w:rPr>
                <w:iC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jc w:val="center"/>
              <w:spacing w:before="40" w:after="40"/>
              <w:rPr>
                <w:iCs/>
              </w:rPr>
            </w:pPr>
            <w:r>
              <w:rPr>
                <w:iCs/>
              </w:rPr>
            </w:r>
            <w:r>
              <w:rPr>
                <w:iCs/>
              </w:rPr>
            </w:r>
            <w:r>
              <w:rPr>
                <w:iCs/>
              </w:rPr>
            </w:r>
          </w:p>
        </w:tc>
      </w:tr>
      <w:tr>
        <w:tblPrEx/>
        <w:trPr/>
        <w:tc>
          <w:tcPr>
            <w:tcBorders>
              <w:left w:val="single" w:color="000000" w:sz="4" w:space="0"/>
              <w:bottom w:val="single" w:color="000000" w:sz="4" w:space="0"/>
              <w:right w:val="single" w:color="000000" w:sz="4" w:space="0"/>
            </w:tcBorders>
            <w:tcW w:w="460" w:type="pct"/>
            <w:vAlign w:val="top"/>
            <w:vMerge w:val="continue"/>
            <w:textDirection w:val="lrTb"/>
            <w:noWrap w:val="false"/>
          </w:tcPr>
          <w:p>
            <w:pPr>
              <w:pStyle w:val="925"/>
              <w:jc w:val="center"/>
              <w:spacing w:before="40" w:after="40"/>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numPr>
                <w:ilvl w:val="0"/>
                <w:numId w:val="7"/>
              </w:numPr>
              <w:ind w:left="317" w:right="74" w:hanging="284"/>
              <w:jc w:val="both"/>
              <w:spacing w:before="40" w:after="40"/>
              <w:rPr>
                <w:b/>
                <w:bCs/>
              </w:rPr>
            </w:pPr>
            <w:r>
              <w:rPr>
                <w:iCs/>
              </w:rPr>
              <w:t xml:space="preserve">банкноты поврежденные </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spacing w:before="40" w:after="40"/>
              <w:rPr>
                <w:iCs/>
              </w:rPr>
            </w:pPr>
            <w:r>
              <w:rPr>
                <w:iCs/>
              </w:rPr>
              <w:t xml:space="preserve">Не подлежат приему</w:t>
            </w:r>
            <w:r>
              <w:rPr>
                <w:iCs/>
              </w:rPr>
            </w:r>
            <w:r>
              <w:rPr>
                <w:iC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25"/>
              <w:jc w:val="center"/>
              <w:spacing w:before="40" w:after="40"/>
              <w:rPr>
                <w:b/>
                <w:bCs/>
              </w:rPr>
            </w:pPr>
            <w:r>
              <w:rPr>
                <w:iCs/>
              </w:rPr>
              <w:t xml:space="preserve">7</w:t>
            </w:r>
            <w:r>
              <w:rPr>
                <w:iCs/>
              </w:rPr>
              <w:t xml:space="preserve">.</w:t>
            </w:r>
            <w:r>
              <w:rPr>
                <w:iCs/>
              </w:rPr>
              <w:t xml:space="preserve">6</w:t>
            </w:r>
            <w:r>
              <w:rPr>
                <w:iCs/>
              </w:rPr>
              <w:t xml:space="preserve">.2</w:t>
            </w:r>
            <w:r>
              <w:rPr>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spacing w:before="40" w:after="40"/>
              <w:rPr>
                <w:b/>
                <w:bCs/>
              </w:rPr>
            </w:pPr>
            <w:r>
              <w:rPr>
                <w:iCs/>
              </w:rPr>
              <w:t xml:space="preserve">другие виды иностранных валют</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spacing w:before="40" w:after="40"/>
            </w:pPr>
            <w:r>
              <w:rPr>
                <w:iCs/>
              </w:rPr>
              <w:t xml:space="preserve">3,0% от суммы</w:t>
            </w: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25"/>
              <w:jc w:val="center"/>
              <w:spacing w:before="40" w:after="40"/>
              <w:rPr>
                <w:b/>
                <w:bCs/>
              </w:rPr>
            </w:pPr>
            <w:r>
              <w:rPr>
                <w:b/>
                <w:iCs/>
              </w:rPr>
              <w:t xml:space="preserve">7</w:t>
            </w:r>
            <w:r>
              <w:rPr>
                <w:b/>
                <w:iCs/>
              </w:rPr>
              <w:t xml:space="preserve">.</w:t>
            </w:r>
            <w:r>
              <w:rPr>
                <w:b/>
                <w:iCs/>
              </w:rPr>
              <w:t xml:space="preserve">7</w:t>
            </w:r>
            <w:r>
              <w:rPr>
                <w:b/>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spacing w:before="40" w:after="40"/>
              <w:rPr>
                <w:b/>
                <w:bCs/>
              </w:rPr>
            </w:pPr>
            <w:r>
              <w:rPr>
                <w:b/>
                <w:iCs/>
              </w:rPr>
              <w:t xml:space="preserve">Покупка/продажа Банком наличной иностранной валюты</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25"/>
              <w:jc w:val="center"/>
            </w:pPr>
            <w:r>
              <w:rPr>
                <w:iCs/>
              </w:rPr>
              <w:t xml:space="preserve">Тариф на услугу определяется существенными условиями банкнотной сделки в рамках Соглашения об общих условиях проведения банкнотных сделок между </w:t>
            </w:r>
            <w:r>
              <w:rPr>
                <w:iCs/>
              </w:rPr>
              <w:t xml:space="preserve">АО</w:t>
            </w:r>
            <w:r>
              <w:rPr>
                <w:iCs/>
              </w:rPr>
              <w:t xml:space="preserve"> «Россельхозбанк» и другой кредитной организацией</w:t>
            </w: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25"/>
              <w:jc w:val="center"/>
              <w:rPr>
                <w:iCs/>
              </w:rPr>
            </w:pPr>
            <w:r>
              <w:rPr>
                <w:iCs/>
              </w:rPr>
              <w:t xml:space="preserve">Данная услуга оказывается при наличии заключенного Соглашения об общих условия</w:t>
            </w:r>
            <w:r>
              <w:rPr>
                <w:iCs/>
              </w:rPr>
              <w:t xml:space="preserve">х </w:t>
            </w:r>
            <w:r>
              <w:rPr>
                <w:iCs/>
              </w:rPr>
              <w:t xml:space="preserve">проведения банкнотных сделок между </w:t>
            </w:r>
            <w:r>
              <w:rPr>
                <w:iCs/>
              </w:rPr>
              <w:t xml:space="preserve">АО</w:t>
            </w:r>
            <w:r>
              <w:rPr>
                <w:iCs/>
              </w:rPr>
              <w:t xml:space="preserve"> «Россельхозбанк» и другой кредитной организацией</w:t>
            </w:r>
            <w:r>
              <w:rPr>
                <w:iCs/>
              </w:rPr>
            </w:r>
            <w:r>
              <w:rPr>
                <w:iCs/>
              </w:rPr>
            </w:r>
          </w:p>
        </w:tc>
      </w:tr>
      <w:tr>
        <w:tblPrEx/>
        <w:trPr>
          <w:trHeight w:val="359"/>
        </w:trPr>
        <w:tc>
          <w:tcPr>
            <w:gridSpan w:val="5"/>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40"/>
              <w:jc w:val="center"/>
              <w:spacing w:before="120" w:after="120"/>
              <w:tabs>
                <w:tab w:val="clear" w:pos="4320" w:leader="none"/>
                <w:tab w:val="clear" w:pos="8640" w:leader="none"/>
              </w:tabs>
              <w:rPr>
                <w:sz w:val="24"/>
                <w:szCs w:val="24"/>
                <w:lang w:val="ru-RU" w:eastAsia="ru-RU"/>
              </w:rPr>
            </w:pPr>
            <w:r>
              <w:rPr>
                <w:b/>
                <w:bCs/>
                <w:sz w:val="24"/>
                <w:szCs w:val="24"/>
                <w:lang w:eastAsia="ru-RU"/>
              </w:rPr>
              <w:t xml:space="preserve">8</w:t>
            </w:r>
            <w:r>
              <w:rPr>
                <w:b/>
                <w:bCs/>
                <w:sz w:val="24"/>
                <w:szCs w:val="24"/>
                <w:lang w:eastAsia="ru-RU"/>
              </w:rPr>
              <w:t xml:space="preserve">. </w:t>
            </w:r>
            <w:r>
              <w:rPr>
                <w:b/>
                <w:bCs/>
                <w:sz w:val="24"/>
                <w:szCs w:val="24"/>
                <w:lang w:eastAsia="ru-RU"/>
              </w:rPr>
              <w:t xml:space="preserve">Операции с ценными бумагами</w:t>
            </w:r>
            <w:r>
              <w:rPr>
                <w:b/>
                <w:bCs/>
                <w:sz w:val="24"/>
                <w:szCs w:val="24"/>
                <w:lang w:eastAsia="ru-RU"/>
              </w:rPr>
              <w:t xml:space="preserve"> </w:t>
            </w:r>
            <w:r>
              <w:rPr>
                <w:sz w:val="24"/>
                <w:szCs w:val="24"/>
                <w:lang w:val="ru-RU" w:eastAsia="ru-RU"/>
              </w:rPr>
            </w:r>
            <w:r>
              <w:rPr>
                <w:sz w:val="24"/>
                <w:szCs w:val="24"/>
                <w:lang w:val="ru-RU" w:eastAsia="ru-RU"/>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25"/>
              <w:ind w:right="-18"/>
              <w:jc w:val="center"/>
              <w:spacing w:before="40" w:after="40"/>
              <w:tabs>
                <w:tab w:val="left" w:pos="4464" w:leader="none"/>
                <w:tab w:val="left" w:pos="5760" w:leader="none"/>
              </w:tabs>
              <w:rPr>
                <w:iCs/>
              </w:rPr>
            </w:pPr>
            <w:r>
              <w:rPr>
                <w:iCs/>
              </w:rPr>
              <w:t xml:space="preserve">№</w:t>
            </w:r>
            <w:r>
              <w:rPr>
                <w:iCs/>
              </w:rPr>
              <w:t xml:space="preserve"> </w:t>
            </w:r>
            <w:r>
              <w:rPr>
                <w:iCs/>
              </w:rPr>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933"/>
              <w:ind w:left="0" w:firstLine="0"/>
              <w:spacing w:before="40" w:after="40"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gridSpan w:val="2"/>
            <w:tcBorders>
              <w:top w:val="single" w:color="000000" w:sz="4" w:space="0"/>
              <w:left w:val="single" w:color="000000" w:sz="4" w:space="0"/>
              <w:bottom w:val="single" w:color="000000" w:sz="4" w:space="0"/>
              <w:right w:val="single" w:color="000000" w:sz="4" w:space="0"/>
            </w:tcBorders>
            <w:tcW w:w="1210" w:type="pct"/>
            <w:vAlign w:val="center"/>
            <w:textDirection w:val="lrTb"/>
            <w:noWrap w:val="false"/>
          </w:tcPr>
          <w:p>
            <w:pPr>
              <w:pStyle w:val="928"/>
              <w:ind w:left="72" w:right="72"/>
              <w:spacing w:before="40" w:after="40"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936" w:type="pct"/>
            <w:vAlign w:val="center"/>
            <w:textDirection w:val="lrTb"/>
            <w:noWrap w:val="false"/>
          </w:tcPr>
          <w:p>
            <w:pPr>
              <w:pStyle w:val="925"/>
              <w:ind w:left="72" w:right="-18"/>
              <w:jc w:val="center"/>
              <w:spacing w:before="40" w:after="40"/>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25"/>
              <w:jc w:val="center"/>
              <w:spacing w:before="40" w:after="40"/>
              <w:rPr>
                <w:b/>
                <w:bCs/>
              </w:rPr>
            </w:pPr>
            <w:r>
              <w:rPr>
                <w:b/>
                <w:bCs/>
              </w:rPr>
              <w:t xml:space="preserve">8</w:t>
            </w:r>
            <w:r>
              <w:rPr>
                <w:b/>
                <w:bCs/>
              </w:rPr>
              <w:t xml:space="preserve">.1.</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spacing w:before="40" w:after="40"/>
              <w:rPr>
                <w:rFonts w:eastAsia="Arial Unicode MS"/>
                <w:b/>
                <w:bCs/>
              </w:rPr>
            </w:pPr>
            <w:r>
              <w:rPr>
                <w:b/>
                <w:bCs/>
              </w:rPr>
              <w:t xml:space="preserve">Оформление векселя </w:t>
            </w:r>
            <w:r>
              <w:rPr>
                <w:b/>
                <w:bCs/>
              </w:rPr>
              <w:t xml:space="preserve">АО</w:t>
            </w:r>
            <w:r>
              <w:rPr>
                <w:b/>
                <w:bCs/>
              </w:rPr>
              <w:t xml:space="preserve"> «Россельхозбанк» </w:t>
            </w:r>
            <w:r>
              <w:rPr>
                <w:rFonts w:eastAsia="Arial Unicode MS"/>
                <w:b/>
                <w:bCs/>
              </w:rPr>
            </w:r>
            <w:r>
              <w:rPr>
                <w:rFonts w:eastAsia="Arial Unicode MS"/>
                <w:b/>
                <w:bCs/>
              </w:rPr>
            </w:r>
          </w:p>
        </w:tc>
        <w:tc>
          <w:tcPr>
            <w:gridSpan w:val="2"/>
            <w:tcBorders>
              <w:top w:val="single" w:color="000000" w:sz="4" w:space="0"/>
              <w:left w:val="single" w:color="000000" w:sz="4" w:space="0"/>
              <w:bottom w:val="single" w:color="000000" w:sz="4" w:space="0"/>
              <w:right w:val="single" w:color="000000" w:sz="4" w:space="0"/>
            </w:tcBorders>
            <w:tcW w:w="1210" w:type="pct"/>
            <w:vAlign w:val="top"/>
            <w:textDirection w:val="lrTb"/>
            <w:noWrap w:val="false"/>
          </w:tcPr>
          <w:p>
            <w:pPr>
              <w:pStyle w:val="925"/>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Borders>
              <w:top w:val="single" w:color="000000" w:sz="4" w:space="0"/>
              <w:left w:val="single" w:color="000000" w:sz="4" w:space="0"/>
              <w:bottom w:val="single" w:color="000000" w:sz="4" w:space="0"/>
              <w:right w:val="single" w:color="000000" w:sz="4" w:space="0"/>
            </w:tcBorders>
            <w:tcW w:w="936" w:type="pct"/>
            <w:vAlign w:val="top"/>
            <w:textDirection w:val="lrTb"/>
            <w:noWrap w:val="false"/>
          </w:tcPr>
          <w:p>
            <w:pPr>
              <w:pStyle w:val="925"/>
              <w:jc w:val="center"/>
              <w:spacing w:before="40" w:after="40"/>
              <w:rPr>
                <w:rFonts w:eastAsia="Arial Unicode MS"/>
                <w:iCs/>
                <w:sz w:val="24"/>
                <w:szCs w:val="24"/>
              </w:rPr>
            </w:pPr>
            <w:r>
              <w:t xml:space="preserve">Комиссия</w:t>
            </w:r>
            <w:r>
              <w:t xml:space="preserve"> </w:t>
            </w:r>
            <w:r>
              <w:t xml:space="preserve">включает НДС</w:t>
            </w:r>
            <w:r>
              <w:rPr>
                <w:rFonts w:eastAsia="Arial Unicode MS"/>
                <w:iCs/>
                <w:sz w:val="24"/>
                <w:szCs w:val="24"/>
              </w:rPr>
            </w:r>
            <w:r>
              <w:rPr>
                <w:rFonts w:eastAsia="Arial Unicode MS"/>
                <w:iCs/>
                <w:sz w:val="24"/>
                <w:szCs w:val="24"/>
              </w:rPr>
            </w:r>
          </w:p>
        </w:tc>
      </w:tr>
    </w:tbl>
    <w:p>
      <w:pPr>
        <w:pStyle w:val="925"/>
        <w:rPr>
          <w:sz w:val="24"/>
          <w:szCs w:val="24"/>
        </w:rPr>
      </w:pPr>
      <w:r>
        <w:rPr>
          <w:sz w:val="24"/>
          <w:szCs w:val="24"/>
        </w:rPr>
      </w:r>
      <w:r>
        <w:rPr>
          <w:sz w:val="24"/>
          <w:szCs w:val="24"/>
        </w:rPr>
      </w:r>
      <w:r>
        <w:rPr>
          <w:sz w:val="24"/>
          <w:szCs w:val="24"/>
        </w:rPr>
      </w:r>
    </w:p>
    <w:p>
      <w:pPr>
        <w:pStyle w:val="925"/>
        <w:rPr>
          <w:sz w:val="24"/>
          <w:szCs w:val="24"/>
        </w:rPr>
      </w:pPr>
      <w:r>
        <w:rPr>
          <w:sz w:val="24"/>
          <w:szCs w:val="24"/>
        </w:rPr>
      </w:r>
      <w:r>
        <w:rPr>
          <w:sz w:val="24"/>
          <w:szCs w:val="24"/>
        </w:rPr>
      </w:r>
      <w:r>
        <w:rPr>
          <w:sz w:val="24"/>
          <w:szCs w:val="24"/>
        </w:rPr>
      </w:r>
    </w:p>
    <w:p>
      <w:pPr>
        <w:pStyle w:val="925"/>
        <w:rPr>
          <w:sz w:val="24"/>
          <w:szCs w:val="24"/>
        </w:rPr>
      </w:pPr>
      <w:r>
        <w:rPr>
          <w:sz w:val="24"/>
          <w:szCs w:val="24"/>
        </w:rPr>
      </w:r>
      <w:r>
        <w:rPr>
          <w:sz w:val="24"/>
          <w:szCs w:val="24"/>
        </w:rPr>
      </w:r>
      <w:r>
        <w:rPr>
          <w:sz w:val="24"/>
          <w:szCs w:val="24"/>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10"/>
        <w:gridCol w:w="3158"/>
        <w:gridCol w:w="219"/>
        <w:gridCol w:w="1695"/>
        <w:gridCol w:w="1630"/>
        <w:gridCol w:w="2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top"/>
            <w:textDirection w:val="lrTb"/>
            <w:noWrap w:val="false"/>
          </w:tcPr>
          <w:p>
            <w:pPr>
              <w:pStyle w:val="925"/>
              <w:jc w:val="center"/>
              <w:spacing w:before="120" w:after="120"/>
              <w:rPr>
                <w:b/>
                <w:bCs/>
                <w:sz w:val="24"/>
                <w:szCs w:val="24"/>
              </w:rPr>
            </w:pPr>
            <w:r>
              <w:rPr>
                <w:b/>
                <w:bCs/>
                <w:sz w:val="24"/>
                <w:szCs w:val="24"/>
              </w:rPr>
              <w:t xml:space="preserve">9. Депозитарные услуги</w:t>
            </w:r>
            <w:r>
              <w:rPr>
                <w:rStyle w:val="954"/>
              </w:rPr>
              <w:t xml:space="preserve">4</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3" w:type="pct"/>
            <w:vAlign w:val="center"/>
            <w:textDirection w:val="lrTb"/>
            <w:noWrap w:val="false"/>
          </w:tcPr>
          <w:p>
            <w:pPr>
              <w:pStyle w:val="925"/>
              <w:ind w:right="-18"/>
              <w:jc w:val="center"/>
              <w:tabs>
                <w:tab w:val="left" w:pos="4464" w:leader="none"/>
                <w:tab w:val="left" w:pos="5760" w:leader="none"/>
              </w:tabs>
              <w:rPr>
                <w:iCs/>
              </w:rPr>
            </w:pPr>
            <w:r>
              <w:rPr>
                <w:iCs/>
              </w:rPr>
              <w:t xml:space="preserve">№ п/п</w:t>
            </w:r>
            <w:r>
              <w:rPr>
                <w:iCs/>
              </w:rPr>
            </w:r>
            <w:r>
              <w:rPr>
                <w:iCs/>
              </w:rPr>
            </w:r>
          </w:p>
        </w:tc>
        <w:tc>
          <w:tcPr>
            <w:gridSpan w:val="2"/>
            <w:tcW w:w="1620" w:type="pct"/>
            <w:vAlign w:val="center"/>
            <w:textDirection w:val="lrTb"/>
            <w:noWrap w:val="false"/>
          </w:tcPr>
          <w:p>
            <w:pPr>
              <w:pStyle w:val="933"/>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gridSpan w:val="2"/>
            <w:tcW w:w="1595" w:type="pct"/>
            <w:vAlign w:val="center"/>
            <w:textDirection w:val="lrTb"/>
            <w:noWrap w:val="false"/>
          </w:tcPr>
          <w:p>
            <w:pPr>
              <w:pStyle w:val="928"/>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W w:w="1252" w:type="pct"/>
            <w:vAlign w:val="center"/>
            <w:textDirection w:val="lrTb"/>
            <w:noWrap w:val="false"/>
          </w:tcPr>
          <w:p>
            <w:pPr>
              <w:pStyle w:val="925"/>
              <w:ind w:left="-2" w:right="-18"/>
              <w:jc w:val="center"/>
              <w:tabs>
                <w:tab w:val="left" w:pos="4464" w:leader="none"/>
                <w:tab w:val="left" w:pos="5760"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top"/>
            <w:textDirection w:val="lrTb"/>
            <w:noWrap w:val="false"/>
          </w:tcPr>
          <w:p>
            <w:pPr>
              <w:pStyle w:val="925"/>
              <w:jc w:val="center"/>
              <w:spacing w:before="120" w:after="120"/>
              <w:rPr>
                <w:rFonts w:eastAsia="Arial Unicode MS"/>
                <w:iCs/>
              </w:rPr>
            </w:pPr>
            <w:r>
              <w:rPr>
                <w:b/>
                <w:bCs/>
              </w:rPr>
              <w:t xml:space="preserve">9.1. Административные операции</w:t>
            </w: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sz w:val="24"/>
                <w:szCs w:val="24"/>
              </w:rPr>
            </w:pPr>
            <w:r>
              <w:rPr>
                <w:b/>
                <w:bCs/>
              </w:rPr>
              <w:t xml:space="preserve">9.1.1.</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925"/>
              <w:spacing w:before="40" w:after="40"/>
              <w:rPr>
                <w:rFonts w:eastAsia="Arial Unicode MS"/>
                <w:b/>
                <w:bCs/>
                <w:sz w:val="24"/>
                <w:szCs w:val="24"/>
              </w:rPr>
            </w:pPr>
            <w:r>
              <w:rPr>
                <w:b/>
                <w:bCs/>
              </w:rPr>
              <w:t xml:space="preserve">Открытие счета депо</w:t>
            </w:r>
            <w:r>
              <w:rPr>
                <w:rFonts w:eastAsia="Arial Unicode MS"/>
                <w:b/>
                <w:bCs/>
                <w:sz w:val="24"/>
                <w:szCs w:val="24"/>
              </w:rPr>
            </w:r>
            <w:r>
              <w:rPr>
                <w:rFonts w:eastAsia="Arial Unicode MS"/>
                <w:b/>
                <w:bCs/>
                <w:sz w:val="24"/>
                <w:szCs w:val="24"/>
              </w:rPr>
            </w:r>
          </w:p>
        </w:tc>
        <w:tc>
          <w:tcPr>
            <w:gridSpan w:val="2"/>
            <w:tcW w:w="1595" w:type="pct"/>
            <w:vAlign w:val="top"/>
            <w:textDirection w:val="lrTb"/>
            <w:noWrap w:val="false"/>
          </w:tcPr>
          <w:p>
            <w:pPr>
              <w:pStyle w:val="953"/>
              <w:jc w:val="center"/>
              <w:spacing w:before="40" w:after="40"/>
              <w:rPr>
                <w:rFonts w:eastAsia="Arial Unicode MS"/>
                <w:sz w:val="20"/>
                <w:szCs w:val="20"/>
              </w:rPr>
            </w:pPr>
            <w:r>
              <w:rPr>
                <w:rFonts w:eastAsia="Arial Unicode MS"/>
                <w:iCs/>
                <w:sz w:val="20"/>
                <w:szCs w:val="20"/>
              </w:rPr>
              <w:t xml:space="preserve">2 000 руб., </w:t>
            </w:r>
            <w:r>
              <w:rPr>
                <w:rFonts w:eastAsia="Arial Unicode MS"/>
                <w:iCs/>
                <w:sz w:val="20"/>
                <w:szCs w:val="20"/>
              </w:rPr>
              <w:br w:type="textWrapping" w:clear="all"/>
            </w:r>
            <w:r>
              <w:rPr>
                <w:rFonts w:eastAsia="Arial Unicode MS"/>
                <w:iCs/>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1252" w:type="pct"/>
            <w:vAlign w:val="top"/>
            <w:textDirection w:val="lrTb"/>
            <w:noWrap w:val="false"/>
          </w:tcPr>
          <w:p>
            <w:pPr>
              <w:pStyle w:val="925"/>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sz w:val="24"/>
                <w:szCs w:val="24"/>
              </w:rPr>
            </w:pPr>
            <w:r>
              <w:rPr>
                <w:b/>
                <w:bCs/>
              </w:rPr>
              <w:t xml:space="preserve">9.1.2.</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925"/>
              <w:spacing w:before="40" w:after="40"/>
              <w:rPr>
                <w:b/>
                <w:bCs/>
              </w:rPr>
            </w:pPr>
            <w:r>
              <w:rPr>
                <w:b/>
                <w:bC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b/>
                <w:bCs/>
              </w:rPr>
            </w:r>
            <w:r>
              <w:rPr>
                <w:b/>
                <w:bCs/>
              </w:rPr>
            </w:r>
          </w:p>
        </w:tc>
        <w:tc>
          <w:tcPr>
            <w:gridSpan w:val="2"/>
            <w:tcW w:w="1595" w:type="pct"/>
            <w:vAlign w:val="top"/>
            <w:textDirection w:val="lrTb"/>
            <w:noWrap w:val="false"/>
          </w:tcPr>
          <w:p>
            <w:pPr>
              <w:pStyle w:val="925"/>
              <w:jc w:val="center"/>
              <w:spacing w:before="40" w:after="40"/>
              <w:rPr>
                <w:rFonts w:eastAsia="Arial Unicode MS"/>
                <w:sz w:val="24"/>
                <w:szCs w:val="24"/>
              </w:rPr>
            </w:pPr>
            <w:r>
              <w:t xml:space="preserve">1</w:t>
            </w:r>
            <w:r>
              <w:rPr>
                <w:lang w:val="en-US"/>
              </w:rPr>
              <w:t xml:space="preserve"> </w:t>
            </w:r>
            <w:r>
              <w:t xml:space="preserve">00</w:t>
            </w:r>
            <w:r>
              <w:t xml:space="preserve">0</w:t>
            </w:r>
            <w:r>
              <w:t xml:space="preserve"> </w:t>
            </w:r>
            <w:r>
              <w:t xml:space="preserve">руб.</w:t>
            </w:r>
            <w:r>
              <w:t xml:space="preserve"> за каждый раздел</w:t>
            </w:r>
            <w:r>
              <w:rPr>
                <w:rFonts w:eastAsia="Arial Unicode MS"/>
                <w:sz w:val="24"/>
                <w:szCs w:val="24"/>
              </w:rPr>
            </w:r>
            <w:r>
              <w:rPr>
                <w:rFonts w:eastAsia="Arial Unicode MS"/>
                <w:sz w:val="24"/>
                <w:szCs w:val="24"/>
              </w:rPr>
            </w:r>
          </w:p>
        </w:tc>
        <w:tc>
          <w:tcPr>
            <w:tcW w:w="1252" w:type="pct"/>
            <w:vAlign w:val="top"/>
            <w:textDirection w:val="lrTb"/>
            <w:noWrap w:val="false"/>
          </w:tcPr>
          <w:p>
            <w:pPr>
              <w:pStyle w:val="925"/>
              <w:jc w:val="center"/>
              <w:spacing w:before="40" w:after="40"/>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120" w:after="120"/>
              <w:rPr>
                <w:rFonts w:eastAsia="Arial Unicode MS"/>
                <w:b/>
                <w:bCs/>
                <w:sz w:val="24"/>
                <w:szCs w:val="24"/>
              </w:rPr>
            </w:pPr>
            <w:r>
              <w:rPr>
                <w:b/>
                <w:bCs/>
              </w:rPr>
              <w:t xml:space="preserve">9.1.3.</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925"/>
              <w:spacing w:before="120" w:after="120"/>
              <w:rPr>
                <w:b/>
                <w:bCs/>
              </w:rPr>
            </w:pPr>
            <w:r>
              <w:rPr>
                <w:b/>
                <w:bCs/>
              </w:rPr>
              <w:t xml:space="preserve">Ведение счета депо</w:t>
            </w:r>
            <w:r>
              <w:rPr>
                <w:b/>
                <w:bCs/>
              </w:rPr>
            </w:r>
            <w:r>
              <w:rPr>
                <w:b/>
                <w:bCs/>
              </w:rPr>
            </w:r>
          </w:p>
        </w:tc>
        <w:tc>
          <w:tcPr>
            <w:gridSpan w:val="2"/>
            <w:tcW w:w="1595" w:type="pct"/>
            <w:vAlign w:val="top"/>
            <w:textDirection w:val="lrTb"/>
            <w:noWrap w:val="false"/>
          </w:tcPr>
          <w:p>
            <w:pPr>
              <w:pStyle w:val="925"/>
              <w:jc w:val="center"/>
              <w:spacing w:before="120" w:after="12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25"/>
              <w:jc w:val="center"/>
              <w:spacing w:before="40" w:after="40"/>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b/>
                <w:bCs/>
              </w:rPr>
            </w:pPr>
            <w:r>
              <w:rPr>
                <w:b/>
                <w:bCs/>
              </w:rPr>
              <w:t xml:space="preserve">9.1.4</w:t>
            </w:r>
            <w:r>
              <w:rPr>
                <w:b/>
                <w:bCs/>
              </w:rPr>
            </w:r>
            <w:r>
              <w:rPr>
                <w:b/>
                <w:bCs/>
              </w:rPr>
            </w:r>
          </w:p>
        </w:tc>
        <w:tc>
          <w:tcPr>
            <w:gridSpan w:val="2"/>
            <w:tcW w:w="1620" w:type="pct"/>
            <w:vAlign w:val="top"/>
            <w:textDirection w:val="lrTb"/>
            <w:noWrap w:val="false"/>
          </w:tcPr>
          <w:p>
            <w:pPr>
              <w:pStyle w:val="925"/>
              <w:jc w:val="both"/>
              <w:spacing w:before="40" w:after="40"/>
              <w:rPr>
                <w:b/>
                <w:bCs/>
              </w:rPr>
            </w:pPr>
            <w:r>
              <w:rPr>
                <w:b/>
                <w:bCs/>
              </w:rPr>
              <w:t xml:space="preserve">Открытие счета номинального держателя АО «Россельхозбанк» в реестре владельцев ценных бумаг</w:t>
            </w:r>
            <w:r>
              <w:rPr>
                <w:b/>
                <w:bCs/>
              </w:rPr>
            </w:r>
            <w:r>
              <w:rPr>
                <w:b/>
                <w:bCs/>
              </w:rPr>
            </w:r>
          </w:p>
        </w:tc>
        <w:tc>
          <w:tcPr>
            <w:gridSpan w:val="2"/>
            <w:tcW w:w="1595" w:type="pct"/>
            <w:vAlign w:val="top"/>
            <w:textDirection w:val="lrTb"/>
            <w:noWrap w:val="false"/>
          </w:tcPr>
          <w:p>
            <w:pPr>
              <w:pStyle w:val="925"/>
              <w:jc w:val="center"/>
              <w:spacing w:before="40" w:after="40"/>
            </w:pPr>
            <w:r>
              <w:rPr>
                <w:iCs/>
              </w:rPr>
              <w:t xml:space="preserve">20</w:t>
            </w:r>
            <w:r>
              <w:rPr>
                <w:iCs/>
              </w:rPr>
              <w:t xml:space="preserve"> </w:t>
            </w:r>
            <w:r>
              <w:rPr>
                <w:iCs/>
              </w:rPr>
              <w:t xml:space="preserve">000 </w:t>
            </w:r>
            <w:r>
              <w:rPr>
                <w:iCs/>
              </w:rPr>
              <w:t xml:space="preserve">руб.</w:t>
            </w:r>
            <w:r/>
          </w:p>
        </w:tc>
        <w:tc>
          <w:tcPr>
            <w:tcW w:w="1252" w:type="pct"/>
            <w:vAlign w:val="top"/>
            <w:textDirection w:val="lrTb"/>
            <w:noWrap w:val="false"/>
          </w:tcPr>
          <w:p>
            <w:pPr>
              <w:pStyle w:val="925"/>
              <w:jc w:val="center"/>
              <w:spacing w:before="40" w:after="40"/>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sz w:val="24"/>
                <w:szCs w:val="24"/>
              </w:rPr>
            </w:pPr>
            <w:r>
              <w:rPr>
                <w:b/>
                <w:bCs/>
              </w:rPr>
              <w:t xml:space="preserve">9.1.</w:t>
            </w:r>
            <w:r>
              <w:rPr>
                <w:b/>
                <w:bCs/>
              </w:rPr>
              <w:t xml:space="preserve">5</w:t>
            </w:r>
            <w:r>
              <w:rPr>
                <w:b/>
                <w:bCs/>
              </w:rPr>
              <w:t xml:space="preserve">.</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925"/>
              <w:spacing w:before="40" w:after="40"/>
              <w:rPr>
                <w:b/>
                <w:bCs/>
              </w:rPr>
            </w:pPr>
            <w:r>
              <w:rPr>
                <w:b/>
                <w:bCs/>
              </w:rPr>
              <w:t xml:space="preserve">Закрытие счета депо</w:t>
            </w:r>
            <w:r>
              <w:rPr>
                <w:b/>
                <w:bCs/>
              </w:rPr>
            </w:r>
            <w:r>
              <w:rPr>
                <w:b/>
                <w:bCs/>
              </w:rPr>
            </w:r>
          </w:p>
        </w:tc>
        <w:tc>
          <w:tcPr>
            <w:gridSpan w:val="2"/>
            <w:tcW w:w="1595" w:type="pct"/>
            <w:vAlign w:val="top"/>
            <w:textDirection w:val="lrTb"/>
            <w:noWrap w:val="false"/>
          </w:tcPr>
          <w:p>
            <w:pPr>
              <w:pStyle w:val="925"/>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25"/>
              <w:jc w:val="center"/>
              <w:spacing w:before="40" w:after="40"/>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25"/>
              <w:jc w:val="center"/>
              <w:spacing w:before="120" w:after="120"/>
              <w:tabs>
                <w:tab w:val="left" w:pos="7920" w:leader="none"/>
              </w:tabs>
              <w:rPr>
                <w:b/>
                <w:bCs/>
              </w:rPr>
            </w:pPr>
            <w:r>
              <w:rPr>
                <w:b/>
                <w:bCs/>
              </w:rPr>
              <w:t xml:space="preserve">9.2. Хранение и учет ценных бумаг</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9.2.1.</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rFonts w:eastAsia="Arial Unicode MS"/>
                <w:b/>
                <w:bCs/>
              </w:rPr>
            </w:pPr>
            <w:r>
              <w:rPr>
                <w:b/>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
                <w:bCs/>
              </w:rPr>
            </w:r>
            <w:r>
              <w:rPr>
                <w:rFonts w:eastAsia="Arial Unicode MS"/>
                <w:b/>
                <w:bCs/>
              </w:rPr>
            </w:r>
          </w:p>
        </w:tc>
        <w:tc>
          <w:tcPr>
            <w:gridSpan w:val="2"/>
            <w:tcW w:w="1595" w:type="pct"/>
            <w:vAlign w:val="top"/>
            <w:textDirection w:val="lrTb"/>
            <w:noWrap w:val="false"/>
          </w:tcPr>
          <w:p>
            <w:pPr>
              <w:pStyle w:val="925"/>
              <w:spacing w:after="40"/>
              <w:rPr>
                <w:bCs/>
              </w:rPr>
            </w:pPr>
            <w:r>
              <w:rPr>
                <w:bCs/>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rPr>
            </w:r>
            <w:r>
              <w:rPr>
                <w:bCs/>
              </w:rPr>
            </w:r>
          </w:p>
          <w:p>
            <w:pPr>
              <w:pStyle w:val="925"/>
              <w:ind w:left="-2" w:right="-18"/>
              <w:jc w:val="center"/>
              <w:spacing w:before="40" w:after="40"/>
              <w:tabs>
                <w:tab w:val="left" w:pos="4464" w:leader="none"/>
                <w:tab w:val="left" w:pos="5760" w:leader="none"/>
              </w:tabs>
            </w:pPr>
            <w:r>
              <w:rPr>
                <w:bCs/>
              </w:rPr>
              <w:t xml:space="preserve">Облигаций до 50 млн. руб. (включительно) - 0,06% годовых, минимум 300 руб. в месяц, свыше 50 млн. руб. - 0,05% годовых минимум 300 руб. в месяц</w:t>
            </w:r>
            <w:r/>
          </w:p>
        </w:tc>
        <w:tc>
          <w:tcPr>
            <w:tcW w:w="1252" w:type="pct"/>
            <w:vAlign w:val="top"/>
            <w:textDirection w:val="lrTb"/>
            <w:noWrap w:val="false"/>
          </w:tcPr>
          <w:p>
            <w:pPr>
              <w:pStyle w:val="925"/>
              <w:ind w:right="-17"/>
              <w:jc w:val="center"/>
              <w:spacing w:before="40" w:after="40"/>
              <w:tabs>
                <w:tab w:val="left" w:pos="4464" w:leader="none"/>
                <w:tab w:val="left" w:pos="5760" w:leader="none"/>
              </w:tabs>
            </w:pPr>
            <w: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b/>
                <w:bCs/>
              </w:rPr>
            </w:pPr>
            <w:r>
              <w:rPr>
                <w:b/>
                <w:bCs/>
                <w:lang w:val="en-US"/>
              </w:rPr>
              <w:t xml:space="preserve">9</w:t>
            </w:r>
            <w:r>
              <w:rPr>
                <w:b/>
                <w:bCs/>
              </w:rPr>
              <w:t xml:space="preserve">.2.2.</w:t>
            </w:r>
            <w:r>
              <w:rPr>
                <w:b/>
                <w:bCs/>
              </w:rPr>
            </w:r>
            <w:r>
              <w:rPr>
                <w:b/>
                <w:bCs/>
              </w:rPr>
            </w:r>
          </w:p>
        </w:tc>
        <w:tc>
          <w:tcPr>
            <w:gridSpan w:val="2"/>
            <w:tcW w:w="1620" w:type="pct"/>
            <w:vAlign w:val="top"/>
            <w:textDirection w:val="lrTb"/>
            <w:noWrap w:val="false"/>
          </w:tcPr>
          <w:p>
            <w:pPr>
              <w:pStyle w:val="925"/>
              <w:spacing w:before="40" w:after="40"/>
              <w:rPr>
                <w:b/>
                <w:bCs/>
              </w:rPr>
            </w:pPr>
            <w:r>
              <w:rPr>
                <w:b/>
                <w:bCs/>
              </w:rPr>
              <w:t xml:space="preserve">Депозитарный учет и/или хранение иностранных финансовых инструментов, выпущенных вне территории Российской Федерации</w:t>
            </w:r>
            <w:r>
              <w:rPr>
                <w:b/>
                <w:bCs/>
              </w:rPr>
            </w:r>
            <w:r>
              <w:rPr>
                <w:b/>
                <w:bCs/>
              </w:rPr>
            </w:r>
          </w:p>
        </w:tc>
        <w:tc>
          <w:tcPr>
            <w:gridSpan w:val="2"/>
            <w:tcW w:w="1595" w:type="pct"/>
            <w:vAlign w:val="top"/>
            <w:textDirection w:val="lrTb"/>
            <w:noWrap w:val="false"/>
          </w:tcPr>
          <w:p>
            <w:pPr>
              <w:pStyle w:val="925"/>
              <w:jc w:val="both"/>
              <w:spacing w:after="40"/>
              <w:rPr>
                <w:bCs/>
              </w:rPr>
            </w:pPr>
            <w:r>
              <w:rPr>
                <w:bCs/>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rPr>
            </w:r>
            <w:r>
              <w:rPr>
                <w:bCs/>
              </w:rPr>
            </w:r>
          </w:p>
          <w:p>
            <w:pPr>
              <w:pStyle w:val="925"/>
              <w:jc w:val="center"/>
              <w:spacing w:before="40" w:after="40"/>
            </w:pPr>
            <w:r>
              <w:rPr>
                <w:bCs/>
              </w:rPr>
              <w:t xml:space="preserve">Облигаций до 50 млн. руб. (включительно) - 0,06% годовых, минимум 300 руб. в месяц, свыше 50 млн. руб. - 0,05% годовых, минимум 300 руб. в месяц</w:t>
            </w:r>
            <w:r/>
          </w:p>
        </w:tc>
        <w:tc>
          <w:tcPr>
            <w:tcW w:w="1252" w:type="pct"/>
            <w:vAlign w:val="top"/>
            <w:textDirection w:val="lrTb"/>
            <w:noWrap w:val="false"/>
          </w:tcPr>
          <w:p>
            <w:pPr>
              <w:pStyle w:val="925"/>
              <w:ind w:left="-2" w:right="-18"/>
              <w:jc w:val="center"/>
              <w:spacing w:before="40" w:after="40"/>
              <w:tabs>
                <w:tab w:val="left" w:pos="4464" w:leader="none"/>
                <w:tab w:val="left" w:pos="5760" w:leader="none"/>
              </w:tabs>
            </w:pPr>
            <w: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t xml:space="preserve">,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b/>
                <w:bCs/>
              </w:rPr>
            </w:pPr>
            <w:r>
              <w:rPr>
                <w:b/>
                <w:bCs/>
              </w:rPr>
              <w:t xml:space="preserve">9.2.3.</w:t>
            </w:r>
            <w:r>
              <w:rPr>
                <w:b/>
                <w:bCs/>
              </w:rPr>
            </w:r>
            <w:r>
              <w:rPr>
                <w:b/>
                <w:bCs/>
              </w:rPr>
            </w:r>
          </w:p>
        </w:tc>
        <w:tc>
          <w:tcPr>
            <w:gridSpan w:val="2"/>
            <w:tcW w:w="1620" w:type="pct"/>
            <w:vAlign w:val="top"/>
            <w:textDirection w:val="lrTb"/>
            <w:noWrap w:val="false"/>
          </w:tcPr>
          <w:p>
            <w:pPr>
              <w:pStyle w:val="925"/>
              <w:spacing w:before="40" w:after="40"/>
              <w:rPr>
                <w:b/>
                <w:bCs/>
              </w:rPr>
            </w:pPr>
            <w:r>
              <w:rPr>
                <w:b/>
                <w:bCs/>
              </w:rPr>
              <w:t xml:space="preserve">Хранение неэмиссионных ценных бумаг</w:t>
            </w:r>
            <w:r>
              <w:rPr>
                <w:b/>
                <w:bCs/>
              </w:rPr>
              <w:t xml:space="preserve">:</w:t>
            </w:r>
            <w:r>
              <w:rPr>
                <w:b/>
                <w:bCs/>
              </w:rPr>
            </w:r>
            <w:r>
              <w:rPr>
                <w:b/>
                <w:bCs/>
              </w:rPr>
            </w:r>
          </w:p>
        </w:tc>
        <w:tc>
          <w:tcPr>
            <w:gridSpan w:val="3"/>
            <w:tcW w:w="2847" w:type="pct"/>
            <w:vAlign w:val="top"/>
            <w:textDirection w:val="lrTb"/>
            <w:noWrap w:val="false"/>
          </w:tcPr>
          <w:p>
            <w:pPr>
              <w:pStyle w:val="925"/>
              <w:ind w:left="-2" w:right="-18"/>
              <w:jc w:val="both"/>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b/>
                <w:bCs/>
              </w:rPr>
            </w:pPr>
            <w:r>
              <w:rPr>
                <w:b/>
                <w:bCs/>
              </w:rPr>
              <w:t xml:space="preserve">9.2.3.1</w:t>
            </w:r>
            <w:r>
              <w:rPr>
                <w:b/>
                <w:bCs/>
              </w:rPr>
            </w:r>
            <w:r>
              <w:rPr>
                <w:b/>
                <w:bCs/>
              </w:rPr>
            </w:r>
          </w:p>
        </w:tc>
        <w:tc>
          <w:tcPr>
            <w:gridSpan w:val="2"/>
            <w:tcW w:w="1620" w:type="pct"/>
            <w:vAlign w:val="top"/>
            <w:textDirection w:val="lrTb"/>
            <w:noWrap w:val="false"/>
          </w:tcPr>
          <w:p>
            <w:pPr>
              <w:pStyle w:val="925"/>
              <w:spacing w:before="40" w:after="40"/>
              <w:rPr>
                <w:b/>
                <w:bCs/>
              </w:rPr>
            </w:pPr>
            <w:r>
              <w:rPr>
                <w:bCs/>
              </w:rPr>
              <w:t xml:space="preserve">Хранение неэмиссионных ценных бумаг имеющих номинальную стоимость</w:t>
            </w:r>
            <w:r>
              <w:rPr>
                <w:b/>
                <w:bCs/>
              </w:rPr>
            </w:r>
            <w:r>
              <w:rPr>
                <w:b/>
                <w:bCs/>
              </w:rPr>
            </w:r>
          </w:p>
        </w:tc>
        <w:tc>
          <w:tcPr>
            <w:gridSpan w:val="2"/>
            <w:tcW w:w="1595" w:type="pct"/>
            <w:vAlign w:val="top"/>
            <w:textDirection w:val="lrTb"/>
            <w:noWrap w:val="false"/>
          </w:tcPr>
          <w:p>
            <w:pPr>
              <w:pStyle w:val="925"/>
              <w:jc w:val="center"/>
              <w:spacing w:before="40" w:after="40"/>
            </w:pPr>
            <w: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p>
        </w:tc>
        <w:tc>
          <w:tcPr>
            <w:tcW w:w="1252" w:type="pct"/>
            <w:vAlign w:val="top"/>
            <w:textDirection w:val="lrTb"/>
            <w:noWrap w:val="false"/>
          </w:tcPr>
          <w:p>
            <w:pPr>
              <w:pStyle w:val="925"/>
              <w:jc w:val="center"/>
              <w:spacing w:after="40"/>
              <w:tabs>
                <w:tab w:val="left" w:pos="4464" w:leader="none"/>
                <w:tab w:val="left" w:pos="5760" w:leader="none"/>
              </w:tabs>
            </w:pPr>
            <w:r>
              <w:t xml:space="preserve">Рассчитывается ежеквартально от номинальной стоимости ежедневного остатка ценных бумаг</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b/>
                <w:bCs/>
                <w:lang w:val="en-US"/>
              </w:rPr>
            </w:pPr>
            <w:r>
              <w:rPr>
                <w:b/>
                <w:bCs/>
                <w:lang w:val="en-US"/>
              </w:rPr>
              <w:t xml:space="preserve">9.2.3.</w:t>
            </w:r>
            <w:r>
              <w:rPr>
                <w:b/>
                <w:bCs/>
              </w:rPr>
              <w:t xml:space="preserve">2</w:t>
            </w:r>
            <w:r>
              <w:rPr>
                <w:b/>
                <w:bCs/>
                <w:lang w:val="en-US"/>
              </w:rPr>
            </w:r>
            <w:r>
              <w:rPr>
                <w:b/>
                <w:bCs/>
                <w:lang w:val="en-US"/>
              </w:rPr>
            </w:r>
          </w:p>
        </w:tc>
        <w:tc>
          <w:tcPr>
            <w:gridSpan w:val="2"/>
            <w:tcW w:w="1620" w:type="pct"/>
            <w:vAlign w:val="top"/>
            <w:textDirection w:val="lrTb"/>
            <w:noWrap w:val="false"/>
          </w:tcPr>
          <w:p>
            <w:pPr>
              <w:pStyle w:val="925"/>
              <w:spacing w:before="40" w:after="40"/>
              <w:rPr>
                <w:b/>
                <w:bCs/>
              </w:rPr>
            </w:pPr>
            <w:r>
              <w:rPr>
                <w:bCs/>
              </w:rPr>
              <w:t xml:space="preserve">Хранение неэмиссионных ценных бумаг, не имеющих номинальной стоимости</w:t>
            </w:r>
            <w:r>
              <w:rPr>
                <w:b/>
                <w:bCs/>
              </w:rPr>
            </w:r>
            <w:r>
              <w:rPr>
                <w:b/>
                <w:bCs/>
              </w:rPr>
            </w:r>
          </w:p>
        </w:tc>
        <w:tc>
          <w:tcPr>
            <w:gridSpan w:val="2"/>
            <w:tcW w:w="1595" w:type="pct"/>
            <w:vAlign w:val="top"/>
            <w:textDirection w:val="lrTb"/>
            <w:noWrap w:val="false"/>
          </w:tcPr>
          <w:p>
            <w:pPr>
              <w:pStyle w:val="925"/>
              <w:jc w:val="center"/>
              <w:spacing w:before="40" w:after="40"/>
            </w:pPr>
            <w:r>
              <w:t xml:space="preserve">1</w:t>
            </w:r>
            <w:r>
              <w:t xml:space="preserve"> </w:t>
            </w:r>
            <w:r>
              <w:t xml:space="preserve">000 </w:t>
            </w:r>
            <w:r>
              <w:t xml:space="preserve">руб.</w:t>
            </w:r>
            <w:r>
              <w:t xml:space="preserve"> в месяц</w:t>
            </w:r>
            <w:r/>
          </w:p>
        </w:tc>
        <w:tc>
          <w:tcPr>
            <w:tcW w:w="1252" w:type="pct"/>
            <w:vAlign w:val="top"/>
            <w:textDirection w:val="lrTb"/>
            <w:noWrap w:val="false"/>
          </w:tcPr>
          <w:p>
            <w:pPr>
              <w:pStyle w:val="925"/>
              <w:jc w:val="center"/>
              <w:tabs>
                <w:tab w:val="left" w:pos="4464" w:leader="none"/>
                <w:tab w:val="left" w:pos="5760" w:leader="none"/>
              </w:tabs>
            </w:pPr>
            <w:r>
              <w:t xml:space="preserve">Взимается ежеквартально независимо от количества ценных бумаг</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lang w:val="en-US"/>
              </w:rPr>
              <w:t xml:space="preserve">9</w:t>
            </w:r>
            <w:r>
              <w:rPr>
                <w:b/>
                <w:bCs/>
              </w:rPr>
              <w:t xml:space="preserve">.2.</w:t>
            </w:r>
            <w:r>
              <w:rPr>
                <w:b/>
                <w:bCs/>
                <w:lang w:val="en-US"/>
              </w:rPr>
              <w:t xml:space="preserve">4</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Депозитарный учет прав на инвестиционные паи паевых инвестиционных фондов выпущенных вне территории Российской Федерации</w:t>
            </w:r>
            <w:r>
              <w:rPr>
                <w:b/>
                <w:bCs/>
              </w:rPr>
            </w:r>
            <w:r>
              <w:rPr>
                <w:b/>
                <w:bCs/>
              </w:rPr>
            </w:r>
          </w:p>
        </w:tc>
        <w:tc>
          <w:tcPr>
            <w:gridSpan w:val="2"/>
            <w:tcW w:w="1595" w:type="pct"/>
            <w:vAlign w:val="top"/>
            <w:textDirection w:val="lrTb"/>
            <w:noWrap w:val="false"/>
          </w:tcPr>
          <w:p>
            <w:pPr>
              <w:pStyle w:val="925"/>
              <w:jc w:val="center"/>
              <w:spacing w:before="40" w:after="40"/>
            </w:pPr>
            <w:r>
              <w:t xml:space="preserve">500 руб. в месяц</w:t>
            </w:r>
            <w:r/>
          </w:p>
        </w:tc>
        <w:tc>
          <w:tcPr>
            <w:tcW w:w="1252" w:type="pct"/>
            <w:vAlign w:val="top"/>
            <w:textDirection w:val="lrTb"/>
            <w:noWrap w:val="false"/>
          </w:tcPr>
          <w:p>
            <w:pPr>
              <w:pStyle w:val="925"/>
              <w:jc w:val="center"/>
              <w:tabs>
                <w:tab w:val="left" w:pos="4464" w:leader="none"/>
                <w:tab w:val="left" w:pos="5760" w:leader="none"/>
              </w:tabs>
            </w:pPr>
            <w:r>
              <w:t xml:space="preserve">В месяц за инвестиционные паи каждого инвестиционного фонда </w:t>
            </w:r>
            <w:r>
              <w:br w:type="textWrapping" w:clear="all"/>
            </w:r>
            <w:r>
              <w:t xml:space="preserve">(вне зависимости </w:t>
            </w:r>
            <w:r>
              <w:br w:type="textWrapping" w:clear="all"/>
            </w:r>
            <w:r>
              <w:t xml:space="preserve">от количества паев)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b/>
                <w:bCs/>
                <w:lang w:val="en-US"/>
              </w:rPr>
            </w:pPr>
            <w:r>
              <w:rPr>
                <w:b/>
                <w:bCs/>
              </w:rPr>
              <w:t xml:space="preserve">9</w:t>
            </w:r>
            <w:r>
              <w:rPr>
                <w:b/>
                <w:bCs/>
              </w:rPr>
              <w:t xml:space="preserve">.2.</w:t>
            </w:r>
            <w:r>
              <w:rPr>
                <w:b/>
                <w:bCs/>
              </w:rPr>
              <w:t xml:space="preserve">5</w:t>
            </w:r>
            <w:r>
              <w:rPr>
                <w:b/>
                <w:bCs/>
              </w:rPr>
              <w:t xml:space="preserve">.</w:t>
            </w:r>
            <w:r>
              <w:rPr>
                <w:b/>
                <w:bCs/>
                <w:lang w:val="en-US"/>
              </w:rPr>
            </w:r>
            <w:r>
              <w:rPr>
                <w:b/>
                <w:bCs/>
                <w:lang w:val="en-US"/>
              </w:rPr>
            </w:r>
          </w:p>
        </w:tc>
        <w:tc>
          <w:tcPr>
            <w:gridSpan w:val="2"/>
            <w:tcW w:w="1620" w:type="pct"/>
            <w:vAlign w:val="top"/>
            <w:textDirection w:val="lrTb"/>
            <w:noWrap w:val="false"/>
          </w:tcPr>
          <w:p>
            <w:pPr>
              <w:pStyle w:val="925"/>
              <w:spacing w:before="40" w:after="40"/>
              <w:rPr>
                <w:b/>
                <w:bCs/>
              </w:rPr>
            </w:pPr>
            <w:r>
              <w:rPr>
                <w:b/>
                <w:bCs/>
              </w:rPr>
              <w:t xml:space="preserve">Депозитарный учет прав на инвестиционные паи паевых инвестиционных фондов </w:t>
            </w:r>
            <w:r>
              <w:rPr>
                <w:b/>
                <w:bCs/>
              </w:rPr>
              <w:t xml:space="preserve">выпущенных на территории Российской Федерации</w:t>
            </w:r>
            <w:r>
              <w:rPr>
                <w:b/>
                <w:bCs/>
              </w:rPr>
            </w:r>
            <w:r>
              <w:rPr>
                <w:b/>
                <w:bCs/>
              </w:rPr>
            </w:r>
          </w:p>
        </w:tc>
        <w:tc>
          <w:tcPr>
            <w:gridSpan w:val="2"/>
            <w:tcW w:w="1595" w:type="pct"/>
            <w:vAlign w:val="top"/>
            <w:textDirection w:val="lrTb"/>
            <w:noWrap w:val="false"/>
          </w:tcPr>
          <w:p>
            <w:pPr>
              <w:pStyle w:val="925"/>
              <w:jc w:val="center"/>
              <w:spacing w:before="40" w:after="40"/>
            </w:pPr>
            <w:r>
              <w:t xml:space="preserve">300 руб</w:t>
            </w:r>
            <w:r>
              <w:t xml:space="preserve">.</w:t>
            </w:r>
            <w:r>
              <w:t xml:space="preserve"> в месяц</w:t>
            </w:r>
            <w:r/>
          </w:p>
        </w:tc>
        <w:tc>
          <w:tcPr>
            <w:tcW w:w="1252" w:type="pct"/>
            <w:vAlign w:val="top"/>
            <w:textDirection w:val="lrTb"/>
            <w:noWrap w:val="false"/>
          </w:tcPr>
          <w:p>
            <w:pPr>
              <w:pStyle w:val="925"/>
              <w:jc w:val="center"/>
              <w:tabs>
                <w:tab w:val="left" w:pos="4464" w:leader="none"/>
                <w:tab w:val="left" w:pos="5760" w:leader="none"/>
              </w:tabs>
            </w:pPr>
            <w:r>
              <w:t xml:space="preserve">В месяц за инвестиционные паи </w:t>
            </w:r>
            <w:r>
              <w:t xml:space="preserve">каждого инвестиционного фонда </w:t>
            </w:r>
            <w:r>
              <w:br w:type="textWrapping" w:clear="all"/>
            </w:r>
            <w:r>
              <w:t xml:space="preserve">(вне зависимости </w:t>
            </w:r>
            <w:r>
              <w:br w:type="textWrapping" w:clear="all"/>
            </w:r>
            <w:r>
              <w:t xml:space="preserve">от количества паев)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9.2.</w:t>
            </w:r>
            <w:r>
              <w:rPr>
                <w:b/>
                <w:bCs/>
                <w:lang w:val="en-US"/>
              </w:rPr>
              <w:t xml:space="preserve">6</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Хранение и учет ценных бумаг, являющихся обеспечением по кредитам, выданным </w:t>
              <w:br w:type="textWrapping" w:clear="all"/>
              <w:t xml:space="preserve">АО «Россельхозбанк»</w:t>
            </w:r>
            <w:r>
              <w:rPr>
                <w:b/>
                <w:bCs/>
              </w:rPr>
            </w:r>
            <w:r>
              <w:rPr>
                <w:b/>
                <w:bCs/>
              </w:rPr>
            </w:r>
          </w:p>
        </w:tc>
        <w:tc>
          <w:tcPr>
            <w:gridSpan w:val="2"/>
            <w:tcW w:w="1595" w:type="pct"/>
            <w:vAlign w:val="top"/>
            <w:textDirection w:val="lrTb"/>
            <w:noWrap w:val="false"/>
          </w:tcPr>
          <w:p>
            <w:pPr>
              <w:pStyle w:val="925"/>
              <w:jc w:val="center"/>
              <w:spacing w:before="40" w:after="40"/>
              <w:rPr>
                <w:rFonts w:eastAsia="Arial Unicode MS"/>
              </w:rPr>
            </w:pPr>
            <w:r>
              <w:rPr>
                <w:bCs/>
              </w:rPr>
              <w:t xml:space="preserve">0,035%, годовых минимум 100 руб. в месяц</w:t>
            </w:r>
            <w:r>
              <w:rPr>
                <w:rFonts w:eastAsia="Arial Unicode MS"/>
              </w:rPr>
            </w:r>
            <w:r>
              <w:rPr>
                <w:rFonts w:eastAsia="Arial Unicode MS"/>
              </w:rPr>
            </w:r>
          </w:p>
        </w:tc>
        <w:tc>
          <w:tcPr>
            <w:tcW w:w="1252" w:type="pct"/>
            <w:vAlign w:val="top"/>
            <w:textDirection w:val="lrTb"/>
            <w:noWrap w:val="false"/>
          </w:tcPr>
          <w:p>
            <w:pPr>
              <w:pStyle w:val="925"/>
              <w:jc w:val="center"/>
              <w:tabs>
                <w:tab w:val="left" w:pos="4464" w:leader="none"/>
                <w:tab w:val="left" w:pos="5760" w:leader="none"/>
              </w:tabs>
            </w:pPr>
            <w: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3" w:type="pct"/>
            <w:vAlign w:val="top"/>
            <w:vMerge w:val="restart"/>
            <w:textDirection w:val="lrTb"/>
            <w:noWrap w:val="false"/>
          </w:tcPr>
          <w:p>
            <w:pPr>
              <w:pStyle w:val="925"/>
              <w:jc w:val="center"/>
              <w:spacing w:before="40" w:after="40"/>
              <w:rPr>
                <w:bCs/>
              </w:rPr>
            </w:pPr>
            <w:r>
              <w:rPr>
                <w:bCs/>
              </w:rPr>
              <w:t xml:space="preserve">9</w:t>
            </w:r>
            <w:r>
              <w:rPr>
                <w:bCs/>
              </w:rPr>
              <w:t xml:space="preserve">.2.</w:t>
            </w:r>
            <w:r>
              <w:rPr>
                <w:bCs/>
              </w:rPr>
              <w:t xml:space="preserve">7</w:t>
            </w:r>
            <w:r>
              <w:rPr>
                <w:bCs/>
              </w:rPr>
              <w:t xml:space="preserve">.</w:t>
            </w:r>
            <w:r>
              <w:rPr>
                <w:bCs/>
              </w:rPr>
            </w:r>
            <w:r>
              <w:rPr>
                <w:bCs/>
              </w:rPr>
            </w:r>
          </w:p>
        </w:tc>
        <w:tc>
          <w:tcPr>
            <w:gridSpan w:val="5"/>
            <w:tcW w:w="4467" w:type="pct"/>
            <w:vAlign w:val="top"/>
            <w:textDirection w:val="lrTb"/>
            <w:noWrap w:val="false"/>
          </w:tcPr>
          <w:p>
            <w:pPr>
              <w:pStyle w:val="925"/>
              <w:jc w:val="both"/>
              <w:spacing w:after="40"/>
              <w:rPr>
                <w:b/>
                <w:i/>
                <w:iCs/>
              </w:rPr>
            </w:pPr>
            <w:r>
              <w:rPr>
                <w:b/>
                <w:bCs/>
              </w:rPr>
              <w:t xml:space="preserve">Хранение и учет на счете ДЕПО ценных бумаг Депонентов</w:t>
            </w:r>
            <w:r>
              <w:rPr>
                <w:rStyle w:val="910"/>
                <w:b/>
                <w:bCs/>
              </w:rPr>
              <w:footnoteReference w:id="3"/>
            </w:r>
            <w:r>
              <w:rPr>
                <w:b/>
                <w:bCs/>
              </w:rPr>
              <w:t xml:space="preserve">, </w:t>
            </w:r>
            <w:r>
              <w:rPr>
                <w:b/>
                <w:bCs/>
                <w:iCs/>
              </w:rPr>
              <w:t xml:space="preserve">принятых </w:t>
            </w:r>
            <w:r>
              <w:rPr>
                <w:b/>
                <w:bCs/>
                <w:iCs/>
              </w:rPr>
              <w:br w:type="textWrapping" w:clear="all"/>
            </w:r>
            <w:r>
              <w:rPr>
                <w:b/>
                <w:bCs/>
                <w:iCs/>
              </w:rPr>
              <w:t xml:space="preserve">АО «Россельхозбанк» на брокерское обслуживание</w:t>
            </w:r>
            <w:r>
              <w:rPr>
                <w:b/>
                <w:i/>
                <w:iCs/>
              </w:rPr>
            </w:r>
            <w:r>
              <w:rPr>
                <w:b/>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3" w:type="pct"/>
            <w:vAlign w:val="top"/>
            <w:vMerge w:val="continue"/>
            <w:textDirection w:val="lrTb"/>
            <w:noWrap w:val="false"/>
          </w:tcPr>
          <w:p>
            <w:pPr>
              <w:pStyle w:val="925"/>
              <w:jc w:val="center"/>
              <w:spacing w:before="120" w:after="120"/>
              <w:rPr>
                <w:bCs/>
              </w:rPr>
            </w:pPr>
            <w:r>
              <w:rPr>
                <w:bCs/>
              </w:rPr>
            </w:r>
            <w:r>
              <w:rPr>
                <w:bCs/>
              </w:rPr>
            </w:r>
            <w:r>
              <w:rPr>
                <w:bCs/>
              </w:rPr>
            </w:r>
          </w:p>
        </w:tc>
        <w:tc>
          <w:tcPr>
            <w:tcBorders>
              <w:right w:val="single" w:color="000000" w:sz="4" w:space="0"/>
            </w:tcBorders>
            <w:tcW w:w="1515" w:type="pct"/>
            <w:vAlign w:val="top"/>
            <w:textDirection w:val="lrTb"/>
            <w:noWrap w:val="false"/>
          </w:tcPr>
          <w:p>
            <w:pPr>
              <w:pStyle w:val="925"/>
              <w:jc w:val="both"/>
              <w:rPr>
                <w:bCs/>
              </w:rPr>
            </w:pPr>
            <w:r>
              <w:rPr>
                <w:bCs/>
              </w:rPr>
            </w:r>
            <w:r>
              <w:rPr>
                <w:bCs/>
              </w:rPr>
            </w:r>
            <w:r>
              <w:rPr>
                <w:bCs/>
              </w:rPr>
            </w:r>
          </w:p>
        </w:tc>
        <w:tc>
          <w:tcPr>
            <w:gridSpan w:val="2"/>
            <w:tcBorders>
              <w:left w:val="single" w:color="000000" w:sz="4" w:space="0"/>
              <w:right w:val="single" w:color="000000" w:sz="4" w:space="0"/>
            </w:tcBorders>
            <w:tcW w:w="918" w:type="pct"/>
            <w:vAlign w:val="top"/>
            <w:textDirection w:val="lrTb"/>
            <w:noWrap w:val="false"/>
          </w:tcPr>
          <w:p>
            <w:pPr>
              <w:pStyle w:val="925"/>
              <w:ind w:left="-72" w:right="-101"/>
              <w:jc w:val="center"/>
              <w:rPr>
                <w:bCs/>
                <w:sz w:val="18"/>
                <w:szCs w:val="18"/>
              </w:rPr>
            </w:pPr>
            <w:r>
              <w:rPr>
                <w:color w:val="000000"/>
              </w:rPr>
              <w:t xml:space="preserve">Средневзвешенная стоимость</w:t>
            </w:r>
            <w:r>
              <w:rPr>
                <w:rStyle w:val="948"/>
              </w:rPr>
              <w:footnoteReference w:id="4"/>
            </w:r>
            <w:r>
              <w:rPr>
                <w:color w:val="000000"/>
              </w:rPr>
              <w:t xml:space="preserve"> ценных бумаг (млрд. руб.)</w:t>
            </w:r>
            <w:r>
              <w:rPr>
                <w:bCs/>
                <w:sz w:val="18"/>
                <w:szCs w:val="18"/>
              </w:rPr>
            </w:r>
            <w:r>
              <w:rPr>
                <w:bCs/>
                <w:sz w:val="18"/>
                <w:szCs w:val="18"/>
              </w:rPr>
            </w:r>
          </w:p>
        </w:tc>
        <w:tc>
          <w:tcPr>
            <w:tcBorders>
              <w:left w:val="single" w:color="000000" w:sz="4" w:space="0"/>
              <w:right w:val="single" w:color="000000" w:sz="4" w:space="0"/>
            </w:tcBorders>
            <w:tcW w:w="782" w:type="pct"/>
            <w:vAlign w:val="center"/>
            <w:textDirection w:val="lrTb"/>
            <w:noWrap w:val="false"/>
          </w:tcPr>
          <w:p>
            <w:pPr>
              <w:pStyle w:val="925"/>
              <w:ind w:left="-72" w:right="-101"/>
              <w:jc w:val="center"/>
              <w:spacing w:before="40" w:after="40"/>
              <w:rPr>
                <w:bCs/>
              </w:rPr>
            </w:pPr>
            <w:r>
              <w:rPr>
                <w:bCs/>
              </w:rPr>
              <w:t xml:space="preserve">%</w:t>
            </w:r>
            <w:r>
              <w:rPr>
                <w:bCs/>
              </w:rPr>
            </w:r>
            <w:r>
              <w:rPr>
                <w:bCs/>
              </w:rPr>
            </w:r>
          </w:p>
          <w:p>
            <w:pPr>
              <w:pStyle w:val="925"/>
              <w:ind w:left="-72" w:right="-101"/>
              <w:jc w:val="center"/>
              <w:rPr>
                <w:bCs/>
                <w:sz w:val="18"/>
                <w:szCs w:val="18"/>
              </w:rPr>
            </w:pPr>
            <w:r>
              <w:t xml:space="preserve">годовых</w:t>
            </w:r>
            <w:r>
              <w:rPr>
                <w:bCs/>
                <w:sz w:val="18"/>
                <w:szCs w:val="18"/>
              </w:rPr>
            </w:r>
            <w:r>
              <w:rPr>
                <w:bCs/>
                <w:sz w:val="18"/>
                <w:szCs w:val="18"/>
              </w:rPr>
            </w:r>
          </w:p>
        </w:tc>
        <w:tc>
          <w:tcPr>
            <w:tcBorders>
              <w:left w:val="single" w:color="000000" w:sz="4" w:space="0"/>
            </w:tcBorders>
            <w:tcW w:w="1252" w:type="pct"/>
            <w:vAlign w:val="top"/>
            <w:textDirection w:val="lrTb"/>
            <w:noWrap w:val="false"/>
          </w:tcPr>
          <w:p>
            <w:pPr>
              <w:pStyle w:val="925"/>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3" w:type="pct"/>
            <w:vAlign w:val="top"/>
            <w:vMerge w:val="restart"/>
            <w:textDirection w:val="lrTb"/>
            <w:noWrap w:val="false"/>
          </w:tcPr>
          <w:p>
            <w:pPr>
              <w:pStyle w:val="925"/>
              <w:jc w:val="center"/>
              <w:spacing w:before="40" w:after="40"/>
              <w:rPr>
                <w:rFonts w:eastAsia="Arial Unicode MS"/>
                <w:bCs/>
              </w:rPr>
            </w:pPr>
            <w:r>
              <w:rPr>
                <w:bCs/>
              </w:rPr>
              <w:t xml:space="preserve">9</w:t>
            </w:r>
            <w:r>
              <w:rPr>
                <w:bCs/>
              </w:rPr>
              <w:t xml:space="preserve">.2.</w:t>
            </w:r>
            <w:r>
              <w:rPr>
                <w:bCs/>
              </w:rPr>
              <w:t xml:space="preserve">7</w:t>
            </w:r>
            <w:r>
              <w:rPr>
                <w:bCs/>
              </w:rPr>
              <w:t xml:space="preserve">.1.</w:t>
            </w:r>
            <w:r>
              <w:rPr>
                <w:rFonts w:eastAsia="Arial Unicode MS"/>
                <w:bCs/>
              </w:rPr>
            </w:r>
            <w:r>
              <w:rPr>
                <w:rFonts w:eastAsia="Arial Unicode MS"/>
                <w:bCs/>
              </w:rPr>
            </w:r>
          </w:p>
        </w:tc>
        <w:tc>
          <w:tcPr>
            <w:tcW w:w="1515" w:type="pct"/>
            <w:vAlign w:val="top"/>
            <w:vMerge w:val="restart"/>
            <w:textDirection w:val="lrTb"/>
            <w:noWrap w:val="false"/>
          </w:tcPr>
          <w:p>
            <w:pPr>
              <w:pStyle w:val="925"/>
              <w:jc w:val="both"/>
              <w:spacing w:before="40" w:after="40"/>
              <w:rPr>
                <w:rFonts w:eastAsia="Arial Unicode MS"/>
                <w:bCs/>
              </w:rPr>
            </w:pPr>
            <w:r>
              <w:rPr>
                <w:bCs/>
              </w:rPr>
              <w:t xml:space="preserve">Депозитарный учет облигаций, выпущенных на территории Российской Федерации</w:t>
            </w:r>
            <w:r>
              <w:rPr>
                <w:rFonts w:eastAsia="Arial Unicode MS"/>
                <w:bCs/>
              </w:rPr>
            </w:r>
            <w:r>
              <w:rPr>
                <w:rFonts w:eastAsia="Arial Unicode MS"/>
                <w:bCs/>
              </w:rPr>
            </w:r>
          </w:p>
        </w:tc>
        <w:tc>
          <w:tcPr>
            <w:gridSpan w:val="2"/>
            <w:tcW w:w="918" w:type="pct"/>
            <w:vAlign w:val="top"/>
            <w:textDirection w:val="lrTb"/>
            <w:noWrap w:val="false"/>
          </w:tcPr>
          <w:p>
            <w:pPr>
              <w:pStyle w:val="925"/>
              <w:ind w:left="-2" w:right="-18"/>
              <w:jc w:val="center"/>
              <w:spacing w:before="40" w:after="40"/>
              <w:tabs>
                <w:tab w:val="left" w:pos="4464" w:leader="none"/>
                <w:tab w:val="left" w:pos="5760" w:leader="none"/>
              </w:tabs>
            </w:pPr>
            <w:r>
              <w:t xml:space="preserve">до 1</w:t>
            </w:r>
            <w:r/>
          </w:p>
        </w:tc>
        <w:tc>
          <w:tcPr>
            <w:tcW w:w="782" w:type="pct"/>
            <w:vAlign w:val="top"/>
            <w:textDirection w:val="lrTb"/>
            <w:noWrap w:val="false"/>
          </w:tcPr>
          <w:p>
            <w:pPr>
              <w:pStyle w:val="925"/>
              <w:ind w:left="-2" w:right="-18"/>
              <w:jc w:val="center"/>
              <w:spacing w:before="40" w:after="40"/>
              <w:tabs>
                <w:tab w:val="left" w:pos="4464" w:leader="none"/>
                <w:tab w:val="left" w:pos="5760" w:leader="none"/>
              </w:tabs>
            </w:pPr>
            <w:r>
              <w:t xml:space="preserve">0,026% </w:t>
            </w:r>
            <w:r>
              <w:rPr>
                <w:bCs/>
                <w:iCs/>
              </w:rPr>
              <w:t xml:space="preserve">минимум </w:t>
            </w:r>
            <w:r>
              <w:rPr>
                <w:bCs/>
                <w:iCs/>
              </w:rPr>
              <w:t xml:space="preserve">3</w:t>
            </w:r>
            <w:r>
              <w:rPr>
                <w:bCs/>
                <w:iCs/>
              </w:rPr>
              <w:t xml:space="preserve">0 </w:t>
            </w:r>
            <w:r>
              <w:rPr>
                <w:bCs/>
                <w:iCs/>
              </w:rPr>
              <w:t xml:space="preserve">руб.</w:t>
            </w:r>
            <w:r>
              <w:rPr>
                <w:bCs/>
                <w:iCs/>
              </w:rPr>
              <w:t xml:space="preserve"> в месяц</w:t>
            </w:r>
            <w:r/>
          </w:p>
        </w:tc>
        <w:tc>
          <w:tcPr>
            <w:tcW w:w="1252" w:type="pct"/>
            <w:vAlign w:val="center"/>
            <w:vMerge w:val="restart"/>
            <w:textDirection w:val="lrTb"/>
            <w:noWrap w:val="false"/>
          </w:tcPr>
          <w:p>
            <w:pPr>
              <w:pStyle w:val="925"/>
              <w:ind w:right="-17"/>
              <w:spacing w:before="40" w:after="40"/>
              <w:tabs>
                <w:tab w:val="left" w:pos="4464" w:leader="none"/>
                <w:tab w:val="left" w:pos="5760" w:leader="none"/>
              </w:tabs>
            </w:pPr>
            <w:r>
              <w:t xml:space="preserve">Рассчитывается ежеквартально от ежемесячной средневзвешенной стоимости ценных бумаг на счете депо. </w:t>
            </w:r>
            <w:r/>
          </w:p>
          <w:p>
            <w:pPr>
              <w:pStyle w:val="925"/>
              <w:ind w:right="-17"/>
              <w:spacing w:before="40" w:after="40"/>
              <w:tabs>
                <w:tab w:val="left" w:pos="4464" w:leader="none"/>
                <w:tab w:val="left" w:pos="5760" w:leader="none"/>
              </w:tabs>
            </w:pPr>
            <w:r/>
            <w:r/>
          </w:p>
          <w:p>
            <w:pPr>
              <w:pStyle w:val="925"/>
              <w:spacing w:before="40" w:after="40"/>
              <w:tabs>
                <w:tab w:val="left" w:pos="4464" w:leader="none"/>
                <w:tab w:val="left" w:pos="5760" w:leader="none"/>
              </w:tabs>
            </w:pPr>
            <w: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25"/>
              <w:jc w:val="center"/>
              <w:spacing w:before="40" w:after="40"/>
              <w:rPr>
                <w:bCs/>
              </w:rPr>
            </w:pPr>
            <w:r>
              <w:rPr>
                <w:bCs/>
              </w:rPr>
            </w:r>
            <w:r>
              <w:rPr>
                <w:bCs/>
              </w:rPr>
            </w:r>
            <w:r>
              <w:rPr>
                <w:bCs/>
              </w:rPr>
            </w:r>
          </w:p>
        </w:tc>
        <w:tc>
          <w:tcPr>
            <w:tcW w:w="1515" w:type="pct"/>
            <w:vAlign w:val="top"/>
            <w:vMerge w:val="continue"/>
            <w:textDirection w:val="lrTb"/>
            <w:noWrap w:val="false"/>
          </w:tcPr>
          <w:p>
            <w:pPr>
              <w:pStyle w:val="925"/>
              <w:spacing w:before="40" w:after="40"/>
              <w:rPr>
                <w:bCs/>
              </w:rPr>
            </w:pPr>
            <w:r>
              <w:rPr>
                <w:bCs/>
              </w:rPr>
            </w:r>
            <w:r>
              <w:rPr>
                <w:bCs/>
              </w:rPr>
            </w:r>
            <w:r>
              <w:rPr>
                <w:bCs/>
              </w:rPr>
            </w:r>
          </w:p>
        </w:tc>
        <w:tc>
          <w:tcPr>
            <w:gridSpan w:val="2"/>
            <w:tcW w:w="918" w:type="pct"/>
            <w:vAlign w:val="top"/>
            <w:textDirection w:val="lrTb"/>
            <w:noWrap w:val="false"/>
          </w:tcPr>
          <w:p>
            <w:pPr>
              <w:pStyle w:val="925"/>
              <w:ind w:left="-2" w:right="-18"/>
              <w:jc w:val="center"/>
              <w:spacing w:before="40" w:after="40"/>
              <w:tabs>
                <w:tab w:val="left" w:pos="4464" w:leader="none"/>
                <w:tab w:val="left" w:pos="5760" w:leader="none"/>
              </w:tabs>
            </w:pPr>
            <w:r>
              <w:t xml:space="preserve">от 1 до 5</w:t>
            </w:r>
            <w:r/>
          </w:p>
        </w:tc>
        <w:tc>
          <w:tcPr>
            <w:tcW w:w="782" w:type="pct"/>
            <w:vAlign w:val="top"/>
            <w:textDirection w:val="lrTb"/>
            <w:noWrap w:val="false"/>
          </w:tcPr>
          <w:p>
            <w:pPr>
              <w:pStyle w:val="925"/>
              <w:ind w:left="-2" w:right="-18"/>
              <w:jc w:val="center"/>
              <w:spacing w:before="40" w:after="40"/>
              <w:tabs>
                <w:tab w:val="left" w:pos="4464" w:leader="none"/>
                <w:tab w:val="left" w:pos="5760" w:leader="none"/>
              </w:tabs>
            </w:pPr>
            <w:r>
              <w:t xml:space="preserve">0,024 %</w:t>
            </w:r>
            <w:r/>
          </w:p>
        </w:tc>
        <w:tc>
          <w:tcPr>
            <w:tcW w:w="1252" w:type="pct"/>
            <w:vAlign w:val="top"/>
            <w:vMerge w:val="continue"/>
            <w:textDirection w:val="lrTb"/>
            <w:noWrap w:val="false"/>
          </w:tcPr>
          <w:p>
            <w:pPr>
              <w:pStyle w:val="925"/>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25"/>
              <w:jc w:val="center"/>
              <w:spacing w:before="40" w:after="40"/>
              <w:rPr>
                <w:bCs/>
              </w:rPr>
            </w:pPr>
            <w:r>
              <w:rPr>
                <w:bCs/>
              </w:rPr>
            </w:r>
            <w:r>
              <w:rPr>
                <w:bCs/>
              </w:rPr>
            </w:r>
            <w:r>
              <w:rPr>
                <w:bCs/>
              </w:rPr>
            </w:r>
          </w:p>
        </w:tc>
        <w:tc>
          <w:tcPr>
            <w:tcW w:w="1515" w:type="pct"/>
            <w:vAlign w:val="top"/>
            <w:vMerge w:val="continue"/>
            <w:textDirection w:val="lrTb"/>
            <w:noWrap w:val="false"/>
          </w:tcPr>
          <w:p>
            <w:pPr>
              <w:pStyle w:val="925"/>
              <w:spacing w:before="40" w:after="40"/>
              <w:rPr>
                <w:bCs/>
              </w:rPr>
            </w:pPr>
            <w:r>
              <w:rPr>
                <w:bCs/>
              </w:rPr>
            </w:r>
            <w:r>
              <w:rPr>
                <w:bCs/>
              </w:rPr>
            </w:r>
            <w:r>
              <w:rPr>
                <w:bCs/>
              </w:rPr>
            </w:r>
          </w:p>
        </w:tc>
        <w:tc>
          <w:tcPr>
            <w:gridSpan w:val="2"/>
            <w:tcW w:w="918" w:type="pct"/>
            <w:vAlign w:val="top"/>
            <w:textDirection w:val="lrTb"/>
            <w:noWrap w:val="false"/>
          </w:tcPr>
          <w:p>
            <w:pPr>
              <w:pStyle w:val="925"/>
              <w:ind w:left="-2" w:right="-18"/>
              <w:jc w:val="center"/>
              <w:spacing w:before="40" w:after="40"/>
              <w:tabs>
                <w:tab w:val="left" w:pos="4464" w:leader="none"/>
                <w:tab w:val="left" w:pos="5760" w:leader="none"/>
              </w:tabs>
            </w:pPr>
            <w:r>
              <w:t xml:space="preserve">от 5 до 10</w:t>
            </w:r>
            <w:r/>
          </w:p>
        </w:tc>
        <w:tc>
          <w:tcPr>
            <w:tcW w:w="782" w:type="pct"/>
            <w:vAlign w:val="top"/>
            <w:textDirection w:val="lrTb"/>
            <w:noWrap w:val="false"/>
          </w:tcPr>
          <w:p>
            <w:pPr>
              <w:pStyle w:val="925"/>
              <w:ind w:left="-2" w:right="-18"/>
              <w:jc w:val="center"/>
              <w:spacing w:before="40" w:after="40"/>
              <w:tabs>
                <w:tab w:val="left" w:pos="4464" w:leader="none"/>
                <w:tab w:val="left" w:pos="5760" w:leader="none"/>
              </w:tabs>
            </w:pPr>
            <w:r>
              <w:t xml:space="preserve">0,0197%</w:t>
            </w:r>
            <w:r/>
          </w:p>
        </w:tc>
        <w:tc>
          <w:tcPr>
            <w:tcW w:w="1252" w:type="pct"/>
            <w:vAlign w:val="top"/>
            <w:vMerge w:val="continue"/>
            <w:textDirection w:val="lrTb"/>
            <w:noWrap w:val="false"/>
          </w:tcPr>
          <w:p>
            <w:pPr>
              <w:pStyle w:val="925"/>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25"/>
              <w:jc w:val="center"/>
              <w:spacing w:before="40" w:after="40"/>
              <w:rPr>
                <w:bCs/>
              </w:rPr>
            </w:pPr>
            <w:r>
              <w:rPr>
                <w:bCs/>
              </w:rPr>
            </w:r>
            <w:r>
              <w:rPr>
                <w:bCs/>
              </w:rPr>
            </w:r>
            <w:r>
              <w:rPr>
                <w:bCs/>
              </w:rPr>
            </w:r>
          </w:p>
        </w:tc>
        <w:tc>
          <w:tcPr>
            <w:tcW w:w="1515" w:type="pct"/>
            <w:vAlign w:val="top"/>
            <w:vMerge w:val="continue"/>
            <w:textDirection w:val="lrTb"/>
            <w:noWrap w:val="false"/>
          </w:tcPr>
          <w:p>
            <w:pPr>
              <w:pStyle w:val="925"/>
              <w:spacing w:before="40" w:after="40"/>
              <w:rPr>
                <w:bCs/>
              </w:rPr>
            </w:pPr>
            <w:r>
              <w:rPr>
                <w:bCs/>
              </w:rPr>
            </w:r>
            <w:r>
              <w:rPr>
                <w:bCs/>
              </w:rPr>
            </w:r>
            <w:r>
              <w:rPr>
                <w:bCs/>
              </w:rPr>
            </w:r>
          </w:p>
        </w:tc>
        <w:tc>
          <w:tcPr>
            <w:gridSpan w:val="2"/>
            <w:tcW w:w="918" w:type="pct"/>
            <w:vAlign w:val="top"/>
            <w:textDirection w:val="lrTb"/>
            <w:noWrap w:val="false"/>
          </w:tcPr>
          <w:p>
            <w:pPr>
              <w:pStyle w:val="925"/>
              <w:ind w:left="-2" w:right="-18"/>
              <w:jc w:val="center"/>
              <w:spacing w:before="40" w:after="40"/>
              <w:tabs>
                <w:tab w:val="left" w:pos="4464" w:leader="none"/>
                <w:tab w:val="left" w:pos="5760" w:leader="none"/>
              </w:tabs>
            </w:pPr>
            <w:r>
              <w:t xml:space="preserve">от 10 до 20</w:t>
            </w:r>
            <w:r/>
          </w:p>
        </w:tc>
        <w:tc>
          <w:tcPr>
            <w:tcW w:w="782" w:type="pct"/>
            <w:vAlign w:val="top"/>
            <w:textDirection w:val="lrTb"/>
            <w:noWrap w:val="false"/>
          </w:tcPr>
          <w:p>
            <w:pPr>
              <w:pStyle w:val="925"/>
              <w:ind w:left="-2" w:right="-18"/>
              <w:jc w:val="center"/>
              <w:spacing w:before="40" w:after="40"/>
              <w:tabs>
                <w:tab w:val="left" w:pos="4464" w:leader="none"/>
                <w:tab w:val="left" w:pos="5760" w:leader="none"/>
              </w:tabs>
            </w:pPr>
            <w:r>
              <w:t xml:space="preserve">0,0192%</w:t>
            </w:r>
            <w:r/>
          </w:p>
        </w:tc>
        <w:tc>
          <w:tcPr>
            <w:tcW w:w="1252" w:type="pct"/>
            <w:vAlign w:val="top"/>
            <w:vMerge w:val="continue"/>
            <w:textDirection w:val="lrTb"/>
            <w:noWrap w:val="false"/>
          </w:tcPr>
          <w:p>
            <w:pPr>
              <w:pStyle w:val="925"/>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25"/>
              <w:jc w:val="center"/>
              <w:spacing w:before="40" w:after="40"/>
              <w:rPr>
                <w:bCs/>
              </w:rPr>
            </w:pPr>
            <w:r>
              <w:rPr>
                <w:bCs/>
              </w:rPr>
            </w:r>
            <w:r>
              <w:rPr>
                <w:bCs/>
              </w:rPr>
            </w:r>
            <w:r>
              <w:rPr>
                <w:bCs/>
              </w:rPr>
            </w:r>
          </w:p>
        </w:tc>
        <w:tc>
          <w:tcPr>
            <w:tcW w:w="1515" w:type="pct"/>
            <w:vAlign w:val="top"/>
            <w:vMerge w:val="continue"/>
            <w:textDirection w:val="lrTb"/>
            <w:noWrap w:val="false"/>
          </w:tcPr>
          <w:p>
            <w:pPr>
              <w:pStyle w:val="925"/>
              <w:spacing w:before="40" w:after="40"/>
              <w:rPr>
                <w:bCs/>
              </w:rPr>
            </w:pPr>
            <w:r>
              <w:rPr>
                <w:bCs/>
              </w:rPr>
            </w:r>
            <w:r>
              <w:rPr>
                <w:bCs/>
              </w:rPr>
            </w:r>
            <w:r>
              <w:rPr>
                <w:bCs/>
              </w:rPr>
            </w:r>
          </w:p>
        </w:tc>
        <w:tc>
          <w:tcPr>
            <w:gridSpan w:val="2"/>
            <w:tcW w:w="918" w:type="pct"/>
            <w:vAlign w:val="top"/>
            <w:textDirection w:val="lrTb"/>
            <w:noWrap w:val="false"/>
          </w:tcPr>
          <w:p>
            <w:pPr>
              <w:pStyle w:val="925"/>
              <w:ind w:left="-2" w:right="-18"/>
              <w:jc w:val="center"/>
              <w:spacing w:before="40" w:after="40"/>
              <w:tabs>
                <w:tab w:val="left" w:pos="4464" w:leader="none"/>
                <w:tab w:val="left" w:pos="5760" w:leader="none"/>
              </w:tabs>
            </w:pPr>
            <w:r>
              <w:t xml:space="preserve">от </w:t>
            </w:r>
            <w:r>
              <w:rPr>
                <w:lang w:val="en-US"/>
              </w:rPr>
              <w:t xml:space="preserve">20</w:t>
            </w:r>
            <w:r>
              <w:t xml:space="preserve"> до </w:t>
            </w:r>
            <w:r>
              <w:rPr>
                <w:lang w:val="en-US"/>
              </w:rPr>
              <w:t xml:space="preserve">50</w:t>
            </w:r>
            <w:r/>
          </w:p>
        </w:tc>
        <w:tc>
          <w:tcPr>
            <w:tcW w:w="782" w:type="pct"/>
            <w:vAlign w:val="top"/>
            <w:textDirection w:val="lrTb"/>
            <w:noWrap w:val="false"/>
          </w:tcPr>
          <w:p>
            <w:pPr>
              <w:pStyle w:val="925"/>
              <w:ind w:left="-2" w:right="-18"/>
              <w:jc w:val="center"/>
              <w:spacing w:before="40" w:after="40"/>
              <w:tabs>
                <w:tab w:val="left" w:pos="4464" w:leader="none"/>
                <w:tab w:val="left" w:pos="5760" w:leader="none"/>
              </w:tabs>
            </w:pPr>
            <w:r>
              <w:t xml:space="preserve">0,01</w:t>
            </w:r>
            <w:r>
              <w:rPr>
                <w:lang w:val="en-US"/>
              </w:rPr>
              <w:t xml:space="preserve">72</w:t>
            </w:r>
            <w:r>
              <w:t xml:space="preserve">%</w:t>
            </w:r>
            <w:r/>
          </w:p>
        </w:tc>
        <w:tc>
          <w:tcPr>
            <w:tcW w:w="1252" w:type="pct"/>
            <w:vAlign w:val="top"/>
            <w:vMerge w:val="continue"/>
            <w:textDirection w:val="lrTb"/>
            <w:noWrap w:val="false"/>
          </w:tcPr>
          <w:p>
            <w:pPr>
              <w:pStyle w:val="925"/>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25"/>
              <w:jc w:val="center"/>
              <w:spacing w:before="40" w:after="40"/>
              <w:rPr>
                <w:bCs/>
              </w:rPr>
            </w:pPr>
            <w:r>
              <w:rPr>
                <w:bCs/>
              </w:rPr>
            </w:r>
            <w:r>
              <w:rPr>
                <w:bCs/>
              </w:rPr>
            </w:r>
            <w:r>
              <w:rPr>
                <w:bCs/>
              </w:rPr>
            </w:r>
          </w:p>
        </w:tc>
        <w:tc>
          <w:tcPr>
            <w:tcW w:w="1515" w:type="pct"/>
            <w:vAlign w:val="top"/>
            <w:vMerge w:val="continue"/>
            <w:textDirection w:val="lrTb"/>
            <w:noWrap w:val="false"/>
          </w:tcPr>
          <w:p>
            <w:pPr>
              <w:pStyle w:val="925"/>
              <w:spacing w:before="40" w:after="40"/>
              <w:rPr>
                <w:bCs/>
              </w:rPr>
            </w:pPr>
            <w:r>
              <w:rPr>
                <w:bCs/>
              </w:rPr>
            </w:r>
            <w:r>
              <w:rPr>
                <w:bCs/>
              </w:rPr>
            </w:r>
            <w:r>
              <w:rPr>
                <w:bCs/>
              </w:rPr>
            </w:r>
          </w:p>
        </w:tc>
        <w:tc>
          <w:tcPr>
            <w:gridSpan w:val="2"/>
            <w:tcW w:w="918" w:type="pct"/>
            <w:vAlign w:val="top"/>
            <w:textDirection w:val="lrTb"/>
            <w:noWrap w:val="false"/>
          </w:tcPr>
          <w:p>
            <w:pPr>
              <w:pStyle w:val="925"/>
              <w:ind w:left="-2" w:right="-18"/>
              <w:jc w:val="center"/>
              <w:spacing w:before="40" w:after="40"/>
              <w:tabs>
                <w:tab w:val="left" w:pos="4464" w:leader="none"/>
                <w:tab w:val="left" w:pos="5760" w:leader="none"/>
              </w:tabs>
            </w:pPr>
            <w:r>
              <w:t xml:space="preserve">свыше 50</w:t>
            </w:r>
            <w:r/>
          </w:p>
        </w:tc>
        <w:tc>
          <w:tcPr>
            <w:tcW w:w="782" w:type="pct"/>
            <w:vAlign w:val="top"/>
            <w:textDirection w:val="lrTb"/>
            <w:noWrap w:val="false"/>
          </w:tcPr>
          <w:p>
            <w:pPr>
              <w:pStyle w:val="925"/>
              <w:ind w:left="-2" w:right="-18"/>
              <w:jc w:val="center"/>
              <w:spacing w:before="40" w:after="40"/>
              <w:tabs>
                <w:tab w:val="left" w:pos="4464" w:leader="none"/>
                <w:tab w:val="left" w:pos="5760" w:leader="none"/>
              </w:tabs>
            </w:pPr>
            <w:r>
              <w:t xml:space="preserve">0,016%</w:t>
            </w:r>
            <w:r/>
          </w:p>
        </w:tc>
        <w:tc>
          <w:tcPr>
            <w:tcW w:w="1252" w:type="pct"/>
            <w:vAlign w:val="top"/>
            <w:vMerge w:val="continue"/>
            <w:textDirection w:val="lrTb"/>
            <w:noWrap w:val="false"/>
          </w:tcPr>
          <w:p>
            <w:pPr>
              <w:pStyle w:val="925"/>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33" w:type="pct"/>
            <w:vAlign w:val="top"/>
            <w:vMerge w:val="restart"/>
            <w:textDirection w:val="lrTb"/>
            <w:noWrap w:val="false"/>
          </w:tcPr>
          <w:p>
            <w:pPr>
              <w:pStyle w:val="925"/>
              <w:jc w:val="center"/>
              <w:spacing w:before="40" w:after="40"/>
              <w:rPr>
                <w:bCs/>
              </w:rPr>
            </w:pPr>
            <w:r>
              <w:rPr>
                <w:bCs/>
              </w:rPr>
              <w:t xml:space="preserve">9</w:t>
            </w:r>
            <w:r>
              <w:rPr>
                <w:bCs/>
              </w:rPr>
              <w:t xml:space="preserve">.2.</w:t>
            </w:r>
            <w:r>
              <w:rPr>
                <w:bCs/>
              </w:rPr>
              <w:t xml:space="preserve">7</w:t>
            </w:r>
            <w:r>
              <w:rPr>
                <w:bCs/>
              </w:rPr>
              <w:t xml:space="preserve">.2.</w:t>
            </w:r>
            <w:r>
              <w:rPr>
                <w:bCs/>
              </w:rPr>
            </w:r>
            <w:r>
              <w:rPr>
                <w:bCs/>
              </w:rPr>
            </w:r>
          </w:p>
        </w:tc>
        <w:tc>
          <w:tcPr>
            <w:tcW w:w="1515" w:type="pct"/>
            <w:vAlign w:val="top"/>
            <w:vMerge w:val="restart"/>
            <w:textDirection w:val="lrTb"/>
            <w:noWrap w:val="false"/>
          </w:tcPr>
          <w:p>
            <w:pPr>
              <w:pStyle w:val="925"/>
              <w:jc w:val="both"/>
              <w:spacing w:before="40" w:after="40"/>
              <w:rPr>
                <w:bCs/>
              </w:rPr>
            </w:pPr>
            <w:r>
              <w:rPr>
                <w:bCs/>
              </w:rPr>
              <w:t xml:space="preserve">Депозитарный учет акций и российских депозитарных расписок, выпущенных на территории Российской Федерации</w:t>
            </w:r>
            <w:r>
              <w:rPr>
                <w:bCs/>
              </w:rPr>
            </w:r>
            <w:r>
              <w:rPr>
                <w:bCs/>
              </w:rPr>
            </w:r>
          </w:p>
        </w:tc>
        <w:tc>
          <w:tcPr>
            <w:gridSpan w:val="2"/>
            <w:tcW w:w="918" w:type="pct"/>
            <w:vAlign w:val="top"/>
            <w:textDirection w:val="lrTb"/>
            <w:noWrap w:val="false"/>
          </w:tcPr>
          <w:p>
            <w:pPr>
              <w:pStyle w:val="925"/>
              <w:jc w:val="center"/>
              <w:spacing w:before="40" w:after="40"/>
            </w:pPr>
            <w:r>
              <w:t xml:space="preserve">до 0,5</w:t>
            </w:r>
            <w:r/>
          </w:p>
        </w:tc>
        <w:tc>
          <w:tcPr>
            <w:tcW w:w="782" w:type="pct"/>
            <w:vAlign w:val="top"/>
            <w:textDirection w:val="lrTb"/>
            <w:noWrap w:val="false"/>
          </w:tcPr>
          <w:p>
            <w:pPr>
              <w:pStyle w:val="925"/>
              <w:jc w:val="center"/>
            </w:pPr>
            <w:r>
              <w:t xml:space="preserve">0,019% </w:t>
            </w:r>
            <w:r>
              <w:rPr>
                <w:bCs/>
                <w:iCs/>
              </w:rPr>
              <w:t xml:space="preserve">минимум </w:t>
            </w:r>
            <w:r>
              <w:rPr>
                <w:bCs/>
                <w:iCs/>
              </w:rPr>
              <w:t xml:space="preserve">3</w:t>
            </w:r>
            <w:r>
              <w:rPr>
                <w:bCs/>
                <w:iCs/>
              </w:rPr>
              <w:t xml:space="preserve">0 </w:t>
            </w:r>
            <w:r>
              <w:rPr>
                <w:bCs/>
                <w:iCs/>
              </w:rPr>
              <w:t xml:space="preserve">руб.</w:t>
            </w:r>
            <w:r>
              <w:rPr>
                <w:bCs/>
                <w:iCs/>
              </w:rPr>
              <w:t xml:space="preserve"> в месяц</w:t>
            </w:r>
            <w:r/>
          </w:p>
        </w:tc>
        <w:tc>
          <w:tcPr>
            <w:tcW w:w="1252" w:type="pct"/>
            <w:vAlign w:val="top"/>
            <w:vMerge w:val="continue"/>
            <w:textDirection w:val="lrTb"/>
            <w:noWrap w:val="false"/>
          </w:tcPr>
          <w:p>
            <w:pPr>
              <w:pStyle w:val="925"/>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25"/>
              <w:jc w:val="center"/>
              <w:spacing w:before="40" w:after="40"/>
              <w:rPr>
                <w:bCs/>
              </w:rPr>
            </w:pPr>
            <w:r>
              <w:rPr>
                <w:bCs/>
              </w:rPr>
            </w:r>
            <w:r>
              <w:rPr>
                <w:bCs/>
              </w:rPr>
            </w:r>
            <w:r>
              <w:rPr>
                <w:bCs/>
              </w:rPr>
            </w:r>
          </w:p>
        </w:tc>
        <w:tc>
          <w:tcPr>
            <w:tcW w:w="1515" w:type="pct"/>
            <w:vAlign w:val="top"/>
            <w:vMerge w:val="continue"/>
            <w:textDirection w:val="lrTb"/>
            <w:noWrap w:val="false"/>
          </w:tcPr>
          <w:p>
            <w:pPr>
              <w:pStyle w:val="925"/>
              <w:jc w:val="both"/>
              <w:spacing w:before="40" w:after="40"/>
              <w:rPr>
                <w:bCs/>
              </w:rPr>
            </w:pPr>
            <w:r>
              <w:rPr>
                <w:bCs/>
              </w:rPr>
            </w:r>
            <w:r>
              <w:rPr>
                <w:bCs/>
              </w:rPr>
            </w:r>
            <w:r>
              <w:rPr>
                <w:bCs/>
              </w:rPr>
            </w:r>
          </w:p>
        </w:tc>
        <w:tc>
          <w:tcPr>
            <w:gridSpan w:val="2"/>
            <w:tcW w:w="918" w:type="pct"/>
            <w:vAlign w:val="top"/>
            <w:textDirection w:val="lrTb"/>
            <w:noWrap w:val="false"/>
          </w:tcPr>
          <w:p>
            <w:pPr>
              <w:pStyle w:val="925"/>
              <w:jc w:val="center"/>
              <w:spacing w:before="40" w:after="40"/>
            </w:pPr>
            <w:r>
              <w:t xml:space="preserve">от 0,5 до 1</w:t>
            </w:r>
            <w:r/>
          </w:p>
        </w:tc>
        <w:tc>
          <w:tcPr>
            <w:tcW w:w="782" w:type="pct"/>
            <w:vAlign w:val="top"/>
            <w:textDirection w:val="lrTb"/>
            <w:noWrap w:val="false"/>
          </w:tcPr>
          <w:p>
            <w:pPr>
              <w:pStyle w:val="925"/>
              <w:jc w:val="center"/>
            </w:pPr>
            <w:r>
              <w:t xml:space="preserve">0,014%</w:t>
            </w:r>
            <w:r/>
          </w:p>
        </w:tc>
        <w:tc>
          <w:tcPr>
            <w:tcW w:w="1252" w:type="pct"/>
            <w:vAlign w:val="top"/>
            <w:vMerge w:val="continue"/>
            <w:textDirection w:val="lrTb"/>
            <w:noWrap w:val="false"/>
          </w:tcPr>
          <w:p>
            <w:pPr>
              <w:pStyle w:val="925"/>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25"/>
              <w:jc w:val="center"/>
              <w:spacing w:before="40" w:after="40"/>
              <w:rPr>
                <w:bCs/>
              </w:rPr>
            </w:pPr>
            <w:r>
              <w:rPr>
                <w:bCs/>
              </w:rPr>
            </w:r>
            <w:r>
              <w:rPr>
                <w:bCs/>
              </w:rPr>
            </w:r>
            <w:r>
              <w:rPr>
                <w:bCs/>
              </w:rPr>
            </w:r>
          </w:p>
        </w:tc>
        <w:tc>
          <w:tcPr>
            <w:tcW w:w="1515" w:type="pct"/>
            <w:vAlign w:val="top"/>
            <w:vMerge w:val="continue"/>
            <w:textDirection w:val="lrTb"/>
            <w:noWrap w:val="false"/>
          </w:tcPr>
          <w:p>
            <w:pPr>
              <w:pStyle w:val="925"/>
              <w:jc w:val="both"/>
              <w:spacing w:before="40" w:after="40"/>
              <w:rPr>
                <w:bCs/>
              </w:rPr>
            </w:pPr>
            <w:r>
              <w:rPr>
                <w:bCs/>
              </w:rPr>
            </w:r>
            <w:r>
              <w:rPr>
                <w:bCs/>
              </w:rPr>
            </w:r>
            <w:r>
              <w:rPr>
                <w:bCs/>
              </w:rPr>
            </w:r>
          </w:p>
        </w:tc>
        <w:tc>
          <w:tcPr>
            <w:gridSpan w:val="2"/>
            <w:tcW w:w="918" w:type="pct"/>
            <w:vAlign w:val="top"/>
            <w:textDirection w:val="lrTb"/>
            <w:noWrap w:val="false"/>
          </w:tcPr>
          <w:p>
            <w:pPr>
              <w:pStyle w:val="925"/>
              <w:jc w:val="center"/>
              <w:spacing w:before="40" w:after="40"/>
            </w:pPr>
            <w:r>
              <w:t xml:space="preserve">от 1 до 5</w:t>
            </w:r>
            <w:r/>
          </w:p>
        </w:tc>
        <w:tc>
          <w:tcPr>
            <w:tcW w:w="782" w:type="pct"/>
            <w:vAlign w:val="top"/>
            <w:textDirection w:val="lrTb"/>
            <w:noWrap w:val="false"/>
          </w:tcPr>
          <w:p>
            <w:pPr>
              <w:pStyle w:val="925"/>
              <w:jc w:val="center"/>
            </w:pPr>
            <w:r>
              <w:t xml:space="preserve">0,013%</w:t>
            </w:r>
            <w:r/>
          </w:p>
        </w:tc>
        <w:tc>
          <w:tcPr>
            <w:tcW w:w="1252" w:type="pct"/>
            <w:vAlign w:val="top"/>
            <w:vMerge w:val="continue"/>
            <w:textDirection w:val="lrTb"/>
            <w:noWrap w:val="false"/>
          </w:tcPr>
          <w:p>
            <w:pPr>
              <w:pStyle w:val="925"/>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3" w:type="pct"/>
            <w:vAlign w:val="top"/>
            <w:vMerge w:val="continue"/>
            <w:textDirection w:val="lrTb"/>
            <w:noWrap w:val="false"/>
          </w:tcPr>
          <w:p>
            <w:pPr>
              <w:pStyle w:val="925"/>
              <w:jc w:val="center"/>
              <w:spacing w:before="40" w:after="40"/>
              <w:rPr>
                <w:bCs/>
              </w:rPr>
            </w:pPr>
            <w:r>
              <w:rPr>
                <w:bCs/>
              </w:rPr>
            </w:r>
            <w:r>
              <w:rPr>
                <w:bCs/>
              </w:rPr>
            </w:r>
            <w:r>
              <w:rPr>
                <w:bCs/>
              </w:rPr>
            </w:r>
          </w:p>
        </w:tc>
        <w:tc>
          <w:tcPr>
            <w:tcW w:w="1515" w:type="pct"/>
            <w:vAlign w:val="top"/>
            <w:vMerge w:val="continue"/>
            <w:textDirection w:val="lrTb"/>
            <w:noWrap w:val="false"/>
          </w:tcPr>
          <w:p>
            <w:pPr>
              <w:pStyle w:val="925"/>
              <w:jc w:val="both"/>
              <w:spacing w:before="40" w:after="40"/>
              <w:rPr>
                <w:bCs/>
              </w:rPr>
            </w:pPr>
            <w:r>
              <w:rPr>
                <w:bCs/>
              </w:rPr>
            </w:r>
            <w:r>
              <w:rPr>
                <w:bCs/>
              </w:rPr>
            </w:r>
            <w:r>
              <w:rPr>
                <w:bCs/>
              </w:rPr>
            </w:r>
          </w:p>
        </w:tc>
        <w:tc>
          <w:tcPr>
            <w:gridSpan w:val="2"/>
            <w:tcW w:w="918" w:type="pct"/>
            <w:vAlign w:val="top"/>
            <w:textDirection w:val="lrTb"/>
            <w:noWrap w:val="false"/>
          </w:tcPr>
          <w:p>
            <w:pPr>
              <w:pStyle w:val="925"/>
              <w:jc w:val="center"/>
              <w:spacing w:before="40" w:after="40"/>
            </w:pPr>
            <w:r>
              <w:t xml:space="preserve">свыше 5</w:t>
            </w:r>
            <w:r/>
          </w:p>
        </w:tc>
        <w:tc>
          <w:tcPr>
            <w:tcW w:w="782" w:type="pct"/>
            <w:vAlign w:val="top"/>
            <w:textDirection w:val="lrTb"/>
            <w:noWrap w:val="false"/>
          </w:tcPr>
          <w:p>
            <w:pPr>
              <w:pStyle w:val="925"/>
              <w:jc w:val="center"/>
            </w:pPr>
            <w:r>
              <w:t xml:space="preserve">0,01%</w:t>
            </w:r>
            <w:r/>
          </w:p>
        </w:tc>
        <w:tc>
          <w:tcPr>
            <w:tcW w:w="1252" w:type="pct"/>
            <w:vAlign w:val="top"/>
            <w:vMerge w:val="continue"/>
            <w:textDirection w:val="lrTb"/>
            <w:noWrap w:val="false"/>
          </w:tcPr>
          <w:p>
            <w:pPr>
              <w:pStyle w:val="925"/>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bCs/>
              </w:rPr>
            </w:pPr>
            <w:r>
              <w:rPr>
                <w:bCs/>
              </w:rPr>
              <w:t xml:space="preserve">9</w:t>
            </w:r>
            <w:r>
              <w:rPr>
                <w:bCs/>
              </w:rPr>
              <w:t xml:space="preserve">.2.</w:t>
            </w:r>
            <w:r>
              <w:rPr>
                <w:bCs/>
              </w:rPr>
              <w:t xml:space="preserve">7</w:t>
            </w:r>
            <w:r>
              <w:rPr>
                <w:bCs/>
              </w:rPr>
              <w:t xml:space="preserve">.3.</w:t>
            </w:r>
            <w:r>
              <w:rPr>
                <w:bCs/>
              </w:rPr>
            </w:r>
            <w:r>
              <w:rPr>
                <w:bCs/>
              </w:rPr>
            </w:r>
          </w:p>
        </w:tc>
        <w:tc>
          <w:tcPr>
            <w:tcW w:w="1515" w:type="pct"/>
            <w:vAlign w:val="top"/>
            <w:textDirection w:val="lrTb"/>
            <w:noWrap w:val="false"/>
          </w:tcPr>
          <w:p>
            <w:pPr>
              <w:pStyle w:val="925"/>
              <w:jc w:val="both"/>
              <w:spacing w:before="40" w:after="40"/>
              <w:rPr>
                <w:bCs/>
              </w:rPr>
            </w:pPr>
            <w:r>
              <w:rPr>
                <w:b/>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rPr>
            </w:r>
            <w:r>
              <w:rPr>
                <w:bCs/>
              </w:rPr>
            </w:r>
          </w:p>
        </w:tc>
        <w:tc>
          <w:tcPr>
            <w:gridSpan w:val="3"/>
            <w:tcW w:w="1700" w:type="pct"/>
            <w:vAlign w:val="top"/>
            <w:textDirection w:val="lrTb"/>
            <w:noWrap w:val="false"/>
          </w:tcPr>
          <w:p>
            <w:pPr>
              <w:pStyle w:val="925"/>
              <w:jc w:val="center"/>
              <w:spacing w:before="40" w:after="40"/>
            </w:pPr>
            <w:r>
              <w:rPr>
                <w:bCs/>
              </w:rPr>
              <w:t xml:space="preserve">0,035% годовых минимум 30 руб. в месяц</w:t>
            </w:r>
            <w:r/>
          </w:p>
        </w:tc>
        <w:tc>
          <w:tcPr>
            <w:tcW w:w="1252" w:type="pct"/>
            <w:vAlign w:val="top"/>
            <w:textDirection w:val="lrTb"/>
            <w:noWrap w:val="false"/>
          </w:tcPr>
          <w:p>
            <w:pPr>
              <w:pStyle w:val="925"/>
              <w:ind w:left="34"/>
              <w:spacing w:before="40" w:after="40"/>
              <w:tabs>
                <w:tab w:val="left" w:pos="4464" w:leader="none"/>
                <w:tab w:val="left" w:pos="5760" w:leader="none"/>
              </w:tabs>
            </w:pPr>
            <w:r>
              <w:rPr>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bCs/>
              </w:rPr>
            </w:pPr>
            <w:r>
              <w:rPr>
                <w:bCs/>
              </w:rPr>
              <w:t xml:space="preserve">9.2.7.4.</w:t>
            </w:r>
            <w:r>
              <w:rPr>
                <w:bCs/>
              </w:rPr>
            </w:r>
            <w:r>
              <w:rPr>
                <w:bCs/>
              </w:rPr>
            </w:r>
          </w:p>
        </w:tc>
        <w:tc>
          <w:tcPr>
            <w:tcW w:w="1515" w:type="pct"/>
            <w:vAlign w:val="top"/>
            <w:textDirection w:val="lrTb"/>
            <w:noWrap w:val="false"/>
          </w:tcPr>
          <w:p>
            <w:pPr>
              <w:pStyle w:val="925"/>
              <w:jc w:val="both"/>
              <w:spacing w:before="40" w:after="40"/>
              <w:rPr>
                <w:b/>
                <w:bCs/>
              </w:rPr>
            </w:pPr>
            <w:r>
              <w:rPr>
                <w:b/>
                <w:bCs/>
              </w:rPr>
              <w:t xml:space="preserve">Депозитарный учет прав на инвестиционные паи паевых инвестиционных фондов выпущенных вне территории Российской Федерации</w:t>
            </w:r>
            <w:r>
              <w:rPr>
                <w:b/>
                <w:bCs/>
              </w:rPr>
            </w:r>
            <w:r>
              <w:rPr>
                <w:b/>
                <w:bCs/>
              </w:rPr>
            </w:r>
          </w:p>
        </w:tc>
        <w:tc>
          <w:tcPr>
            <w:gridSpan w:val="3"/>
            <w:tcW w:w="1700" w:type="pct"/>
            <w:vAlign w:val="top"/>
            <w:textDirection w:val="lrTb"/>
            <w:noWrap w:val="false"/>
          </w:tcPr>
          <w:p>
            <w:pPr>
              <w:pStyle w:val="925"/>
              <w:jc w:val="center"/>
              <w:spacing w:before="40" w:after="40"/>
              <w:rPr>
                <w:bCs/>
              </w:rPr>
            </w:pPr>
            <w:r>
              <w:t xml:space="preserve">10</w:t>
            </w:r>
            <w:r>
              <w:t xml:space="preserve">0 руб</w:t>
            </w:r>
            <w:r>
              <w:t xml:space="preserve">.</w:t>
            </w:r>
            <w:r>
              <w:t xml:space="preserve"> в месяц</w:t>
            </w:r>
            <w:r>
              <w:rPr>
                <w:bCs/>
              </w:rPr>
            </w:r>
            <w:r>
              <w:rPr>
                <w:bCs/>
              </w:rPr>
            </w:r>
          </w:p>
        </w:tc>
        <w:tc>
          <w:tcPr>
            <w:tcW w:w="1252" w:type="pct"/>
            <w:vAlign w:val="top"/>
            <w:textDirection w:val="lrTb"/>
            <w:noWrap w:val="false"/>
          </w:tcPr>
          <w:p>
            <w:pPr>
              <w:pStyle w:val="925"/>
              <w:ind w:left="34"/>
              <w:spacing w:before="40" w:after="40"/>
              <w:tabs>
                <w:tab w:val="left" w:pos="4464" w:leader="none"/>
                <w:tab w:val="left" w:pos="5760" w:leader="none"/>
              </w:tabs>
            </w:pPr>
            <w:r>
              <w:t xml:space="preserve">В месяц за инвестиционные паи каждого инвестиционного фонда </w:t>
            </w:r>
            <w:r>
              <w:br w:type="textWrapping" w:clear="all"/>
            </w:r>
            <w:r>
              <w:t xml:space="preserve">(вне зависимости </w:t>
            </w:r>
            <w:r>
              <w:br w:type="textWrapping" w:clear="all"/>
            </w:r>
            <w:r>
              <w:t xml:space="preserve">от количества паев)</w:t>
            </w:r>
            <w:r/>
          </w:p>
          <w:p>
            <w:pPr>
              <w:pStyle w:val="925"/>
              <w:ind w:left="34"/>
              <w:spacing w:before="40" w:after="40"/>
              <w:tabs>
                <w:tab w:val="left" w:pos="4464" w:leader="none"/>
                <w:tab w:val="left" w:pos="5760" w:leader="none"/>
              </w:tabs>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bCs/>
              </w:rPr>
            </w:pPr>
            <w:r>
              <w:rPr>
                <w:bCs/>
              </w:rPr>
              <w:t xml:space="preserve">9.2.7.5.</w:t>
            </w:r>
            <w:r>
              <w:rPr>
                <w:bCs/>
              </w:rPr>
            </w:r>
            <w:r>
              <w:rPr>
                <w:bCs/>
              </w:rPr>
            </w:r>
          </w:p>
        </w:tc>
        <w:tc>
          <w:tcPr>
            <w:tcW w:w="1515" w:type="pct"/>
            <w:vAlign w:val="top"/>
            <w:textDirection w:val="lrTb"/>
            <w:noWrap w:val="false"/>
          </w:tcPr>
          <w:p>
            <w:pPr>
              <w:pStyle w:val="925"/>
              <w:jc w:val="both"/>
              <w:spacing w:before="40" w:after="40"/>
              <w:rPr>
                <w:b/>
                <w:bCs/>
              </w:rPr>
            </w:pPr>
            <w:r>
              <w:rPr>
                <w:b/>
                <w:bCs/>
              </w:rPr>
              <w:t xml:space="preserve">Депозитарный учет прав на инвестиционные паи паевых инвестиционных фондов выпущенных на территории Российской Федерации</w:t>
            </w:r>
            <w:r>
              <w:rPr>
                <w:b/>
                <w:bCs/>
              </w:rPr>
            </w:r>
            <w:r>
              <w:rPr>
                <w:b/>
                <w:bCs/>
              </w:rPr>
            </w:r>
          </w:p>
        </w:tc>
        <w:tc>
          <w:tcPr>
            <w:gridSpan w:val="3"/>
            <w:tcW w:w="1700" w:type="pct"/>
            <w:vAlign w:val="top"/>
            <w:textDirection w:val="lrTb"/>
            <w:noWrap w:val="false"/>
          </w:tcPr>
          <w:p>
            <w:pPr>
              <w:pStyle w:val="925"/>
              <w:jc w:val="center"/>
              <w:spacing w:before="40" w:after="40"/>
            </w:pPr>
            <w:r>
              <w:t xml:space="preserve">30 руб</w:t>
            </w:r>
            <w:r>
              <w:t xml:space="preserve">.</w:t>
            </w:r>
            <w:r>
              <w:t xml:space="preserve"> в месяц</w:t>
            </w:r>
            <w:r/>
          </w:p>
        </w:tc>
        <w:tc>
          <w:tcPr>
            <w:tcW w:w="1252" w:type="pct"/>
            <w:vAlign w:val="top"/>
            <w:textDirection w:val="lrTb"/>
            <w:noWrap w:val="false"/>
          </w:tcPr>
          <w:p>
            <w:pPr>
              <w:pStyle w:val="925"/>
              <w:ind w:left="34"/>
              <w:spacing w:before="40" w:after="40"/>
              <w:tabs>
                <w:tab w:val="left" w:pos="4464" w:leader="none"/>
                <w:tab w:val="left" w:pos="5760" w:leader="none"/>
              </w:tabs>
            </w:pPr>
            <w:r>
              <w:t xml:space="preserve">В месяц за инвестиционные паи</w:t>
            </w:r>
            <w:r>
              <w:t xml:space="preserve"> каждого инвестиционного фонда </w:t>
            </w:r>
            <w:r>
              <w:br w:type="textWrapping" w:clear="all"/>
            </w:r>
            <w:r>
              <w:t xml:space="preserve">(вне зависимости </w:t>
            </w:r>
            <w:r>
              <w:br w:type="textWrapping" w:clear="all"/>
            </w:r>
            <w:r>
              <w:t xml:space="preserve">от количества паев)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25"/>
              <w:jc w:val="center"/>
              <w:spacing w:before="120" w:after="120"/>
              <w:tabs>
                <w:tab w:val="left" w:pos="7920" w:leader="none"/>
              </w:tabs>
              <w:rPr>
                <w:b/>
                <w:bCs/>
              </w:rPr>
            </w:pPr>
            <w:r>
              <w:rPr>
                <w:b/>
                <w:bCs/>
              </w:rPr>
              <w:t xml:space="preserve">9.3. Прием/выдача сертификатов ценных бумаг</w:t>
            </w:r>
            <w:r>
              <w:rPr>
                <w:b/>
                <w:bCs/>
              </w:rPr>
              <w:t xml:space="preserve"> на/с хранение(я)</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9.3.1.</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Прием </w:t>
            </w:r>
            <w:r>
              <w:rPr>
                <w:b/>
                <w:bCs/>
              </w:rPr>
              <w:t xml:space="preserve">сертификатов эмис</w:t>
            </w:r>
            <w:r>
              <w:rPr>
                <w:b/>
                <w:bCs/>
                <w:lang w:val="en-US"/>
              </w:rPr>
              <w:t xml:space="preserve">c</w:t>
            </w:r>
            <w:r>
              <w:rPr>
                <w:b/>
                <w:bCs/>
              </w:rPr>
              <w:t xml:space="preserve">ионных ценных бумаг</w:t>
            </w:r>
            <w:r>
              <w:rPr>
                <w:b/>
                <w:bCs/>
              </w:rPr>
            </w:r>
            <w:r>
              <w:rPr>
                <w:b/>
                <w:bCs/>
              </w:rPr>
            </w:r>
          </w:p>
        </w:tc>
        <w:tc>
          <w:tcPr>
            <w:gridSpan w:val="2"/>
            <w:tcW w:w="1595" w:type="pct"/>
            <w:vAlign w:val="top"/>
            <w:textDirection w:val="lrTb"/>
            <w:noWrap w:val="false"/>
          </w:tcPr>
          <w:p>
            <w:pPr>
              <w:pStyle w:val="925"/>
              <w:jc w:val="center"/>
              <w:spacing w:before="40" w:after="40"/>
            </w:pPr>
            <w:r>
              <w:rPr>
                <w:lang w:val="en-US"/>
              </w:rPr>
              <w:t xml:space="preserve">3</w:t>
            </w:r>
            <w:r>
              <w:t xml:space="preserve">0 руб. за каждый лист</w:t>
            </w:r>
            <w:r/>
          </w:p>
        </w:tc>
        <w:tc>
          <w:tcPr>
            <w:tcW w:w="1252" w:type="pct"/>
            <w:vAlign w:val="top"/>
            <w:textDirection w:val="lrTb"/>
            <w:noWrap w:val="false"/>
          </w:tcPr>
          <w:p>
            <w:pPr>
              <w:pStyle w:val="925"/>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9.3.2.</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Выдача сертификатов эмиссионных ценных бумаг</w:t>
            </w:r>
            <w:r>
              <w:rPr>
                <w:b/>
                <w:bCs/>
              </w:rPr>
            </w:r>
            <w:r>
              <w:rPr>
                <w:b/>
                <w:bCs/>
              </w:rPr>
            </w:r>
          </w:p>
          <w:p>
            <w:pPr>
              <w:pStyle w:val="925"/>
              <w:spacing w:before="40" w:after="40"/>
              <w:tabs>
                <w:tab w:val="left" w:pos="540" w:leader="none"/>
              </w:tabs>
              <w:rPr>
                <w:b/>
                <w:bCs/>
              </w:rPr>
            </w:pPr>
            <w:r>
              <w:rPr>
                <w:b/>
                <w:bCs/>
              </w:rPr>
            </w:r>
            <w:r>
              <w:rPr>
                <w:b/>
                <w:bCs/>
              </w:rPr>
            </w:r>
            <w:r>
              <w:rPr>
                <w:b/>
                <w:bCs/>
              </w:rPr>
            </w:r>
          </w:p>
        </w:tc>
        <w:tc>
          <w:tcPr>
            <w:gridSpan w:val="2"/>
            <w:tcW w:w="1595" w:type="pct"/>
            <w:vAlign w:val="top"/>
            <w:textDirection w:val="lrTb"/>
            <w:noWrap w:val="false"/>
          </w:tcPr>
          <w:p>
            <w:pPr>
              <w:pStyle w:val="925"/>
              <w:jc w:val="center"/>
              <w:spacing w:before="40" w:after="40"/>
            </w:pPr>
            <w:r>
              <w:t xml:space="preserve">10 руб. за каждый лист</w:t>
            </w:r>
            <w:r/>
          </w:p>
          <w:p>
            <w:pPr>
              <w:pStyle w:val="925"/>
              <w:jc w:val="center"/>
              <w:spacing w:before="40" w:after="40"/>
            </w:pPr>
            <w:r>
              <w:t xml:space="preserve">м</w:t>
            </w:r>
            <w:r>
              <w:t xml:space="preserve">ин 300 руб.</w:t>
            </w:r>
            <w:r/>
          </w:p>
        </w:tc>
        <w:tc>
          <w:tcPr>
            <w:tcW w:w="1252" w:type="pct"/>
            <w:vAlign w:val="top"/>
            <w:textDirection w:val="lrTb"/>
            <w:noWrap w:val="false"/>
          </w:tcPr>
          <w:p>
            <w:pPr>
              <w:pStyle w:val="925"/>
              <w:jc w:val="center"/>
              <w:spacing w:before="40" w:after="40"/>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9.3.3.</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Прием неэмиссионных ценных бумаг с обязательной проверкой у эмитента</w:t>
            </w:r>
            <w:r>
              <w:rPr>
                <w:b/>
                <w:bCs/>
              </w:rPr>
            </w:r>
            <w:r>
              <w:rPr>
                <w:b/>
                <w:bCs/>
              </w:rPr>
            </w:r>
          </w:p>
        </w:tc>
        <w:tc>
          <w:tcPr>
            <w:gridSpan w:val="2"/>
            <w:tcW w:w="1595" w:type="pct"/>
            <w:vAlign w:val="top"/>
            <w:textDirection w:val="lrTb"/>
            <w:noWrap w:val="false"/>
          </w:tcPr>
          <w:p>
            <w:pPr>
              <w:pStyle w:val="925"/>
              <w:jc w:val="center"/>
              <w:spacing w:before="40" w:after="40"/>
            </w:pPr>
            <w:r>
              <w:rPr>
                <w:lang w:val="en-US"/>
              </w:rPr>
              <w:t xml:space="preserve">3</w:t>
            </w:r>
            <w:r>
              <w:t xml:space="preserve">0 руб. за каждый лист</w:t>
            </w:r>
            <w:r/>
          </w:p>
          <w:p>
            <w:pPr>
              <w:pStyle w:val="925"/>
              <w:jc w:val="center"/>
              <w:spacing w:before="40" w:after="40"/>
              <w:tabs>
                <w:tab w:val="left" w:pos="4464" w:leader="none"/>
                <w:tab w:val="left" w:pos="5760" w:leader="none"/>
              </w:tabs>
            </w:pPr>
            <w:r/>
            <w:r/>
          </w:p>
        </w:tc>
        <w:tc>
          <w:tcPr>
            <w:tcW w:w="1252" w:type="pct"/>
            <w:vAlign w:val="top"/>
            <w:textDirection w:val="lrTb"/>
            <w:noWrap w:val="false"/>
          </w:tcPr>
          <w:p>
            <w:pPr>
              <w:pStyle w:val="925"/>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9.3.4.</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Выдача неэмиссионных ценных бумаг</w:t>
            </w:r>
            <w:r>
              <w:rPr>
                <w:b/>
                <w:bCs/>
              </w:rPr>
            </w:r>
            <w:r>
              <w:rPr>
                <w:b/>
                <w:bCs/>
              </w:rPr>
            </w:r>
          </w:p>
        </w:tc>
        <w:tc>
          <w:tcPr>
            <w:gridSpan w:val="2"/>
            <w:tcW w:w="1595" w:type="pct"/>
            <w:vAlign w:val="top"/>
            <w:textDirection w:val="lrTb"/>
            <w:noWrap w:val="false"/>
          </w:tcPr>
          <w:p>
            <w:pPr>
              <w:pStyle w:val="925"/>
              <w:jc w:val="center"/>
              <w:spacing w:before="40" w:after="40"/>
            </w:pPr>
            <w:r>
              <w:t xml:space="preserve">10 руб. за каждый лист</w:t>
            </w:r>
            <w:r/>
          </w:p>
          <w:p>
            <w:pPr>
              <w:pStyle w:val="925"/>
              <w:jc w:val="center"/>
              <w:spacing w:before="40" w:after="40"/>
            </w:pPr>
            <w:r>
              <w:t xml:space="preserve">м</w:t>
            </w:r>
            <w:r>
              <w:t xml:space="preserve">ин 300 руб.</w:t>
            </w:r>
            <w:r/>
          </w:p>
        </w:tc>
        <w:tc>
          <w:tcPr>
            <w:tcW w:w="1252" w:type="pct"/>
            <w:vAlign w:val="top"/>
            <w:textDirection w:val="lrTb"/>
            <w:noWrap w:val="false"/>
          </w:tcPr>
          <w:p>
            <w:pPr>
              <w:pStyle w:val="925"/>
              <w:jc w:val="center"/>
              <w:spacing w:before="40" w:after="40"/>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25"/>
              <w:jc w:val="center"/>
              <w:spacing w:before="120" w:after="120"/>
              <w:tabs>
                <w:tab w:val="left" w:pos="7920" w:leader="none"/>
              </w:tabs>
              <w:rPr>
                <w:b/>
                <w:bCs/>
              </w:rPr>
            </w:pPr>
            <w:r>
              <w:rPr>
                <w:b/>
                <w:bCs/>
              </w:rPr>
              <w:t xml:space="preserve">9.4. Переводы ценных </w:t>
            </w:r>
            <w:r>
              <w:rPr>
                <w:b/>
                <w:bCs/>
              </w:rPr>
              <w:t xml:space="preserve">бумаг и иностранных финансовых </w:t>
            </w:r>
            <w:r>
              <w:rPr>
                <w:b/>
                <w:bCs/>
              </w:rPr>
              <w:t xml:space="preserve">инструментов по счетам депо</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9.4.1.</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Перевод «поставка/получение, свободная от платежа»</w:t>
            </w:r>
            <w:r>
              <w:rPr>
                <w:b/>
                <w:bCs/>
              </w:rPr>
            </w:r>
            <w:r>
              <w:rPr>
                <w:b/>
                <w:bCs/>
              </w:rPr>
            </w:r>
          </w:p>
        </w:tc>
        <w:tc>
          <w:tcPr>
            <w:gridSpan w:val="2"/>
            <w:tcW w:w="1595" w:type="pct"/>
            <w:vAlign w:val="top"/>
            <w:textDirection w:val="lrTb"/>
            <w:noWrap w:val="false"/>
          </w:tcPr>
          <w:p>
            <w:pPr>
              <w:pStyle w:val="925"/>
              <w:jc w:val="center"/>
              <w:spacing w:before="40" w:after="40"/>
            </w:pPr>
            <w:r>
              <w:t xml:space="preserve">600 </w:t>
            </w:r>
            <w:r>
              <w:t xml:space="preserve">руб.</w:t>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9.4.2.</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Перевод «поставка/получение против платежа» </w:t>
            </w:r>
            <w:r>
              <w:rPr>
                <w:b/>
                <w:bCs/>
              </w:rPr>
            </w:r>
            <w:r>
              <w:rPr>
                <w:b/>
                <w:bCs/>
              </w:rPr>
            </w:r>
          </w:p>
        </w:tc>
        <w:tc>
          <w:tcPr>
            <w:gridSpan w:val="2"/>
            <w:tcW w:w="1595" w:type="pct"/>
            <w:vAlign w:val="top"/>
            <w:textDirection w:val="lrTb"/>
            <w:noWrap w:val="false"/>
          </w:tcPr>
          <w:p>
            <w:pPr>
              <w:pStyle w:val="925"/>
              <w:jc w:val="center"/>
              <w:spacing w:before="40" w:after="40"/>
            </w:pPr>
            <w:r>
              <w:t xml:space="preserve">700 </w:t>
            </w:r>
            <w:r>
              <w:t xml:space="preserve">руб.</w:t>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b/>
                <w:bCs/>
              </w:rPr>
            </w:pPr>
            <w:r>
              <w:rPr>
                <w:b/>
                <w:bCs/>
              </w:rPr>
              <w:t xml:space="preserve">9.4.3.</w:t>
            </w:r>
            <w:r>
              <w:rPr>
                <w:b/>
                <w:bCs/>
              </w:rPr>
            </w:r>
            <w:r>
              <w:rPr>
                <w:b/>
                <w:bCs/>
              </w:rPr>
            </w:r>
          </w:p>
        </w:tc>
        <w:tc>
          <w:tcPr>
            <w:gridSpan w:val="2"/>
            <w:tcW w:w="1620" w:type="pct"/>
            <w:vAlign w:val="top"/>
            <w:textDirection w:val="lrTb"/>
            <w:noWrap w:val="false"/>
          </w:tcPr>
          <w:p>
            <w:pPr>
              <w:pStyle w:val="925"/>
              <w:jc w:val="center"/>
              <w:spacing w:before="40" w:after="40"/>
              <w:rPr>
                <w:b/>
                <w:bCs/>
              </w:rPr>
            </w:pPr>
            <w:r>
              <w:rPr>
                <w:b/>
                <w:bCs/>
              </w:rPr>
              <w:t xml:space="preserve">Зачисление ценных бумаг на счета АО «Россельхозбанк» в реестрах/ на междепозитарные счета АО «Россельхозбанк» в других депозитариях</w:t>
            </w:r>
            <w:r>
              <w:rPr>
                <w:b/>
                <w:bCs/>
              </w:rPr>
            </w:r>
            <w:r>
              <w:rPr>
                <w:b/>
                <w:bCs/>
              </w:rPr>
            </w:r>
          </w:p>
        </w:tc>
        <w:tc>
          <w:tcPr>
            <w:gridSpan w:val="2"/>
            <w:tcW w:w="1595" w:type="pct"/>
            <w:vAlign w:val="top"/>
            <w:textDirection w:val="lrTb"/>
            <w:noWrap w:val="false"/>
          </w:tcPr>
          <w:p>
            <w:pPr>
              <w:pStyle w:val="925"/>
              <w:jc w:val="center"/>
              <w:spacing w:before="40" w:after="40"/>
              <w:rPr>
                <w:bCs/>
              </w:rPr>
            </w:pPr>
            <w:r>
              <w:rPr>
                <w:bCs/>
              </w:rPr>
              <w:t xml:space="preserve">Комиссия не взимается</w:t>
            </w:r>
            <w:r>
              <w:rPr>
                <w:bCs/>
              </w:rPr>
            </w:r>
            <w:r>
              <w:rPr>
                <w:bCs/>
              </w:rPr>
            </w:r>
          </w:p>
        </w:tc>
        <w:tc>
          <w:tcPr>
            <w:tcW w:w="1252" w:type="pct"/>
            <w:vAlign w:val="top"/>
            <w:textDirection w:val="lrTb"/>
            <w:noWrap w:val="false"/>
          </w:tcPr>
          <w:p>
            <w:pPr>
              <w:pStyle w:val="925"/>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9.4.4.</w:t>
            </w:r>
            <w:r>
              <w:rPr>
                <w:rFonts w:eastAsia="Arial Unicode MS"/>
                <w:b/>
                <w:bCs/>
              </w:rPr>
            </w:r>
            <w:r>
              <w:rPr>
                <w:rFonts w:eastAsia="Arial Unicode MS"/>
                <w:b/>
                <w:bCs/>
              </w:rPr>
            </w:r>
          </w:p>
        </w:tc>
        <w:tc>
          <w:tcPr>
            <w:gridSpan w:val="2"/>
            <w:shd w:val="clear" w:color="auto" w:fill="ffffff"/>
            <w:tcW w:w="1620" w:type="pct"/>
            <w:vAlign w:val="top"/>
            <w:textDirection w:val="lrTb"/>
            <w:noWrap w:val="false"/>
          </w:tcPr>
          <w:p>
            <w:pPr>
              <w:pStyle w:val="925"/>
              <w:spacing w:before="40" w:after="40"/>
              <w:rPr>
                <w:b/>
                <w:bCs/>
              </w:rPr>
            </w:pPr>
            <w:r>
              <w:rPr>
                <w:b/>
                <w:bCs/>
              </w:rPr>
              <w:t xml:space="preserve">Списание ценных бумаг со счетов АО «Россельхозбанк» в реестрах/междепозитарных счетов АО «Россельхозбанк» в других депозитариях</w:t>
            </w:r>
            <w:r>
              <w:rPr>
                <w:b/>
                <w:bCs/>
              </w:rPr>
            </w:r>
            <w:r>
              <w:rPr>
                <w:b/>
                <w:bCs/>
              </w:rPr>
            </w:r>
          </w:p>
        </w:tc>
        <w:tc>
          <w:tcPr>
            <w:gridSpan w:val="2"/>
            <w:tcW w:w="1595" w:type="pct"/>
            <w:vAlign w:val="top"/>
            <w:textDirection w:val="lrTb"/>
            <w:noWrap w:val="false"/>
          </w:tcPr>
          <w:p>
            <w:pPr>
              <w:pStyle w:val="925"/>
              <w:ind w:left="-2" w:right="-18"/>
              <w:jc w:val="center"/>
              <w:spacing w:before="40" w:after="40"/>
              <w:tabs>
                <w:tab w:val="left" w:pos="4464" w:leader="none"/>
                <w:tab w:val="left" w:pos="5760" w:leader="none"/>
              </w:tabs>
            </w:pPr>
            <w:r>
              <w:t xml:space="preserve">6</w:t>
            </w:r>
            <w:r>
              <w:rPr>
                <w:lang w:val="en-US"/>
              </w:rPr>
              <w:t xml:space="preserve">00 </w:t>
            </w:r>
            <w:r>
              <w:t xml:space="preserve">руб.</w:t>
            </w:r>
            <w:r/>
          </w:p>
        </w:tc>
        <w:tc>
          <w:tcPr>
            <w:tcW w:w="1252" w:type="pct"/>
            <w:vAlign w:val="top"/>
            <w:textDirection w:val="lrTb"/>
            <w:noWrap w:val="false"/>
          </w:tcPr>
          <w:p>
            <w:pPr>
              <w:pStyle w:val="925"/>
              <w:ind w:right="-17"/>
              <w:jc w:val="center"/>
              <w:tabs>
                <w:tab w:val="left" w:pos="4464" w:leader="none"/>
                <w:tab w:val="left" w:pos="5760" w:leader="none"/>
              </w:tabs>
            </w:pPr>
            <w:r>
              <w:t xml:space="preserve">Дополнительно взимается в качестве возмещения сумма расходов сторонних организаций</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9.4.5.</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Перевод ценных бумаг по разделам счета депо (по счетам </w:t>
            </w:r>
            <w:r>
              <w:rPr>
                <w:b/>
                <w:bCs/>
              </w:rPr>
              <w:t xml:space="preserve">АО</w:t>
            </w:r>
            <w:r>
              <w:rPr>
                <w:b/>
                <w:bCs/>
              </w:rPr>
              <w:t xml:space="preserve"> «Россельхозбанк», открытым в других депозитариях)</w:t>
            </w:r>
            <w:r>
              <w:rPr>
                <w:b/>
                <w:bCs/>
              </w:rPr>
            </w:r>
            <w:r>
              <w:rPr>
                <w:b/>
                <w:bCs/>
              </w:rPr>
            </w:r>
          </w:p>
        </w:tc>
        <w:tc>
          <w:tcPr>
            <w:gridSpan w:val="2"/>
            <w:tcW w:w="1595" w:type="pct"/>
            <w:vAlign w:val="top"/>
            <w:textDirection w:val="lrTb"/>
            <w:noWrap w:val="false"/>
          </w:tcPr>
          <w:p>
            <w:pPr>
              <w:pStyle w:val="925"/>
              <w:jc w:val="center"/>
              <w:spacing w:before="40" w:after="40"/>
            </w:pPr>
            <w:r>
              <w:t xml:space="preserve">100 руб.</w:t>
            </w:r>
            <w:r/>
          </w:p>
          <w:p>
            <w:pPr>
              <w:pStyle w:val="925"/>
              <w:ind w:left="-2" w:right="-18"/>
              <w:jc w:val="center"/>
              <w:spacing w:before="40" w:after="40"/>
              <w:tabs>
                <w:tab w:val="left" w:pos="4464" w:leader="none"/>
                <w:tab w:val="left" w:pos="5760" w:leader="none"/>
              </w:tabs>
            </w:pPr>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9.4.6.</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Переводы ценных бумаг по операциям купли</w:t>
            </w:r>
            <w:r>
              <w:rPr>
                <w:b/>
                <w:bCs/>
              </w:rPr>
              <w:t xml:space="preserve">-</w:t>
            </w:r>
            <w:r>
              <w:rPr>
                <w:b/>
                <w:bCs/>
              </w:rPr>
              <w:t xml:space="preserve">продажи ценных бумаг, совершенным через брокер</w:t>
            </w:r>
            <w:r>
              <w:rPr>
                <w:b/>
                <w:bCs/>
              </w:rPr>
              <w:t xml:space="preserve">а</w:t>
            </w:r>
            <w:r>
              <w:rPr>
                <w:b/>
                <w:bCs/>
              </w:rPr>
              <w:t xml:space="preserve"> </w:t>
            </w:r>
            <w:r>
              <w:rPr>
                <w:b/>
                <w:bCs/>
              </w:rPr>
              <w:t xml:space="preserve">АО</w:t>
            </w:r>
            <w:r>
              <w:rPr>
                <w:b/>
                <w:bCs/>
              </w:rPr>
              <w:t xml:space="preserve"> «Россельхозбанк»</w:t>
            </w:r>
            <w:r>
              <w:rPr>
                <w:b/>
                <w:bCs/>
              </w:rPr>
            </w:r>
            <w:r>
              <w:rPr>
                <w:b/>
                <w:bCs/>
              </w:rPr>
            </w:r>
          </w:p>
        </w:tc>
        <w:tc>
          <w:tcPr>
            <w:gridSpan w:val="2"/>
            <w:tcW w:w="1595" w:type="pct"/>
            <w:vAlign w:val="top"/>
            <w:textDirection w:val="lrTb"/>
            <w:noWrap w:val="false"/>
          </w:tcPr>
          <w:p>
            <w:pPr>
              <w:pStyle w:val="925"/>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9.4.7.</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Изменение места хранения ценных бумаг</w:t>
            </w:r>
            <w:r>
              <w:rPr>
                <w:b/>
                <w:bCs/>
              </w:rPr>
            </w:r>
            <w:r>
              <w:rPr>
                <w:b/>
                <w:bCs/>
              </w:rPr>
            </w:r>
          </w:p>
        </w:tc>
        <w:tc>
          <w:tcPr>
            <w:gridSpan w:val="2"/>
            <w:tcW w:w="1595" w:type="pct"/>
            <w:vAlign w:val="top"/>
            <w:textDirection w:val="lrTb"/>
            <w:noWrap w:val="false"/>
          </w:tcPr>
          <w:p>
            <w:pPr>
              <w:pStyle w:val="925"/>
              <w:jc w:val="center"/>
              <w:spacing w:before="40" w:after="40"/>
            </w:pPr>
            <w:r>
              <w:t xml:space="preserve">300 руб.</w:t>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9.4.8.</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Гарантированная поста</w:t>
            </w:r>
            <w:r>
              <w:rPr>
                <w:b/>
                <w:bCs/>
              </w:rPr>
              <w:t xml:space="preserve">вка ценных бумаг без платежа </w:t>
            </w:r>
            <w:r>
              <w:rPr>
                <w:b/>
                <w:bCs/>
              </w:rPr>
              <w:t xml:space="preserve">с контролем по</w:t>
            </w:r>
            <w:r>
              <w:rPr>
                <w:b/>
                <w:bCs/>
              </w:rPr>
              <w:t xml:space="preserve">ступления денежных средств на </w:t>
            </w:r>
            <w:r>
              <w:rPr>
                <w:b/>
                <w:bCs/>
              </w:rPr>
              <w:t xml:space="preserve">счет Депонента-поставщика</w:t>
            </w:r>
            <w:r>
              <w:rPr>
                <w:b/>
                <w:bCs/>
              </w:rPr>
            </w:r>
            <w:r>
              <w:rPr>
                <w:b/>
                <w:bCs/>
              </w:rPr>
            </w:r>
          </w:p>
          <w:p>
            <w:pPr>
              <w:pStyle w:val="925"/>
              <w:spacing w:before="40" w:after="40"/>
              <w:rPr>
                <w:b/>
                <w:bCs/>
              </w:rPr>
            </w:pPr>
            <w:r>
              <w:rPr>
                <w:b/>
                <w:bCs/>
              </w:rPr>
            </w:r>
            <w:r>
              <w:rPr>
                <w:b/>
                <w:bCs/>
              </w:rPr>
            </w:r>
            <w:r>
              <w:rPr>
                <w:b/>
                <w:bCs/>
              </w:rPr>
            </w:r>
          </w:p>
        </w:tc>
        <w:tc>
          <w:tcPr>
            <w:gridSpan w:val="2"/>
            <w:tcW w:w="1595" w:type="pct"/>
            <w:vAlign w:val="top"/>
            <w:textDirection w:val="lrTb"/>
            <w:noWrap w:val="false"/>
          </w:tcPr>
          <w:p>
            <w:pPr>
              <w:pStyle w:val="925"/>
              <w:jc w:val="center"/>
              <w:spacing w:before="40" w:after="40"/>
            </w:pPr>
            <w:r>
              <w:t xml:space="preserve">0,1% </w:t>
            </w:r>
            <w:r>
              <w:t xml:space="preserve">от суммы сделки </w:t>
            </w:r>
            <w:r/>
          </w:p>
          <w:p>
            <w:pPr>
              <w:pStyle w:val="925"/>
              <w:ind w:left="-2" w:right="-18"/>
              <w:jc w:val="center"/>
              <w:spacing w:before="40" w:after="40"/>
              <w:tabs>
                <w:tab w:val="left" w:pos="4464" w:leader="none"/>
                <w:tab w:val="left" w:pos="5760" w:leader="none"/>
              </w:tabs>
            </w:pPr>
            <w:r>
              <w:t xml:space="preserve">Макс 5000руб.</w:t>
            </w:r>
            <w:r/>
          </w:p>
        </w:tc>
        <w:tc>
          <w:tcPr>
            <w:tcW w:w="1252" w:type="pct"/>
            <w:vAlign w:val="top"/>
            <w:textDirection w:val="lrTb"/>
            <w:noWrap w:val="false"/>
          </w:tcPr>
          <w:p>
            <w:pPr>
              <w:pStyle w:val="925"/>
              <w:ind w:left="-2" w:right="-18"/>
              <w:jc w:val="center"/>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25"/>
              <w:jc w:val="center"/>
              <w:spacing w:before="120" w:after="120"/>
              <w:tabs>
                <w:tab w:val="left" w:pos="7920" w:leader="none"/>
              </w:tabs>
              <w:rPr>
                <w:b/>
                <w:bCs/>
              </w:rPr>
            </w:pPr>
            <w:r>
              <w:rPr>
                <w:b/>
                <w:bCs/>
              </w:rPr>
              <w:t xml:space="preserve">9.5. Операции по блокировке</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925"/>
              <w:jc w:val="center"/>
              <w:spacing w:before="40" w:after="40"/>
              <w:rPr>
                <w:rFonts w:eastAsia="Arial Unicode MS"/>
                <w:b/>
                <w:bCs/>
              </w:rPr>
            </w:pPr>
            <w:r>
              <w:rPr>
                <w:b/>
                <w:bCs/>
              </w:rPr>
              <w:t xml:space="preserve">9.5.1.</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w:t>
              <w:tab/>
              <w:t xml:space="preserve">блокирование, разблокирование ценных бумаг на счете депо по поручению клиента</w:t>
            </w:r>
            <w:r>
              <w:rPr>
                <w:b/>
                <w:bCs/>
              </w:rPr>
            </w:r>
            <w:r>
              <w:rPr>
                <w:b/>
                <w:bCs/>
              </w:rPr>
            </w:r>
          </w:p>
        </w:tc>
        <w:tc>
          <w:tcPr>
            <w:gridSpan w:val="2"/>
            <w:tcBorders>
              <w:top w:val="none" w:color="000000" w:sz="4" w:space="0"/>
            </w:tcBorders>
            <w:tcW w:w="1595" w:type="pct"/>
            <w:vAlign w:val="center"/>
            <w:vMerge w:val="restart"/>
            <w:textDirection w:val="lrTb"/>
            <w:noWrap w:val="false"/>
          </w:tcPr>
          <w:p>
            <w:pPr>
              <w:pStyle w:val="925"/>
              <w:jc w:val="center"/>
              <w:spacing w:before="40" w:after="40"/>
            </w:pPr>
            <w:r>
              <w:t xml:space="preserve">3</w:t>
            </w:r>
            <w:r>
              <w:t xml:space="preserve"> </w:t>
            </w:r>
            <w:r>
              <w:t xml:space="preserve">000 </w:t>
            </w:r>
            <w:r>
              <w:t xml:space="preserve">руб.</w:t>
            </w:r>
            <w:r/>
          </w:p>
        </w:tc>
        <w:tc>
          <w:tcPr>
            <w:tcW w:w="1252" w:type="pct"/>
            <w:vAlign w:val="top"/>
            <w:textDirection w:val="lrTb"/>
            <w:noWrap w:val="false"/>
          </w:tcPr>
          <w:p>
            <w:pPr>
              <w:pStyle w:val="925"/>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2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
                <w:bCs/>
              </w:rPr>
            </w:r>
            <w:r>
              <w:rPr>
                <w:b/>
                <w:bCs/>
              </w:rPr>
            </w:r>
          </w:p>
        </w:tc>
        <w:tc>
          <w:tcPr>
            <w:gridSpan w:val="2"/>
            <w:tcW w:w="1595" w:type="pct"/>
            <w:vAlign w:val="top"/>
            <w:vMerge w:val="continue"/>
            <w:textDirection w:val="lrTb"/>
            <w:noWrap w:val="false"/>
          </w:tcPr>
          <w:p>
            <w:pPr>
              <w:pStyle w:val="925"/>
              <w:ind w:left="-2" w:right="-18"/>
              <w:jc w:val="center"/>
              <w:spacing w:before="40" w:after="40" w:line="240" w:lineRule="atLeast"/>
              <w:tabs>
                <w:tab w:val="left" w:pos="4464" w:leader="none"/>
                <w:tab w:val="left" w:pos="5760" w:leader="none"/>
              </w:tabs>
            </w:pPr>
            <w:r/>
            <w:r/>
          </w:p>
        </w:tc>
        <w:tc>
          <w:tcPr>
            <w:tcW w:w="1252" w:type="pct"/>
            <w:vAlign w:val="top"/>
            <w:textDirection w:val="lrTb"/>
            <w:noWrap w:val="false"/>
          </w:tcPr>
          <w:p>
            <w:pPr>
              <w:pStyle w:val="925"/>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2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w:t>
              <w:tab/>
              <w:t xml:space="preserve">оформление последующего залога ценных бумаг на счете депо/снятие последующего залога ценных бумаг на счете депо</w:t>
            </w:r>
            <w:r>
              <w:rPr>
                <w:b/>
                <w:bCs/>
              </w:rPr>
            </w:r>
            <w:r>
              <w:rPr>
                <w:b/>
                <w:bCs/>
              </w:rPr>
            </w:r>
          </w:p>
        </w:tc>
        <w:tc>
          <w:tcPr>
            <w:gridSpan w:val="2"/>
            <w:tcW w:w="1595" w:type="pct"/>
            <w:vAlign w:val="top"/>
            <w:vMerge w:val="continue"/>
            <w:textDirection w:val="lrTb"/>
            <w:noWrap w:val="false"/>
          </w:tcPr>
          <w:p>
            <w:pPr>
              <w:pStyle w:val="925"/>
              <w:ind w:left="-2" w:right="-18"/>
              <w:jc w:val="center"/>
              <w:spacing w:before="40" w:after="40" w:line="240" w:lineRule="atLeast"/>
              <w:tabs>
                <w:tab w:val="left" w:pos="4464" w:leader="none"/>
                <w:tab w:val="left" w:pos="5760" w:leader="none"/>
              </w:tabs>
            </w:pPr>
            <w:r/>
            <w:r/>
          </w:p>
        </w:tc>
        <w:tc>
          <w:tcPr>
            <w:tcW w:w="1252" w:type="pct"/>
            <w:vAlign w:val="top"/>
            <w:textDirection w:val="lrTb"/>
            <w:noWrap w:val="false"/>
          </w:tcPr>
          <w:p>
            <w:pPr>
              <w:pStyle w:val="925"/>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2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w:t>
              <w:tab/>
              <w:t xml:space="preserve">регистрация уступки прав по договору залога ценных бумаг</w:t>
            </w:r>
            <w:r>
              <w:rPr>
                <w:b/>
                <w:bCs/>
              </w:rPr>
            </w:r>
            <w:r>
              <w:rPr>
                <w:b/>
                <w:bCs/>
              </w:rPr>
            </w:r>
          </w:p>
        </w:tc>
        <w:tc>
          <w:tcPr>
            <w:gridSpan w:val="2"/>
            <w:tcW w:w="1595" w:type="pct"/>
            <w:vAlign w:val="top"/>
            <w:vMerge w:val="continue"/>
            <w:textDirection w:val="lrTb"/>
            <w:noWrap w:val="false"/>
          </w:tcPr>
          <w:p>
            <w:pPr>
              <w:pStyle w:val="925"/>
              <w:jc w:val="center"/>
              <w:spacing w:before="40" w:after="40"/>
            </w:pPr>
            <w:r/>
            <w:r/>
          </w:p>
        </w:tc>
        <w:tc>
          <w:tcPr>
            <w:tcW w:w="1252" w:type="pct"/>
            <w:vAlign w:val="top"/>
            <w:textDirection w:val="lrTb"/>
            <w:noWrap w:val="false"/>
          </w:tcPr>
          <w:p>
            <w:pPr>
              <w:pStyle w:val="925"/>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2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pPr>
            <w:r>
              <w:rPr>
                <w:b/>
                <w:bCs/>
              </w:rPr>
              <w:t xml:space="preserve">-</w:t>
              <w:tab/>
              <w:t xml:space="preserve">регистрация перехода прав по договору залога ценных бумаг</w:t>
            </w:r>
            <w:r/>
          </w:p>
        </w:tc>
        <w:tc>
          <w:tcPr>
            <w:gridSpan w:val="2"/>
            <w:tcW w:w="1595" w:type="pct"/>
            <w:vAlign w:val="top"/>
            <w:vMerge w:val="continue"/>
            <w:textDirection w:val="lrTb"/>
            <w:noWrap w:val="false"/>
          </w:tcPr>
          <w:p>
            <w:pPr>
              <w:pStyle w:val="925"/>
              <w:jc w:val="center"/>
              <w:spacing w:before="40" w:after="40"/>
            </w:pPr>
            <w:r/>
            <w:r/>
          </w:p>
        </w:tc>
        <w:tc>
          <w:tcPr>
            <w:tcW w:w="1252" w:type="pct"/>
            <w:vAlign w:val="top"/>
            <w:textDirection w:val="lrTb"/>
            <w:noWrap w:val="false"/>
          </w:tcPr>
          <w:p>
            <w:pPr>
              <w:pStyle w:val="925"/>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2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pPr>
            <w:r>
              <w:rPr>
                <w:b/>
                <w:bCs/>
              </w:rPr>
              <w:t xml:space="preserve">-</w:t>
              <w:tab/>
              <w:t xml:space="preserve">административное блокирование/разблокирование ценных бумаг на счете депо</w:t>
            </w:r>
            <w:r/>
          </w:p>
        </w:tc>
        <w:tc>
          <w:tcPr>
            <w:gridSpan w:val="2"/>
            <w:tcW w:w="1595" w:type="pct"/>
            <w:vAlign w:val="top"/>
            <w:textDirection w:val="lrTb"/>
            <w:noWrap w:val="false"/>
          </w:tcPr>
          <w:p>
            <w:pPr>
              <w:pStyle w:val="925"/>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25"/>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25"/>
              <w:jc w:val="center"/>
              <w:spacing w:before="120" w:after="120"/>
              <w:tabs>
                <w:tab w:val="left" w:pos="7920" w:leader="none"/>
              </w:tabs>
              <w:rPr>
                <w:b/>
                <w:bCs/>
              </w:rPr>
            </w:pPr>
            <w:r>
              <w:rPr>
                <w:b/>
                <w:bCs/>
              </w:rPr>
              <w:t xml:space="preserve">9.6. Корпоративные действия</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9.6.1.</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Извещение о корпоративных действиях эмитентов</w:t>
            </w:r>
            <w:r>
              <w:rPr>
                <w:b/>
                <w:bCs/>
              </w:rPr>
            </w:r>
            <w:r>
              <w:rPr>
                <w:b/>
                <w:bCs/>
              </w:rPr>
            </w:r>
          </w:p>
        </w:tc>
        <w:tc>
          <w:tcPr>
            <w:gridSpan w:val="2"/>
            <w:tcW w:w="1595" w:type="pct"/>
            <w:vAlign w:val="top"/>
            <w:textDirection w:val="lrTb"/>
            <w:noWrap w:val="false"/>
          </w:tcPr>
          <w:p>
            <w:pPr>
              <w:pStyle w:val="925"/>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9.6.2.</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w:t>
            </w:r>
            <w:r>
              <w:rPr>
                <w:b/>
                <w:bCs/>
              </w:rPr>
              <w:t xml:space="preserve">частие в общих собраниях акционеров по поручению клиента и голосование по доверенности</w:t>
            </w:r>
            <w:r>
              <w:rPr>
                <w:b/>
                <w:bCs/>
              </w:rPr>
              <w:t xml:space="preserve"> </w:t>
            </w:r>
            <w:r>
              <w:rPr>
                <w:b/>
                <w:bCs/>
              </w:rPr>
              <w:t xml:space="preserve">(в том числе иностранных эмитентов ценных бумаг)</w:t>
            </w:r>
            <w:r>
              <w:rPr>
                <w:b/>
                <w:bCs/>
              </w:rPr>
              <w:t xml:space="preserve">:</w:t>
            </w:r>
            <w:r>
              <w:rPr>
                <w:b/>
                <w:bCs/>
              </w:rPr>
            </w:r>
            <w:r>
              <w:rPr>
                <w:b/>
                <w:bCs/>
              </w:rPr>
            </w:r>
          </w:p>
        </w:tc>
        <w:tc>
          <w:tcPr>
            <w:gridSpan w:val="2"/>
            <w:tcW w:w="1595" w:type="pct"/>
            <w:vAlign w:val="top"/>
            <w:textDirection w:val="lrTb"/>
            <w:noWrap w:val="false"/>
          </w:tcPr>
          <w:p>
            <w:pPr>
              <w:pStyle w:val="925"/>
              <w:jc w:val="center"/>
              <w:spacing w:before="40" w:after="40"/>
            </w:pPr>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92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pPr>
            <w:r>
              <w:t xml:space="preserve">- посредством электронного голосования (дистанционное участие)</w:t>
            </w:r>
            <w:r/>
          </w:p>
        </w:tc>
        <w:tc>
          <w:tcPr>
            <w:gridSpan w:val="2"/>
            <w:tcW w:w="1595" w:type="pct"/>
            <w:vAlign w:val="top"/>
            <w:textDirection w:val="lrTb"/>
            <w:noWrap w:val="false"/>
          </w:tcPr>
          <w:p>
            <w:pPr>
              <w:pStyle w:val="925"/>
              <w:jc w:val="center"/>
              <w:spacing w:before="40" w:after="40"/>
            </w:pPr>
            <w:r>
              <w:t xml:space="preserve">1500 </w:t>
            </w:r>
            <w:r>
              <w:t xml:space="preserve">руб.</w:t>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2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pPr>
            <w:r>
              <w:t xml:space="preserve">- личное участие в собрании (личная передача документов или информации о волеизъявлении Депонента)</w:t>
            </w:r>
            <w:r/>
          </w:p>
        </w:tc>
        <w:tc>
          <w:tcPr>
            <w:gridSpan w:val="2"/>
            <w:tcW w:w="1595" w:type="pct"/>
            <w:vAlign w:val="top"/>
            <w:textDirection w:val="lrTb"/>
            <w:noWrap w:val="false"/>
          </w:tcPr>
          <w:p>
            <w:pPr>
              <w:pStyle w:val="925"/>
              <w:jc w:val="center"/>
              <w:spacing w:before="40" w:after="40"/>
            </w:pPr>
            <w:r>
              <w:rPr>
                <w:lang w:val="en-US"/>
              </w:rPr>
              <w:t xml:space="preserve">10</w:t>
            </w:r>
            <w:r>
              <w:t xml:space="preserve"> </w:t>
            </w:r>
            <w:r>
              <w:rPr>
                <w:lang w:val="en-US"/>
              </w:rPr>
              <w:t xml:space="preserve">0</w:t>
            </w:r>
            <w:r>
              <w:t xml:space="preserve">00 </w:t>
            </w:r>
            <w:r>
              <w:t xml:space="preserve">руб.</w:t>
            </w:r>
            <w:r/>
          </w:p>
        </w:tc>
        <w:tc>
          <w:tcPr>
            <w:tcW w:w="1252" w:type="pct"/>
            <w:vAlign w:val="top"/>
            <w:textDirection w:val="lrTb"/>
            <w:noWrap w:val="false"/>
          </w:tcPr>
          <w:p>
            <w:pPr>
              <w:pStyle w:val="925"/>
              <w:ind w:left="-108" w:right="-17"/>
              <w:jc w:val="center"/>
              <w:tabs>
                <w:tab w:val="left" w:pos="4464" w:leader="none"/>
                <w:tab w:val="left" w:pos="5760" w:leader="none"/>
              </w:tabs>
            </w:pPr>
            <w: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9.6.3.</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Конвертация акций, погашение ценных бумаг и аннулирование выпуска, объединение выпуска, дробление/консолидация выпуска </w:t>
            </w:r>
            <w:r>
              <w:rPr>
                <w:b/>
                <w:bCs/>
              </w:rPr>
            </w:r>
            <w:r>
              <w:rPr>
                <w:b/>
                <w:bCs/>
              </w:rPr>
            </w:r>
          </w:p>
        </w:tc>
        <w:tc>
          <w:tcPr>
            <w:gridSpan w:val="2"/>
            <w:tcW w:w="1595" w:type="pct"/>
            <w:vAlign w:val="top"/>
            <w:textDirection w:val="lrTb"/>
            <w:noWrap w:val="false"/>
          </w:tcPr>
          <w:p>
            <w:pPr>
              <w:pStyle w:val="925"/>
              <w:jc w:val="center"/>
              <w:spacing w:before="40" w:after="40"/>
            </w:pPr>
            <w:r>
              <w:t xml:space="preserve">500 </w:t>
            </w:r>
            <w:r>
              <w:t xml:space="preserve">руб.</w:t>
            </w:r>
            <w:r/>
          </w:p>
          <w:p>
            <w:pPr>
              <w:pStyle w:val="925"/>
              <w:jc w:val="center"/>
              <w:spacing w:before="40" w:after="40"/>
            </w:pPr>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9.6.4.</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Конвертация акций в депозитарные расписки (конвертация акций из депозитарных расписок)</w:t>
            </w:r>
            <w:r>
              <w:rPr>
                <w:b/>
                <w:bCs/>
              </w:rPr>
            </w:r>
            <w:r>
              <w:rPr>
                <w:b/>
                <w:bCs/>
              </w:rPr>
            </w:r>
          </w:p>
        </w:tc>
        <w:tc>
          <w:tcPr>
            <w:gridSpan w:val="2"/>
            <w:tcW w:w="1595" w:type="pct"/>
            <w:vAlign w:val="top"/>
            <w:textDirection w:val="lrTb"/>
            <w:noWrap w:val="false"/>
          </w:tcPr>
          <w:p>
            <w:pPr>
              <w:pStyle w:val="925"/>
              <w:jc w:val="center"/>
              <w:spacing w:before="40" w:after="40"/>
            </w:pPr>
            <w:r>
              <w:t xml:space="preserve">1</w:t>
            </w:r>
            <w:r>
              <w:t xml:space="preserve"> </w:t>
            </w:r>
            <w:r>
              <w:t xml:space="preserve">000 </w:t>
            </w:r>
            <w:r>
              <w:t xml:space="preserve">руб.</w:t>
            </w:r>
            <w:r/>
          </w:p>
          <w:p>
            <w:pPr>
              <w:pStyle w:val="925"/>
              <w:jc w:val="center"/>
              <w:spacing w:before="40" w:after="40"/>
            </w:pPr>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9.6.5.</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Зачисление сумм доходов на денежные счета, открытые в АО «Россельхозбанк»</w:t>
            </w:r>
            <w:r>
              <w:rPr>
                <w:b/>
                <w:bCs/>
              </w:rPr>
            </w:r>
            <w:r>
              <w:rPr>
                <w:b/>
                <w:bCs/>
              </w:rPr>
            </w:r>
          </w:p>
        </w:tc>
        <w:tc>
          <w:tcPr>
            <w:gridSpan w:val="2"/>
            <w:tcW w:w="1595" w:type="pct"/>
            <w:vAlign w:val="top"/>
            <w:textDirection w:val="lrTb"/>
            <w:noWrap w:val="false"/>
          </w:tcPr>
          <w:p>
            <w:pPr>
              <w:pStyle w:val="925"/>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9.6.6.</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Перевод сумм доходов на счета, открытые в других банках</w:t>
            </w:r>
            <w:r>
              <w:rPr>
                <w:b/>
                <w:bCs/>
              </w:rPr>
            </w:r>
            <w:r>
              <w:rPr>
                <w:b/>
                <w:bCs/>
              </w:rPr>
            </w:r>
          </w:p>
        </w:tc>
        <w:tc>
          <w:tcPr>
            <w:gridSpan w:val="2"/>
            <w:tcW w:w="1595" w:type="pct"/>
            <w:vAlign w:val="top"/>
            <w:textDirection w:val="lrTb"/>
            <w:noWrap w:val="false"/>
          </w:tcPr>
          <w:p>
            <w:pPr>
              <w:pStyle w:val="925"/>
              <w:jc w:val="center"/>
              <w:spacing w:before="40" w:after="40"/>
            </w:pPr>
            <w:r/>
            <w:r/>
          </w:p>
        </w:tc>
        <w:tc>
          <w:tcPr>
            <w:tcW w:w="1252" w:type="pct"/>
            <w:vAlign w:val="top"/>
            <w:textDirection w:val="lrTb"/>
            <w:noWrap w:val="false"/>
          </w:tcPr>
          <w:p>
            <w:pPr>
              <w:pStyle w:val="925"/>
              <w:ind w:left="-2" w:right="-18"/>
              <w:spacing w:before="40" w:after="40"/>
              <w:tabs>
                <w:tab w:val="left" w:pos="4464" w:leader="none"/>
                <w:tab w:val="left" w:pos="5760" w:leader="none"/>
              </w:tabs>
              <w:rPr>
                <w:iCs/>
              </w:rPr>
            </w:pPr>
            <w:r>
              <w:t xml:space="preserve">В случае, если сумма перевода меньше суммы комиссии, то перевод дохода не производится, сумма зачисляется в доход Банка. </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pPr>
            <w:r>
              <w:t xml:space="preserve">- в рублях</w:t>
            </w:r>
            <w:r/>
          </w:p>
        </w:tc>
        <w:tc>
          <w:tcPr>
            <w:gridSpan w:val="2"/>
            <w:tcW w:w="1595" w:type="pct"/>
            <w:vAlign w:val="top"/>
            <w:textDirection w:val="lrTb"/>
            <w:noWrap w:val="false"/>
          </w:tcPr>
          <w:p>
            <w:pPr>
              <w:pStyle w:val="925"/>
              <w:jc w:val="center"/>
              <w:spacing w:before="40" w:after="40"/>
            </w:pPr>
            <w:r>
              <w:t xml:space="preserve">350</w:t>
            </w:r>
            <w:r>
              <w:t xml:space="preserve"> </w:t>
            </w:r>
            <w:r>
              <w:t xml:space="preserve">руб.</w:t>
            </w:r>
            <w:r/>
          </w:p>
        </w:tc>
        <w:tc>
          <w:tcPr>
            <w:tcW w:w="1252" w:type="pct"/>
            <w:vAlign w:val="top"/>
            <w:textDirection w:val="lrTb"/>
            <w:noWrap w:val="false"/>
          </w:tcPr>
          <w:p>
            <w:pPr>
              <w:pStyle w:val="925"/>
              <w:ind w:left="-2" w:right="-18"/>
              <w:spacing w:before="40" w:after="40"/>
              <w:tabs>
                <w:tab w:val="left" w:pos="4464" w:leader="none"/>
                <w:tab w:val="left" w:pos="5760" w:leader="none"/>
              </w:tabs>
            </w:pPr>
            <w:r>
              <w:t xml:space="preserve">Тариф Банка России за телеграфный перевод оплачивается дополнительно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pPr>
            <w:r>
              <w:t xml:space="preserve">- в иностранной валюте</w:t>
            </w:r>
            <w:r/>
          </w:p>
        </w:tc>
        <w:tc>
          <w:tcPr>
            <w:gridSpan w:val="2"/>
            <w:tcW w:w="1595" w:type="pct"/>
            <w:vAlign w:val="top"/>
            <w:textDirection w:val="lrTb"/>
            <w:noWrap w:val="false"/>
          </w:tcPr>
          <w:p>
            <w:pPr>
              <w:pStyle w:val="953"/>
              <w:jc w:val="center"/>
              <w:rPr>
                <w:color w:val="000000"/>
                <w:sz w:val="20"/>
                <w:szCs w:val="20"/>
              </w:rPr>
            </w:pPr>
            <w:r>
              <w:rPr>
                <w:color w:val="000000"/>
                <w:sz w:val="20"/>
                <w:szCs w:val="20"/>
              </w:rPr>
              <w:t xml:space="preserve">2</w:t>
            </w:r>
            <w:r>
              <w:rPr>
                <w:color w:val="000000"/>
                <w:sz w:val="20"/>
                <w:szCs w:val="20"/>
              </w:rPr>
              <w:t xml:space="preserve"> </w:t>
            </w:r>
            <w:r>
              <w:rPr>
                <w:color w:val="000000"/>
                <w:sz w:val="20"/>
                <w:szCs w:val="20"/>
              </w:rPr>
              <w:t xml:space="preserve">000 </w:t>
            </w:r>
            <w:r>
              <w:rPr>
                <w:color w:val="000000"/>
                <w:sz w:val="20"/>
                <w:szCs w:val="20"/>
              </w:rPr>
              <w:t xml:space="preserve">руб.</w:t>
            </w:r>
            <w:r>
              <w:rPr>
                <w:color w:val="000000"/>
                <w:sz w:val="20"/>
                <w:szCs w:val="20"/>
              </w:rPr>
            </w:r>
            <w:r>
              <w:rPr>
                <w:color w:val="000000"/>
                <w:sz w:val="20"/>
                <w:szCs w:val="20"/>
              </w:rPr>
            </w:r>
          </w:p>
          <w:p>
            <w:pPr>
              <w:pStyle w:val="925"/>
              <w:jc w:val="center"/>
              <w:spacing w:before="40" w:after="40"/>
            </w:pPr>
            <w:r>
              <w:t xml:space="preserve">1000 руб. для номинальных держателей</w:t>
            </w:r>
            <w:r/>
          </w:p>
        </w:tc>
        <w:tc>
          <w:tcPr>
            <w:tcW w:w="1252" w:type="pct"/>
            <w:vAlign w:val="top"/>
            <w:textDirection w:val="lrTb"/>
            <w:noWrap w:val="false"/>
          </w:tcPr>
          <w:p>
            <w:pPr>
              <w:pStyle w:val="925"/>
              <w:ind w:left="-2" w:right="-18"/>
              <w:spacing w:before="40" w:after="40"/>
              <w:tabs>
                <w:tab w:val="left" w:pos="4464" w:leader="none"/>
                <w:tab w:val="left" w:pos="5760" w:leader="none"/>
              </w:tabs>
            </w:pPr>
            <w:r>
              <w:t xml:space="preserve">Комиссии третьих банков взимаются дополнительно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9.6.7.</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Изменение условий или аннуляция поручений клиентов на выплату доходов по ценным бумагам</w:t>
            </w:r>
            <w:r>
              <w:rPr>
                <w:b/>
                <w:bCs/>
              </w:rPr>
            </w:r>
            <w:r>
              <w:rPr>
                <w:b/>
                <w:bCs/>
              </w:rPr>
            </w:r>
          </w:p>
        </w:tc>
        <w:tc>
          <w:tcPr>
            <w:gridSpan w:val="2"/>
            <w:tcW w:w="1595" w:type="pct"/>
            <w:vAlign w:val="top"/>
            <w:textDirection w:val="lrTb"/>
            <w:noWrap w:val="false"/>
          </w:tcPr>
          <w:p>
            <w:pPr>
              <w:pStyle w:val="925"/>
              <w:jc w:val="center"/>
              <w:spacing w:before="40" w:after="40"/>
            </w:pPr>
            <w:r>
              <w:t xml:space="preserve">Комиссия не взимается</w:t>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25"/>
              <w:jc w:val="center"/>
              <w:spacing w:before="120" w:after="120"/>
              <w:tabs>
                <w:tab w:val="left" w:pos="7920" w:leader="none"/>
              </w:tabs>
              <w:rPr>
                <w:b/>
                <w:bCs/>
              </w:rPr>
            </w:pPr>
            <w:r>
              <w:rPr>
                <w:b/>
                <w:bCs/>
              </w:rPr>
              <w:t xml:space="preserve">9.7. Прочие услуги</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9.7.1.</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Отмена ранее предоставленного поручения</w:t>
            </w:r>
            <w:r>
              <w:rPr>
                <w:b/>
                <w:bCs/>
              </w:rPr>
            </w:r>
            <w:r>
              <w:rPr>
                <w:b/>
                <w:bCs/>
              </w:rPr>
            </w:r>
          </w:p>
        </w:tc>
        <w:tc>
          <w:tcPr>
            <w:gridSpan w:val="2"/>
            <w:tcW w:w="1595" w:type="pct"/>
            <w:vAlign w:val="top"/>
            <w:textDirection w:val="lrTb"/>
            <w:noWrap w:val="false"/>
          </w:tcPr>
          <w:p>
            <w:pPr>
              <w:pStyle w:val="925"/>
              <w:jc w:val="center"/>
              <w:spacing w:before="40" w:after="40"/>
            </w:pPr>
            <w:r>
              <w:t xml:space="preserve">3</w:t>
            </w:r>
            <w:r>
              <w:t xml:space="preserve">00 руб.</w:t>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25"/>
              <w:jc w:val="center"/>
              <w:spacing w:before="120" w:after="120"/>
              <w:tabs>
                <w:tab w:val="left" w:pos="7920" w:leader="none"/>
              </w:tabs>
              <w:rPr>
                <w:b/>
                <w:bCs/>
              </w:rPr>
            </w:pPr>
            <w:r>
              <w:rPr>
                <w:b/>
                <w:bCs/>
              </w:rPr>
              <w:t xml:space="preserve">9.8. Информационные услуги</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9.8.1.</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О</w:t>
            </w:r>
            <w:r>
              <w:rPr>
                <w:b/>
                <w:bCs/>
              </w:rPr>
              <w:t xml:space="preserve">тчет об исполнении операции по счету депо (после проведения операции)</w:t>
            </w:r>
            <w:r>
              <w:rPr>
                <w:b/>
                <w:bCs/>
              </w:rPr>
            </w:r>
            <w:r>
              <w:rPr>
                <w:b/>
                <w:bCs/>
              </w:rPr>
            </w:r>
          </w:p>
        </w:tc>
        <w:tc>
          <w:tcPr>
            <w:gridSpan w:val="2"/>
            <w:tcW w:w="1595" w:type="pct"/>
            <w:vAlign w:val="top"/>
            <w:textDirection w:val="lrTb"/>
            <w:noWrap w:val="false"/>
          </w:tcPr>
          <w:p>
            <w:pPr>
              <w:pStyle w:val="925"/>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9.8.</w:t>
            </w:r>
            <w:r>
              <w:rPr>
                <w:b/>
                <w:bCs/>
              </w:rPr>
              <w:t xml:space="preserve">2</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Предоставление расшифровки о расчете комиссии за хранение</w:t>
            </w:r>
            <w:r>
              <w:rPr>
                <w:b/>
                <w:bCs/>
              </w:rPr>
            </w:r>
            <w:r>
              <w:rPr>
                <w:b/>
                <w:bCs/>
              </w:rPr>
            </w:r>
          </w:p>
        </w:tc>
        <w:tc>
          <w:tcPr>
            <w:gridSpan w:val="2"/>
            <w:tcW w:w="1595" w:type="pct"/>
            <w:vAlign w:val="top"/>
            <w:textDirection w:val="lrTb"/>
            <w:noWrap w:val="false"/>
          </w:tcPr>
          <w:p>
            <w:pPr>
              <w:pStyle w:val="925"/>
              <w:jc w:val="center"/>
              <w:spacing w:before="40" w:after="40"/>
            </w:pPr>
            <w:r>
              <w:t xml:space="preserve">1</w:t>
            </w:r>
            <w:r>
              <w:t xml:space="preserve"> </w:t>
            </w:r>
            <w:r>
              <w:t xml:space="preserve">000 </w:t>
            </w:r>
            <w:r>
              <w:t xml:space="preserve">руб.</w:t>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9.8.</w:t>
            </w:r>
            <w:r>
              <w:rPr>
                <w:b/>
                <w:bCs/>
              </w:rPr>
              <w:t xml:space="preserve">3</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120"/>
              <w:rPr>
                <w:b/>
                <w:bCs/>
              </w:rPr>
            </w:pPr>
            <w:r>
              <w:rPr>
                <w:b/>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
                <w:bCs/>
              </w:rPr>
            </w:r>
            <w:r>
              <w:rPr>
                <w:b/>
                <w:bCs/>
              </w:rPr>
            </w:r>
          </w:p>
        </w:tc>
        <w:tc>
          <w:tcPr>
            <w:gridSpan w:val="2"/>
            <w:tcW w:w="1595" w:type="pct"/>
            <w:vAlign w:val="top"/>
            <w:textDirection w:val="lrTb"/>
            <w:noWrap w:val="false"/>
          </w:tcPr>
          <w:p>
            <w:pPr>
              <w:pStyle w:val="925"/>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9.8.</w:t>
            </w:r>
            <w:r>
              <w:rPr>
                <w:b/>
                <w:bCs/>
              </w:rPr>
              <w:t xml:space="preserve">4</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Ответы на запросы клиентов, связанные с проведением операций, с выдачей исторических справок, подтверждений и пр.:</w:t>
            </w:r>
            <w:r>
              <w:rPr>
                <w:b/>
                <w:bCs/>
              </w:rPr>
            </w:r>
            <w:r>
              <w:rPr>
                <w:b/>
                <w:bCs/>
              </w:rPr>
            </w:r>
          </w:p>
        </w:tc>
        <w:tc>
          <w:tcPr>
            <w:gridSpan w:val="2"/>
            <w:tcW w:w="1595" w:type="pct"/>
            <w:vAlign w:val="top"/>
            <w:textDirection w:val="lrTb"/>
            <w:noWrap w:val="false"/>
          </w:tcPr>
          <w:p>
            <w:pPr>
              <w:pStyle w:val="925"/>
              <w:ind w:left="-2" w:right="-18"/>
              <w:jc w:val="center"/>
              <w:spacing w:before="40" w:after="40"/>
              <w:tabs>
                <w:tab w:val="left" w:pos="4464" w:leader="none"/>
                <w:tab w:val="left" w:pos="5760" w:leader="none"/>
              </w:tabs>
            </w:pPr>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92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pPr>
            <w:r>
              <w:rPr>
                <w:b/>
              </w:rPr>
              <w:t xml:space="preserve">- за период до 1 года </w:t>
            </w:r>
            <w:r/>
          </w:p>
        </w:tc>
        <w:tc>
          <w:tcPr>
            <w:gridSpan w:val="2"/>
            <w:tcW w:w="1595" w:type="pct"/>
            <w:vAlign w:val="top"/>
            <w:textDirection w:val="lrTb"/>
            <w:noWrap w:val="false"/>
          </w:tcPr>
          <w:p>
            <w:pPr>
              <w:pStyle w:val="925"/>
              <w:jc w:val="center"/>
              <w:spacing w:before="40" w:after="40"/>
            </w:pPr>
            <w:r>
              <w:rPr>
                <w:lang w:val="en-US"/>
              </w:rPr>
              <w:t xml:space="preserve">1</w:t>
            </w:r>
            <w:r>
              <w:t xml:space="preserve"> </w:t>
            </w:r>
            <w:r>
              <w:rPr>
                <w:lang w:val="en-US"/>
              </w:rPr>
              <w:t xml:space="preserve">0</w:t>
            </w:r>
            <w:r>
              <w:t xml:space="preserve">00 </w:t>
            </w:r>
            <w:r>
              <w:t xml:space="preserve">руб.</w:t>
            </w:r>
            <w:r/>
          </w:p>
        </w:tc>
        <w:tc>
          <w:tcPr>
            <w:tcW w:w="2610" w:type="dxa"/>
            <w:vAlign w:val="top"/>
            <w:vMerge w:val="restart"/>
            <w:textDirection w:val="lrTb"/>
            <w:noWrap w:val="false"/>
          </w:tcPr>
          <w:p>
            <w:pPr>
              <w:ind w:left="-2" w:right="-18"/>
              <w:spacing w:before="40" w:after="40"/>
              <w:tabs>
                <w:tab w:val="left" w:pos="4464" w:leader="none"/>
                <w:tab w:val="left" w:pos="5760" w:leader="none"/>
              </w:tabs>
              <w:rPr>
                <w:sz w:val="20"/>
                <w:szCs w:val="20"/>
                <w:highlight w:val="none"/>
                <w14:ligatures w14:val="none"/>
              </w:rPr>
            </w:pPr>
            <w:r>
              <w:t xml:space="preserve">Ответ формируется</w:t>
              <w:br/>
            </w:r>
            <w:r>
              <w:t xml:space="preserve">на бумажном носителе</w:t>
            </w:r>
            <w:r>
              <w:t xml:space="preserve"> </w:t>
            </w:r>
            <w:r>
              <w:t xml:space="preserve">за период с начальной даты, указанной</w:t>
              <w:br/>
              <w:t xml:space="preserve">в запросе Депонента</w:t>
              <w:br/>
              <w:t xml:space="preserve">до даты получения Банком запроса</w:t>
            </w:r>
            <w:r>
              <w:rPr>
                <w14:ligatures w14:val="none"/>
              </w:rPr>
            </w:r>
            <w:r>
              <w:rPr>
                <w:sz w:val="20"/>
                <w:szCs w:val="20"/>
                <w:highlight w:val="none"/>
                <w14:ligatures w14:val="none"/>
              </w:rPr>
            </w:r>
          </w:p>
          <w:p>
            <w:pPr>
              <w:ind w:left="-2" w:right="-18"/>
              <w:spacing w:before="40" w:after="40"/>
              <w:tabs>
                <w:tab w:val="left" w:pos="4464" w:leader="none"/>
                <w:tab w:val="left" w:pos="5760" w:leader="none"/>
              </w:tabs>
              <w:rPr>
                <w14:ligatures w14:val="none"/>
              </w:rPr>
            </w:pPr>
            <w:r>
              <w:rPr>
                <w:highlight w:val="none"/>
              </w:rPr>
            </w:r>
            <w:r>
              <w:rPr>
                <w:highlight w:val="none"/>
              </w:rPr>
            </w:r>
            <w:r>
              <w:rPr>
                <w14:ligatures w14:val="none"/>
              </w:rPr>
            </w:r>
          </w:p>
          <w:p>
            <w:pPr>
              <w:ind w:left="-2" w:right="-18"/>
              <w:spacing w:before="40" w:after="40"/>
              <w:tabs>
                <w:tab w:val="left" w:pos="4464" w:leader="none"/>
                <w:tab w:val="left" w:pos="5760" w:leader="none"/>
              </w:tabs>
              <w:rPr>
                <w:sz w:val="20"/>
                <w:szCs w:val="20"/>
                <w14:ligatures w14:val="none"/>
              </w:rPr>
            </w:pPr>
            <w:r>
              <w:t xml:space="preserve">В случае отсутствия</w:t>
              <w:br/>
              <w:t xml:space="preserve">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t xml:space="preserve">»</w:t>
            </w:r>
            <w:r>
              <w:rPr>
                <w:sz w:val="20"/>
                <w:szCs w:val="20"/>
                <w14:ligatures w14:val="none"/>
              </w:rPr>
            </w:r>
          </w:p>
          <w:p>
            <w:pPr>
              <w:ind w:left="-2" w:right="-18"/>
              <w:spacing w:before="40" w:after="40"/>
              <w:tabs>
                <w:tab w:val="left" w:pos="4464" w:leader="none"/>
                <w:tab w:val="left" w:pos="5760" w:leader="none"/>
              </w:tabs>
              <w:rPr>
                <w14:ligatures w14:val="none"/>
              </w:rPr>
            </w:pPr>
            <w:r>
              <w:rPr>
                <w14:ligatures w14:val="none"/>
              </w:rPr>
            </w:r>
            <w:r>
              <w:rPr>
                <w14:ligatures w14: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2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pPr>
            <w:r>
              <w:rPr>
                <w:b/>
              </w:rPr>
              <w:t xml:space="preserve">- за период от 1 года (включительно) до 3-х лет (включительно)</w:t>
            </w:r>
            <w:r/>
          </w:p>
        </w:tc>
        <w:tc>
          <w:tcPr>
            <w:gridSpan w:val="2"/>
            <w:tcW w:w="1595" w:type="pct"/>
            <w:vAlign w:val="top"/>
            <w:textDirection w:val="lrTb"/>
            <w:noWrap w:val="false"/>
          </w:tcPr>
          <w:p>
            <w:pPr>
              <w:pStyle w:val="925"/>
              <w:jc w:val="center"/>
              <w:spacing w:before="40" w:after="40"/>
            </w:pPr>
            <w:r>
              <w:t xml:space="preserve">3</w:t>
            </w:r>
            <w:r>
              <w:t xml:space="preserve"> </w:t>
            </w:r>
            <w:r>
              <w:t xml:space="preserve">000 </w:t>
            </w:r>
            <w:r>
              <w:t xml:space="preserve">руб.</w:t>
            </w:r>
            <w:r/>
          </w:p>
        </w:tc>
        <w:tc>
          <w:tcPr>
            <w:tcW w:w="125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trPr>
        <w:tc>
          <w:tcPr>
            <w:tcW w:w="533" w:type="pct"/>
            <w:vAlign w:val="top"/>
            <w:vMerge w:val="continue"/>
            <w:textDirection w:val="lrTb"/>
            <w:noWrap w:val="false"/>
          </w:tcPr>
          <w:p>
            <w:pPr>
              <w:pStyle w:val="925"/>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pPr>
            <w:r>
              <w:rPr>
                <w:b/>
              </w:rPr>
              <w:t xml:space="preserve">- за период более 3-х лет </w:t>
            </w:r>
            <w:r/>
          </w:p>
        </w:tc>
        <w:tc>
          <w:tcPr>
            <w:gridSpan w:val="2"/>
            <w:tcW w:w="1595" w:type="pct"/>
            <w:vAlign w:val="top"/>
            <w:textDirection w:val="lrTb"/>
            <w:noWrap w:val="false"/>
          </w:tcPr>
          <w:p>
            <w:pPr>
              <w:pStyle w:val="925"/>
              <w:jc w:val="center"/>
              <w:spacing w:before="40" w:after="40"/>
            </w:pPr>
            <w:r>
              <w:t xml:space="preserve">5</w:t>
            </w:r>
            <w:r>
              <w:t xml:space="preserve"> </w:t>
            </w:r>
            <w:r>
              <w:t xml:space="preserve">00</w:t>
            </w:r>
            <w:r>
              <w:rPr>
                <w:lang w:val="en-US"/>
              </w:rPr>
              <w:t xml:space="preserve">0</w:t>
            </w:r>
            <w:r>
              <w:t xml:space="preserve"> </w:t>
            </w:r>
            <w:r>
              <w:t xml:space="preserve">руб.</w:t>
            </w:r>
            <w:r/>
          </w:p>
        </w:tc>
        <w:tc>
          <w:tcPr>
            <w:tcW w:w="125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rFonts w:eastAsia="Arial Unicode MS"/>
                <w:b/>
                <w:bCs/>
              </w:rPr>
            </w:pPr>
            <w:r>
              <w:rPr>
                <w:b/>
                <w:bCs/>
              </w:rPr>
              <w:t xml:space="preserve">9.8.</w:t>
            </w:r>
            <w:r>
              <w:rPr>
                <w:b/>
                <w:bCs/>
              </w:rPr>
              <w:t xml:space="preserve">5</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25"/>
              <w:spacing w:before="40" w:after="40"/>
              <w:rPr>
                <w:b/>
                <w:bCs/>
              </w:rPr>
            </w:pPr>
            <w:r>
              <w:rPr>
                <w:b/>
                <w:bCs/>
              </w:rPr>
              <w:t xml:space="preserve">Ответ на аудиторский запрос по счету депо Депонента</w:t>
            </w:r>
            <w:r>
              <w:rPr>
                <w:b/>
                <w:bCs/>
              </w:rPr>
            </w:r>
            <w:r>
              <w:rPr>
                <w:b/>
                <w:bCs/>
              </w:rPr>
            </w:r>
          </w:p>
        </w:tc>
        <w:tc>
          <w:tcPr>
            <w:gridSpan w:val="2"/>
            <w:tcW w:w="1595" w:type="pct"/>
            <w:vAlign w:val="top"/>
            <w:textDirection w:val="lrTb"/>
            <w:noWrap w:val="false"/>
          </w:tcPr>
          <w:p>
            <w:pPr>
              <w:pStyle w:val="925"/>
              <w:jc w:val="center"/>
              <w:spacing w:before="40" w:after="40"/>
            </w:pPr>
            <w:r>
              <w:rPr>
                <w:lang w:val="en-US"/>
              </w:rPr>
              <w:t xml:space="preserve">3</w:t>
            </w:r>
            <w:r>
              <w:t xml:space="preserve"> </w:t>
            </w:r>
            <w:r>
              <w:rPr>
                <w:lang w:val="en-US"/>
              </w:rPr>
              <w:t xml:space="preserve">0</w:t>
            </w:r>
            <w:r>
              <w:t xml:space="preserve">00 </w:t>
            </w:r>
            <w:r>
              <w:t xml:space="preserve">руб.</w:t>
            </w: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25"/>
              <w:jc w:val="center"/>
              <w:spacing w:before="40" w:after="40"/>
              <w:rPr>
                <w:b/>
                <w:bCs/>
              </w:rPr>
            </w:pPr>
            <w:r>
              <w:rPr>
                <w:b/>
                <w:bCs/>
              </w:rPr>
              <w:t xml:space="preserve">9.8.6.</w:t>
            </w:r>
            <w:r>
              <w:rPr>
                <w:b/>
                <w:bCs/>
              </w:rPr>
            </w:r>
            <w:r>
              <w:rPr>
                <w:b/>
                <w:bCs/>
              </w:rPr>
            </w:r>
          </w:p>
        </w:tc>
        <w:tc>
          <w:tcPr>
            <w:gridSpan w:val="2"/>
            <w:tcW w:w="1620" w:type="pct"/>
            <w:vAlign w:val="top"/>
            <w:textDirection w:val="lrTb"/>
            <w:noWrap w:val="false"/>
          </w:tcPr>
          <w:p>
            <w:pPr>
              <w:pStyle w:val="925"/>
              <w:spacing w:before="40" w:after="40"/>
              <w:rPr>
                <w:b/>
                <w:bCs/>
              </w:rPr>
            </w:pPr>
            <w:r>
              <w:rPr>
                <w:b/>
                <w:bCs/>
              </w:rPr>
              <w:t xml:space="preserve">Предоставление копий </w:t>
            </w:r>
            <w:r>
              <w:rPr>
                <w:b/>
                <w:bCs/>
              </w:rPr>
              <w:t xml:space="preserve">поручений, </w:t>
            </w:r>
            <w:r>
              <w:rPr>
                <w:b/>
                <w:bCs/>
              </w:rPr>
              <w:t xml:space="preserve">приложений, договоров и других документов (за исключением документов, указанных в п. 9.8.7 Тарифов) по запросу Депонента</w:t>
            </w:r>
            <w:r>
              <w:rPr>
                <w:b/>
                <w:bCs/>
              </w:rPr>
            </w:r>
            <w:r>
              <w:rPr>
                <w:b/>
                <w:bCs/>
              </w:rPr>
            </w:r>
          </w:p>
        </w:tc>
        <w:tc>
          <w:tcPr>
            <w:gridSpan w:val="2"/>
            <w:tcW w:w="1595" w:type="pct"/>
            <w:vAlign w:val="top"/>
            <w:textDirection w:val="lrTb"/>
            <w:noWrap w:val="false"/>
          </w:tcPr>
          <w:p>
            <w:pPr>
              <w:pStyle w:val="925"/>
              <w:jc w:val="center"/>
              <w:spacing w:before="40" w:after="40"/>
              <w:rPr>
                <w:lang w:val="en-US"/>
              </w:rPr>
            </w:pPr>
            <w:r>
              <w:t xml:space="preserve">На бумажном носителе 1</w:t>
            </w:r>
            <w:r>
              <w:t xml:space="preserve">00 руб. за лист</w:t>
            </w:r>
            <w:r>
              <w:rPr>
                <w:lang w:val="en-US"/>
              </w:rPr>
            </w:r>
            <w:r>
              <w:rPr>
                <w:lang w:val="en-US"/>
              </w:rPr>
            </w:r>
          </w:p>
        </w:tc>
        <w:tc>
          <w:tcPr>
            <w:tcW w:w="1252" w:type="pct"/>
            <w:vAlign w:val="top"/>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r>
        <w:tblPrEx/>
        <w:trPr/>
        <w:tc>
          <w:tcPr>
            <w:tcW w:w="533" w:type="pct"/>
            <w:vAlign w:val="top"/>
            <w:vMerge w:val="restart"/>
            <w:textDirection w:val="lrTb"/>
            <w:noWrap w:val="false"/>
          </w:tcPr>
          <w:p>
            <w:pPr>
              <w:pStyle w:val="925"/>
              <w:jc w:val="center"/>
              <w:spacing w:before="40" w:after="40"/>
              <w:rPr>
                <w:b/>
                <w:bCs/>
              </w:rPr>
            </w:pPr>
            <w:r>
              <w:rPr>
                <w:b/>
                <w:bCs/>
              </w:rPr>
              <w:t xml:space="preserve">9.8.7.</w:t>
            </w:r>
            <w:r>
              <w:rPr>
                <w:b/>
                <w:bCs/>
              </w:rPr>
            </w:r>
            <w:r>
              <w:rPr>
                <w:b/>
                <w:bCs/>
              </w:rPr>
            </w:r>
          </w:p>
        </w:tc>
        <w:tc>
          <w:tcPr>
            <w:gridSpan w:val="2"/>
            <w:tcW w:w="1620" w:type="pct"/>
            <w:vAlign w:val="top"/>
            <w:vMerge w:val="restart"/>
            <w:textDirection w:val="lrTb"/>
            <w:noWrap w:val="false"/>
          </w:tcPr>
          <w:p>
            <w:pPr>
              <w:spacing w:before="40" w:after="40"/>
              <w:rPr>
                <w:b/>
                <w:bCs/>
                <w:iCs/>
                <w:sz w:val="20"/>
                <w:szCs w:val="20"/>
                <w14:ligatures w14:val="none"/>
              </w:rPr>
            </w:pPr>
            <w:r>
              <w:rPr>
                <w:b/>
                <w:bCs/>
              </w:rPr>
              <w:t xml:space="preserve">Предоставление отчетов и выписок со счета депо по запросу Депонента</w:t>
            </w:r>
            <w:r>
              <w:rPr>
                <w:b/>
                <w:bCs/>
              </w:rPr>
              <w:t xml:space="preserve"> (за исключением документов, указанных в </w:t>
            </w:r>
            <w:r>
              <w:rPr>
                <w:b/>
                <w:bCs/>
              </w:rPr>
              <w:t xml:space="preserve">п.</w:t>
            </w:r>
            <w:r>
              <w:rPr>
                <w:b/>
                <w:bCs/>
              </w:rPr>
              <w:t xml:space="preserve">п</w:t>
            </w:r>
            <w:r>
              <w:rPr>
                <w:b/>
                <w:bCs/>
              </w:rPr>
              <w:t xml:space="preserve">.</w:t>
            </w:r>
            <w:r>
              <w:rPr>
                <w:b/>
                <w:bCs/>
              </w:rPr>
              <w:t xml:space="preserve"> 9.8.1</w:t>
            </w:r>
            <w:r>
              <w:rPr>
                <w:b/>
                <w:bCs/>
              </w:rPr>
              <w:t xml:space="preserve">, 9.8.4</w:t>
            </w:r>
            <w:r>
              <w:rPr>
                <w:b/>
                <w:bCs/>
              </w:rPr>
              <w:t xml:space="preserve"> Тарифов)</w:t>
            </w:r>
            <w:r>
              <w:rPr>
                <w:b/>
                <w:bCs/>
              </w:rPr>
            </w:r>
            <w:r>
              <w:rPr>
                <w:b/>
                <w:bCs/>
                <w:iCs/>
                <w:sz w:val="20"/>
                <w:szCs w:val="20"/>
                <w14:ligatures w14:val="none"/>
              </w:rPr>
            </w:r>
          </w:p>
        </w:tc>
        <w:tc>
          <w:tcPr>
            <w:gridSpan w:val="2"/>
            <w:tcW w:w="1595" w:type="pct"/>
            <w:vAlign w:val="top"/>
            <w:vMerge w:val="restart"/>
            <w:textDirection w:val="lrTb"/>
            <w:noWrap w:val="false"/>
          </w:tcPr>
          <w:p>
            <w:pPr>
              <w:jc w:val="center"/>
              <w:spacing w:before="40" w:after="40"/>
              <w:rPr>
                <w:sz w:val="20"/>
                <w14:ligatures w14:val="none"/>
              </w:rPr>
            </w:pPr>
            <w:r>
              <w:t xml:space="preserve">На бумажном носителе - 15</w:t>
            </w:r>
            <w:r>
              <w:t xml:space="preserve">0 руб.</w:t>
            </w:r>
            <w:r>
              <w:t xml:space="preserve"> </w:t>
            </w:r>
            <w:r>
              <w:t xml:space="preserve">за документ (без учета количества листов)</w:t>
            </w:r>
            <w:r>
              <w:rPr>
                <w:sz w:val="20"/>
                <w14:ligatures w14:val="none"/>
              </w:rPr>
            </w:r>
          </w:p>
        </w:tc>
        <w:tc>
          <w:tcPr>
            <w:tcW w:w="1252" w:type="pct"/>
            <w:vAlign w:val="top"/>
            <w:vMerge w:val="restart"/>
            <w:textDirection w:val="lrTb"/>
            <w:noWrap w:val="false"/>
          </w:tcPr>
          <w:p>
            <w:pPr>
              <w:pStyle w:val="925"/>
              <w:ind w:left="-2" w:right="-18"/>
              <w:jc w:val="both"/>
              <w:spacing w:before="40" w:after="40"/>
              <w:tabs>
                <w:tab w:val="left" w:pos="4464" w:leader="none"/>
                <w:tab w:val="left" w:pos="5760" w:leader="none"/>
              </w:tabs>
              <w:rPr>
                <w:iCs/>
              </w:rPr>
            </w:pPr>
            <w:r>
              <w:rPr>
                <w:iCs/>
              </w:rPr>
            </w:r>
            <w:r>
              <w:rPr>
                <w:iCs/>
              </w:rPr>
            </w:r>
            <w:r>
              <w:rPr>
                <w:iCs/>
              </w:rPr>
            </w:r>
          </w:p>
        </w:tc>
      </w:tr>
    </w:tbl>
    <w:p>
      <w:pPr>
        <w:pStyle w:val="925"/>
        <w:rPr>
          <w:sz w:val="24"/>
          <w:szCs w:val="24"/>
        </w:rPr>
      </w:pPr>
      <w:r>
        <w:rPr>
          <w:sz w:val="24"/>
          <w:szCs w:val="24"/>
        </w:rPr>
      </w:r>
      <w:r>
        <w:rPr>
          <w:sz w:val="24"/>
          <w:szCs w:val="24"/>
        </w:rPr>
      </w:r>
      <w:r>
        <w:rPr>
          <w:sz w:val="24"/>
          <w:szCs w:val="24"/>
        </w:rPr>
      </w:r>
    </w:p>
    <w:p>
      <w:pPr>
        <w:pStyle w:val="925"/>
        <w:rPr>
          <w:sz w:val="24"/>
          <w:szCs w:val="24"/>
        </w:rPr>
      </w:pPr>
      <w:r>
        <w:rPr>
          <w:sz w:val="24"/>
          <w:szCs w:val="24"/>
        </w:rPr>
        <w:br w:type="page" w:clear="all"/>
      </w:r>
      <w:r>
        <w:rPr>
          <w:sz w:val="24"/>
          <w:szCs w:val="24"/>
        </w:rPr>
      </w:r>
      <w:r>
        <w:rPr>
          <w:sz w:val="24"/>
          <w:szCs w:val="24"/>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59"/>
        <w:gridCol w:w="4990"/>
        <w:gridCol w:w="2239"/>
        <w:gridCol w:w="2234"/>
      </w:tblGrid>
      <w:tr>
        <w:tblPrEx/>
        <w:trPr>
          <w:trHeight w:val="363"/>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40"/>
              <w:jc w:val="center"/>
              <w:spacing w:before="120" w:after="120"/>
              <w:tabs>
                <w:tab w:val="clear" w:pos="4320" w:leader="none"/>
                <w:tab w:val="clear" w:pos="8640" w:leader="none"/>
              </w:tabs>
              <w:rPr>
                <w:sz w:val="24"/>
                <w:szCs w:val="24"/>
                <w:lang w:val="ru-RU" w:eastAsia="ru-RU"/>
              </w:rPr>
            </w:pPr>
            <w:r>
              <w:rPr>
                <w:b/>
                <w:bCs/>
                <w:sz w:val="24"/>
                <w:szCs w:val="24"/>
                <w:lang w:val="ru-RU" w:eastAsia="ru-RU"/>
              </w:rPr>
              <w:t xml:space="preserve">10</w:t>
            </w:r>
            <w:r>
              <w:rPr>
                <w:b/>
                <w:bCs/>
                <w:sz w:val="24"/>
                <w:szCs w:val="24"/>
                <w:lang w:val="ru-RU" w:eastAsia="ru-RU"/>
              </w:rPr>
              <w:t xml:space="preserve">. </w:t>
            </w:r>
            <w:r>
              <w:rPr>
                <w:b/>
                <w:bCs/>
                <w:sz w:val="24"/>
                <w:szCs w:val="24"/>
                <w:lang w:val="ru-RU" w:eastAsia="ru-RU"/>
              </w:rPr>
              <w:t xml:space="preserve">Услуги платежного агента</w:t>
            </w:r>
            <w:r>
              <w:rPr>
                <w:b/>
                <w:bCs/>
                <w:sz w:val="24"/>
                <w:szCs w:val="24"/>
                <w:lang w:val="ru-RU" w:eastAsia="ru-RU"/>
              </w:rPr>
              <w:t xml:space="preserve"> </w:t>
            </w:r>
            <w:r>
              <w:rPr>
                <w:b/>
                <w:bCs/>
                <w:sz w:val="24"/>
                <w:szCs w:val="24"/>
                <w:lang w:val="ru-RU" w:eastAsia="ru-RU"/>
              </w:rPr>
              <w:t xml:space="preserve">(</w:t>
            </w:r>
            <w:r>
              <w:rPr>
                <w:b/>
                <w:bCs/>
                <w:sz w:val="24"/>
                <w:szCs w:val="24"/>
                <w:lang w:val="ru-RU" w:eastAsia="ru-RU"/>
              </w:rPr>
              <w:t xml:space="preserve">п</w:t>
            </w:r>
            <w:r>
              <w:rPr>
                <w:b/>
                <w:bCs/>
                <w:sz w:val="24"/>
                <w:szCs w:val="24"/>
                <w:lang w:val="ru-RU" w:eastAsia="ru-RU"/>
              </w:rPr>
              <w:t xml:space="preserve">ри обслуживании эмитентов облигаций)</w:t>
            </w:r>
            <w:r>
              <w:rPr>
                <w:sz w:val="24"/>
                <w:szCs w:val="24"/>
                <w:lang w:val="ru-RU" w:eastAsia="ru-RU"/>
              </w:rPr>
            </w:r>
            <w:r>
              <w:rPr>
                <w:sz w:val="24"/>
                <w:szCs w:val="24"/>
                <w:lang w:val="ru-RU" w:eastAsia="ru-RU"/>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25"/>
              <w:ind w:right="-18"/>
              <w:jc w:val="center"/>
              <w:tabs>
                <w:tab w:val="left" w:pos="4464" w:leader="none"/>
                <w:tab w:val="left" w:pos="5760" w:leader="none"/>
              </w:tabs>
              <w:rPr>
                <w:iCs/>
              </w:rPr>
            </w:pPr>
            <w:r>
              <w:rPr>
                <w:iCs/>
              </w:rPr>
              <w:t xml:space="preserve">№ п/п</w:t>
            </w:r>
            <w:r>
              <w:rPr>
                <w:iCs/>
              </w:rPr>
            </w:r>
            <w:r>
              <w:rPr>
                <w:iCs/>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933"/>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074" w:type="pct"/>
            <w:vAlign w:val="center"/>
            <w:textDirection w:val="lrTb"/>
            <w:noWrap w:val="false"/>
          </w:tcPr>
          <w:p>
            <w:pPr>
              <w:pStyle w:val="928"/>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1072" w:type="pct"/>
            <w:vAlign w:val="center"/>
            <w:textDirection w:val="lrTb"/>
            <w:noWrap w:val="false"/>
          </w:tcPr>
          <w:p>
            <w:pPr>
              <w:pStyle w:val="925"/>
              <w:ind w:left="-2" w:right="-18"/>
              <w:jc w:val="center"/>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25"/>
              <w:jc w:val="center"/>
              <w:spacing w:before="40" w:after="40"/>
              <w:rPr>
                <w:b/>
                <w:bCs/>
              </w:rPr>
            </w:pPr>
            <w:r>
              <w:rPr>
                <w:b/>
                <w:bCs/>
              </w:rPr>
              <w:t xml:space="preserve">10</w:t>
            </w:r>
            <w:r>
              <w:rPr>
                <w:b/>
                <w:bCs/>
              </w:rPr>
              <w:t xml:space="preserve">.1.</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5"/>
              <w:jc w:val="center"/>
              <w:spacing w:before="40" w:after="40"/>
              <w:rPr>
                <w:b/>
                <w:bCs/>
              </w:rPr>
            </w:pPr>
            <w:r>
              <w:rPr>
                <w:b/>
                <w:bCs/>
              </w:rPr>
              <w:t xml:space="preserve">Ставки вознаграждения по видам облигаций</w:t>
            </w:r>
            <w:r>
              <w:rPr>
                <w:b/>
                <w:bCs/>
              </w:rPr>
              <w:t xml:space="preserve"> </w:t>
            </w:r>
            <w:r>
              <w:rPr>
                <w:b/>
                <w:bCs/>
              </w:rPr>
              <w:br w:type="textWrapping" w:clear="all"/>
            </w:r>
            <w:r>
              <w:rPr>
                <w:b/>
                <w:bCs/>
              </w:rPr>
              <w:t xml:space="preserve">(в процентах от </w:t>
            </w:r>
            <w:r>
              <w:rPr>
                <w:b/>
                <w:bCs/>
                <w:iCs/>
              </w:rPr>
              <w:t xml:space="preserve">суммы к распределению</w:t>
            </w:r>
            <w:r>
              <w:rPr>
                <w:b/>
                <w:b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1074" w:type="pct"/>
            <w:vAlign w:val="top"/>
            <w:textDirection w:val="lrTb"/>
            <w:noWrap w:val="false"/>
          </w:tcPr>
          <w:p>
            <w:pPr>
              <w:pStyle w:val="925"/>
              <w:jc w:val="center"/>
              <w:spacing w:before="40" w:after="40"/>
              <w:rPr>
                <w:rFonts w:eastAsia="Arial Unicode MS"/>
              </w:rPr>
            </w:pPr>
            <w:r>
              <w:rPr>
                <w:b/>
                <w:bCs/>
              </w:rPr>
              <w:t xml:space="preserve">Ставка вознаграждения</w:t>
            </w:r>
            <w:r>
              <w:rPr>
                <w:b/>
                <w:bCs/>
              </w:rPr>
              <w:t xml:space="preserve"> </w:t>
            </w:r>
            <w:r>
              <w:rPr>
                <w:b/>
                <w:bCs/>
              </w:rPr>
              <w:br w:type="textWrapping" w:clear="all"/>
            </w:r>
            <w:r>
              <w:rPr>
                <w:b/>
                <w:bCs/>
              </w:rPr>
              <w:t xml:space="preserve">(% от суммы к распределению)</w:t>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1072" w:type="pct"/>
            <w:vAlign w:val="top"/>
            <w:textDirection w:val="lrTb"/>
            <w:noWrap w:val="false"/>
          </w:tcPr>
          <w:p>
            <w:pPr>
              <w:pStyle w:val="925"/>
              <w:jc w:val="center"/>
              <w:spacing w:before="40" w:after="40"/>
              <w:rPr>
                <w:rFonts w:eastAsia="Arial Unicode MS"/>
                <w:iCs/>
                <w:sz w:val="22"/>
                <w:szCs w:val="22"/>
              </w:rPr>
            </w:pPr>
            <w:r>
              <w:rPr>
                <w:rFonts w:eastAsia="Arial Unicode MS"/>
                <w:iCs/>
                <w:sz w:val="22"/>
                <w:szCs w:val="22"/>
              </w:rPr>
            </w:r>
            <w:r>
              <w:rPr>
                <w:rFonts w:eastAsia="Arial Unicode MS"/>
                <w:iCs/>
                <w:sz w:val="22"/>
                <w:szCs w:val="22"/>
              </w:rPr>
            </w:r>
            <w:r>
              <w:rPr>
                <w:rFonts w:eastAsia="Arial Unicode MS"/>
                <w:iCs/>
                <w:sz w:val="22"/>
                <w:szCs w:val="22"/>
              </w:rPr>
            </w:r>
          </w:p>
        </w:tc>
      </w:tr>
      <w:tr>
        <w:tblPrEx/>
        <w:trPr/>
        <w:tc>
          <w:tcPr>
            <w:tcBorders>
              <w:top w:val="single" w:color="000000" w:sz="4" w:space="0"/>
              <w:left w:val="single" w:color="000000" w:sz="4" w:space="0"/>
              <w:bottom w:val="single" w:color="000000" w:sz="4" w:space="0"/>
            </w:tcBorders>
            <w:tcW w:w="460" w:type="pct"/>
            <w:vAlign w:val="top"/>
            <w:textDirection w:val="lrTb"/>
            <w:noWrap w:val="false"/>
          </w:tcPr>
          <w:p>
            <w:pPr>
              <w:pStyle w:val="925"/>
              <w:jc w:val="center"/>
              <w:spacing w:before="40" w:after="40"/>
              <w:rPr>
                <w:b/>
                <w:bCs/>
              </w:rPr>
            </w:pPr>
            <w:r>
              <w:rPr>
                <w:b/>
                <w:bCs/>
              </w:rPr>
            </w:r>
            <w:r>
              <w:rPr>
                <w:b/>
                <w:bCs/>
              </w:rPr>
            </w:r>
            <w:r>
              <w:rPr>
                <w:b/>
                <w:bCs/>
              </w:rPr>
            </w:r>
          </w:p>
        </w:tc>
        <w:tc>
          <w:tcPr>
            <w:tcBorders>
              <w:top w:val="single" w:color="000000" w:sz="4" w:space="0"/>
            </w:tcBorders>
            <w:tcW w:w="2394" w:type="pct"/>
            <w:vAlign w:val="top"/>
            <w:textDirection w:val="lrTb"/>
            <w:noWrap w:val="false"/>
          </w:tcPr>
          <w:p>
            <w:pPr>
              <w:pStyle w:val="925"/>
              <w:jc w:val="center"/>
              <w:spacing w:before="40" w:after="40"/>
              <w:rPr>
                <w:b/>
                <w:bCs/>
              </w:rPr>
            </w:pPr>
            <w:r>
              <w:rPr>
                <w:b/>
                <w:bCs/>
              </w:rPr>
              <w:t xml:space="preserve">Величина суммы к распределению</w:t>
            </w:r>
            <w:r>
              <w:rPr>
                <w:rStyle w:val="954"/>
              </w:rPr>
              <w:t xml:space="preserve">5 </w:t>
            </w:r>
            <w:r>
              <w:rPr>
                <w:b/>
                <w:bCs/>
              </w:rPr>
            </w:r>
            <w:r>
              <w:rPr>
                <w:b/>
                <w:bCs/>
              </w:rPr>
            </w:r>
          </w:p>
        </w:tc>
        <w:tc>
          <w:tcPr>
            <w:tcBorders>
              <w:top w:val="single" w:color="000000" w:sz="4" w:space="0"/>
              <w:bottom w:val="single" w:color="000000" w:sz="4" w:space="0"/>
              <w:right w:val="single" w:color="000000" w:sz="4" w:space="0"/>
            </w:tcBorders>
            <w:tcW w:w="1074" w:type="pct"/>
            <w:vAlign w:val="top"/>
            <w:textDirection w:val="lrTb"/>
            <w:noWrap w:val="false"/>
          </w:tcPr>
          <w:p>
            <w:pPr>
              <w:pStyle w:val="939"/>
              <w:ind w:left="34"/>
              <w:jc w:val="center"/>
              <w:spacing w:before="40" w:after="40"/>
              <w:rPr>
                <w:b w:val="0"/>
                <w:bCs w:val="0"/>
                <w:sz w:val="18"/>
              </w:rPr>
            </w:pPr>
            <w:r>
              <w:rPr>
                <w:b w:val="0"/>
                <w:bCs w:val="0"/>
                <w:sz w:val="18"/>
              </w:rPr>
            </w:r>
            <w:r>
              <w:rPr>
                <w:b w:val="0"/>
                <w:bCs w:val="0"/>
                <w:sz w:val="18"/>
              </w:rPr>
            </w:r>
            <w:r>
              <w:rPr>
                <w:b w:val="0"/>
                <w:bCs w:val="0"/>
                <w:sz w:val="18"/>
              </w:rPr>
            </w:r>
          </w:p>
        </w:tc>
        <w:tc>
          <w:tcPr>
            <w:tcBorders>
              <w:top w:val="single" w:color="000000" w:sz="4" w:space="0"/>
              <w:left w:val="single" w:color="000000" w:sz="4" w:space="0"/>
              <w:bottom w:val="single" w:color="000000" w:sz="4" w:space="0"/>
              <w:right w:val="single" w:color="000000" w:sz="4" w:space="0"/>
            </w:tcBorders>
            <w:tcW w:w="1072" w:type="pct"/>
            <w:vAlign w:val="top"/>
            <w:vMerge w:val="restart"/>
            <w:textDirection w:val="lrTb"/>
            <w:noWrap w:val="false"/>
          </w:tcPr>
          <w:p>
            <w:pPr>
              <w:pStyle w:val="942"/>
              <w:ind w:right="-6" w:firstLine="0"/>
              <w:jc w:val="center"/>
              <w:spacing w:before="40" w:after="40"/>
              <w:rPr>
                <w:sz w:val="20"/>
                <w:szCs w:val="20"/>
              </w:rPr>
            </w:pPr>
            <w:r>
              <w:rPr>
                <w:sz w:val="20"/>
                <w:szCs w:val="20"/>
              </w:rPr>
              <w:t xml:space="preserve">Вознаграждение </w:t>
            </w:r>
            <w:r>
              <w:rPr>
                <w:sz w:val="20"/>
                <w:szCs w:val="20"/>
              </w:rPr>
              <w:t xml:space="preserve">Банка</w:t>
            </w:r>
            <w:r>
              <w:rPr>
                <w:sz w:val="20"/>
                <w:szCs w:val="20"/>
              </w:rPr>
              <w:t xml:space="preserve"> без учета НДС </w:t>
            </w:r>
            <w:r>
              <w:rPr>
                <w:sz w:val="20"/>
                <w:szCs w:val="20"/>
              </w:rPr>
              <w:t xml:space="preserve">о</w:t>
            </w:r>
            <w:r>
              <w:rPr>
                <w:sz w:val="20"/>
                <w:szCs w:val="20"/>
              </w:rPr>
              <w:t xml:space="preserve">пределяется по каждой выплате по выпуску облигаций</w:t>
            </w:r>
            <w:r>
              <w:rPr>
                <w:sz w:val="20"/>
                <w:szCs w:val="20"/>
              </w:rPr>
              <w:t xml:space="preserve">.</w:t>
            </w:r>
            <w:r>
              <w:rPr>
                <w:sz w:val="20"/>
                <w:szCs w:val="20"/>
              </w:rPr>
            </w:r>
            <w:r>
              <w:rPr>
                <w:sz w:val="20"/>
                <w:szCs w:val="20"/>
              </w:rPr>
            </w:r>
          </w:p>
          <w:p>
            <w:pPr>
              <w:pStyle w:val="925"/>
              <w:jc w:val="center"/>
              <w:spacing w:before="40" w:after="40"/>
              <w:rPr>
                <w:rFonts w:eastAsia="Arial Unicode MS"/>
                <w:iCs/>
                <w:sz w:val="24"/>
                <w:szCs w:val="24"/>
              </w:rPr>
            </w:pPr>
            <w:r>
              <w:t xml:space="preserve">С</w:t>
            </w:r>
            <w:r>
              <w:t xml:space="preserve">тавка вознаграждения </w:t>
            </w:r>
            <w:r>
              <w:t xml:space="preserve">Банка</w:t>
            </w:r>
            <w:r>
              <w:t xml:space="preserve"> указана</w:t>
            </w:r>
            <w:r>
              <w:t xml:space="preserve"> в процентах за одно перечисление, осуществляемое </w:t>
            </w:r>
            <w:r>
              <w:t xml:space="preserve">Банком</w:t>
            </w:r>
            <w:r>
              <w:t xml:space="preserve"> по поручению эмитента по выпуску облигаций </w:t>
            </w:r>
            <w:r>
              <w:t xml:space="preserve">в соответствии с заключенным </w:t>
            </w:r>
            <w:r>
              <w:t xml:space="preserve">договор</w:t>
            </w:r>
            <w:r>
              <w:t xml:space="preserve">ом</w:t>
            </w:r>
            <w:r>
              <w:t xml:space="preserve"> платежного агента</w:t>
            </w:r>
            <w:r>
              <w:t xml:space="preserve">.</w:t>
            </w:r>
            <w:r>
              <w:t xml:space="preserve"> НДС взимается дополнительно</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tcBorders>
            <w:tcW w:w="460" w:type="pct"/>
            <w:vAlign w:val="center"/>
            <w:vMerge w:val="restart"/>
            <w:textDirection w:val="lrTb"/>
            <w:noWrap w:val="false"/>
          </w:tcPr>
          <w:p>
            <w:pPr>
              <w:pStyle w:val="925"/>
              <w:jc w:val="center"/>
              <w:spacing w:before="40" w:after="40"/>
              <w:rPr>
                <w:b/>
                <w:bCs/>
              </w:rPr>
            </w:pPr>
            <w:r>
              <w:rPr>
                <w:b/>
                <w:bCs/>
              </w:rPr>
            </w:r>
            <w:r>
              <w:rPr>
                <w:b/>
                <w:bCs/>
              </w:rPr>
            </w:r>
            <w:r>
              <w:rPr>
                <w:b/>
                <w:bCs/>
              </w:rPr>
            </w:r>
          </w:p>
        </w:tc>
        <w:tc>
          <w:tcPr>
            <w:tcBorders>
              <w:bottom w:val="none" w:color="000000" w:sz="4" w:space="0"/>
            </w:tcBorders>
            <w:tcW w:w="2394" w:type="pct"/>
            <w:vAlign w:val="center"/>
            <w:textDirection w:val="lrTb"/>
            <w:noWrap w:val="false"/>
          </w:tcPr>
          <w:p>
            <w:pPr>
              <w:pStyle w:val="925"/>
              <w:jc w:val="center"/>
              <w:spacing w:before="40" w:after="40"/>
              <w:rPr>
                <w:rFonts w:eastAsia="Arial Unicode MS"/>
                <w:b/>
                <w:bCs/>
              </w:rPr>
            </w:pPr>
            <w:r>
              <w:rPr>
                <w:b/>
                <w:bCs/>
              </w:rPr>
              <w:t xml:space="preserve">До 5 млн. руб.</w:t>
            </w:r>
            <w:r>
              <w:rPr>
                <w:rFonts w:eastAsia="Arial Unicode MS"/>
                <w:b/>
                <w:bCs/>
              </w:rPr>
            </w:r>
            <w:r>
              <w:rPr>
                <w:rFonts w:eastAsia="Arial Unicode MS"/>
                <w:b/>
                <w:bCs/>
              </w:rPr>
            </w:r>
          </w:p>
        </w:tc>
        <w:tc>
          <w:tcPr>
            <w:tcBorders>
              <w:top w:val="single" w:color="000000" w:sz="4" w:space="0"/>
              <w:bottom w:val="none" w:color="000000" w:sz="4" w:space="0"/>
            </w:tcBorders>
            <w:tcW w:w="1074" w:type="pct"/>
            <w:vAlign w:val="center"/>
            <w:textDirection w:val="lrTb"/>
            <w:noWrap w:val="false"/>
          </w:tcPr>
          <w:p>
            <w:pPr>
              <w:pStyle w:val="939"/>
              <w:ind w:left="34"/>
              <w:jc w:val="center"/>
              <w:spacing w:before="40" w:after="40"/>
              <w:rPr>
                <w:rFonts w:eastAsia="Arial Unicode MS"/>
              </w:rPr>
            </w:pPr>
            <w:r>
              <w:rPr>
                <w:b w:val="0"/>
                <w:bCs w:val="0"/>
              </w:rPr>
              <w:t xml:space="preserve">2000</w:t>
            </w:r>
            <w:r>
              <w:rPr>
                <w:b w:val="0"/>
                <w:bCs w:val="0"/>
              </w:rPr>
              <w:t xml:space="preserve"> </w:t>
            </w:r>
            <w:r>
              <w:rPr>
                <w:b w:val="0"/>
              </w:rPr>
              <w:t xml:space="preserve">(две тысячи) руб</w:t>
            </w:r>
            <w:r>
              <w:rPr>
                <w:b w:val="0"/>
                <w:bCs w:val="0"/>
              </w:rPr>
              <w:t xml:space="preserve">.</w:t>
            </w:r>
            <w:r>
              <w:rPr>
                <w:rFonts w:eastAsia="Arial Unicode MS"/>
              </w:rPr>
            </w:r>
            <w:r>
              <w:rPr>
                <w:rFonts w:eastAsia="Arial Unicode MS"/>
              </w:rPr>
            </w:r>
          </w:p>
        </w:tc>
        <w:tc>
          <w:tcPr>
            <w:tcW w:w="1072" w:type="pct"/>
            <w:vAlign w:val="center"/>
            <w:vMerge w:val="continue"/>
            <w:textDirection w:val="lrTb"/>
            <w:noWrap w:val="false"/>
          </w:tcPr>
          <w:p>
            <w:pPr>
              <w:pStyle w:val="925"/>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25"/>
              <w:jc w:val="center"/>
              <w:spacing w:before="40" w:after="40"/>
              <w:rPr>
                <w:b/>
                <w:bCs/>
              </w:rPr>
            </w:pPr>
            <w:r>
              <w:rPr>
                <w:b/>
                <w:bCs/>
              </w:rPr>
            </w: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925"/>
              <w:jc w:val="center"/>
              <w:spacing w:before="40" w:after="40"/>
              <w:rPr>
                <w:rFonts w:eastAsia="Arial Unicode MS"/>
                <w:b/>
                <w:bCs/>
              </w:rPr>
            </w:pPr>
            <w:r>
              <w:rPr>
                <w:b/>
                <w:bCs/>
              </w:rPr>
              <w:t xml:space="preserve">Более 5</w:t>
            </w:r>
            <w:r>
              <w:rPr>
                <w:b/>
                <w:bCs/>
              </w:rPr>
              <w:t xml:space="preserve"> млн.</w:t>
            </w:r>
            <w:r>
              <w:rPr>
                <w:b/>
                <w:bCs/>
              </w:rPr>
              <w:t xml:space="preserve"> до 50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925"/>
              <w:jc w:val="center"/>
              <w:spacing w:before="40" w:after="40"/>
              <w:rPr>
                <w:rFonts w:eastAsia="Arial Unicode MS"/>
              </w:rPr>
            </w:pPr>
            <w:r>
              <w:rPr>
                <w:b/>
                <w:bCs/>
              </w:rPr>
              <w:t xml:space="preserve">0,030%</w:t>
            </w:r>
            <w:r>
              <w:rPr>
                <w:rFonts w:eastAsia="Arial Unicode MS"/>
              </w:rPr>
            </w:r>
            <w:r>
              <w:rPr>
                <w:rFonts w:eastAsia="Arial Unicode MS"/>
              </w:rPr>
            </w:r>
          </w:p>
        </w:tc>
        <w:tc>
          <w:tcPr>
            <w:tcW w:w="1072" w:type="pct"/>
            <w:vAlign w:val="center"/>
            <w:vMerge w:val="continue"/>
            <w:textDirection w:val="lrTb"/>
            <w:noWrap w:val="false"/>
          </w:tcPr>
          <w:p>
            <w:pPr>
              <w:pStyle w:val="925"/>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25"/>
              <w:jc w:val="center"/>
              <w:spacing w:before="40" w:after="40"/>
              <w:rPr>
                <w:b/>
                <w:bCs/>
              </w:rPr>
            </w:pPr>
            <w:r>
              <w:rPr>
                <w:b/>
                <w:bCs/>
              </w:rPr>
            </w: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939"/>
              <w:ind w:left="34" w:right="11"/>
              <w:jc w:val="center"/>
              <w:spacing w:before="40" w:after="40"/>
              <w:rPr>
                <w:b w:val="0"/>
                <w:bCs w:val="0"/>
              </w:rPr>
            </w:pPr>
            <w:r>
              <w:rPr>
                <w:b w:val="0"/>
                <w:bCs w:val="0"/>
              </w:rPr>
              <w:t xml:space="preserve">Более 50 </w:t>
            </w:r>
            <w:r>
              <w:rPr>
                <w:b w:val="0"/>
                <w:bCs w:val="0"/>
              </w:rPr>
              <w:t xml:space="preserve">млн.</w:t>
            </w:r>
            <w:r>
              <w:rPr>
                <w:b w:val="0"/>
                <w:bCs w:val="0"/>
              </w:rPr>
              <w:t xml:space="preserve"> </w:t>
            </w:r>
            <w:r>
              <w:rPr>
                <w:b w:val="0"/>
                <w:bCs w:val="0"/>
              </w:rPr>
              <w:t xml:space="preserve">до </w:t>
            </w:r>
            <w:r>
              <w:rPr>
                <w:b w:val="0"/>
                <w:bCs w:val="0"/>
              </w:rPr>
            </w:r>
            <w:r>
              <w:rPr>
                <w:b w:val="0"/>
                <w:bCs w:val="0"/>
              </w:rPr>
            </w:r>
          </w:p>
          <w:p>
            <w:pPr>
              <w:pStyle w:val="925"/>
              <w:jc w:val="center"/>
              <w:spacing w:before="40" w:after="40"/>
              <w:rPr>
                <w:rFonts w:eastAsia="Arial Unicode MS"/>
                <w:b/>
                <w:bCs/>
              </w:rPr>
            </w:pPr>
            <w:r>
              <w:rPr>
                <w:b/>
                <w:bCs/>
              </w:rPr>
              <w:t xml:space="preserve">1 000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925"/>
              <w:jc w:val="center"/>
              <w:spacing w:before="40" w:after="40"/>
              <w:rPr>
                <w:rFonts w:eastAsia="Arial Unicode MS"/>
              </w:rPr>
            </w:pPr>
            <w:r>
              <w:rPr>
                <w:b/>
                <w:bCs/>
              </w:rPr>
              <w:t xml:space="preserve">0,025%</w:t>
            </w:r>
            <w:r>
              <w:rPr>
                <w:rFonts w:eastAsia="Arial Unicode MS"/>
              </w:rPr>
            </w:r>
            <w:r>
              <w:rPr>
                <w:rFonts w:eastAsia="Arial Unicode MS"/>
              </w:rPr>
            </w:r>
          </w:p>
        </w:tc>
        <w:tc>
          <w:tcPr>
            <w:tcW w:w="1072" w:type="pct"/>
            <w:vAlign w:val="center"/>
            <w:vMerge w:val="continue"/>
            <w:textDirection w:val="lrTb"/>
            <w:noWrap w:val="false"/>
          </w:tcPr>
          <w:p>
            <w:pPr>
              <w:pStyle w:val="925"/>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25"/>
              <w:jc w:val="center"/>
              <w:spacing w:before="40" w:after="40"/>
              <w:rPr>
                <w:b/>
                <w:bCs/>
              </w:rPr>
            </w:pPr>
            <w:r>
              <w:rPr>
                <w:b/>
                <w:bCs/>
              </w:rPr>
            </w: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939"/>
              <w:ind w:left="34" w:right="11"/>
              <w:jc w:val="center"/>
              <w:spacing w:before="40" w:after="40"/>
              <w:rPr>
                <w:b w:val="0"/>
                <w:bCs w:val="0"/>
              </w:rPr>
            </w:pPr>
            <w:r>
              <w:rPr>
                <w:b w:val="0"/>
                <w:bCs w:val="0"/>
              </w:rPr>
              <w:t xml:space="preserve">Более 1 000</w:t>
            </w:r>
            <w:r>
              <w:rPr>
                <w:b w:val="0"/>
                <w:bCs w:val="0"/>
              </w:rPr>
              <w:t xml:space="preserve"> млн.</w:t>
            </w:r>
            <w:r>
              <w:rPr>
                <w:b w:val="0"/>
                <w:bCs w:val="0"/>
              </w:rPr>
              <w:t xml:space="preserve"> </w:t>
            </w:r>
            <w:r>
              <w:rPr>
                <w:b w:val="0"/>
                <w:bCs w:val="0"/>
              </w:rPr>
            </w:r>
            <w:r>
              <w:rPr>
                <w:b w:val="0"/>
                <w:bCs w:val="0"/>
              </w:rPr>
            </w:r>
          </w:p>
          <w:p>
            <w:pPr>
              <w:pStyle w:val="925"/>
              <w:jc w:val="center"/>
              <w:spacing w:before="40" w:after="40"/>
              <w:rPr>
                <w:rFonts w:eastAsia="Arial Unicode MS"/>
                <w:b/>
                <w:bCs/>
              </w:rPr>
            </w:pPr>
            <w:r>
              <w:rPr>
                <w:b/>
                <w:bCs/>
              </w:rPr>
              <w:t xml:space="preserve">до 5 000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925"/>
              <w:jc w:val="center"/>
              <w:spacing w:before="40" w:after="40"/>
              <w:rPr>
                <w:rFonts w:eastAsia="Arial Unicode MS"/>
              </w:rPr>
            </w:pPr>
            <w:r>
              <w:rPr>
                <w:b/>
                <w:bCs/>
              </w:rPr>
              <w:t xml:space="preserve">0,020%</w:t>
            </w:r>
            <w:r>
              <w:rPr>
                <w:rFonts w:eastAsia="Arial Unicode MS"/>
              </w:rPr>
            </w:r>
            <w:r>
              <w:rPr>
                <w:rFonts w:eastAsia="Arial Unicode MS"/>
              </w:rPr>
            </w:r>
          </w:p>
        </w:tc>
        <w:tc>
          <w:tcPr>
            <w:tcW w:w="1072" w:type="pct"/>
            <w:vAlign w:val="center"/>
            <w:vMerge w:val="continue"/>
            <w:textDirection w:val="lrTb"/>
            <w:noWrap w:val="false"/>
          </w:tcPr>
          <w:p>
            <w:pPr>
              <w:pStyle w:val="925"/>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25"/>
              <w:jc w:val="center"/>
              <w:spacing w:before="40" w:after="40"/>
              <w:rPr>
                <w:b/>
                <w:bCs/>
              </w:rPr>
            </w:pPr>
            <w:r>
              <w:rPr>
                <w:b/>
                <w:bCs/>
              </w:rPr>
            </w: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939"/>
              <w:ind w:left="34" w:right="11"/>
              <w:jc w:val="center"/>
              <w:spacing w:before="40" w:after="40"/>
              <w:rPr>
                <w:b w:val="0"/>
                <w:bCs w:val="0"/>
              </w:rPr>
            </w:pPr>
            <w:r>
              <w:rPr>
                <w:b w:val="0"/>
                <w:bCs w:val="0"/>
              </w:rPr>
              <w:t xml:space="preserve">Более 5 000 </w:t>
            </w:r>
            <w:r>
              <w:rPr>
                <w:b w:val="0"/>
                <w:bCs w:val="0"/>
              </w:rPr>
              <w:t xml:space="preserve">млн.</w:t>
            </w:r>
            <w:r>
              <w:rPr>
                <w:b w:val="0"/>
                <w:bCs w:val="0"/>
              </w:rPr>
            </w:r>
            <w:r>
              <w:rPr>
                <w:b w:val="0"/>
                <w:bCs w:val="0"/>
              </w:rPr>
            </w:r>
          </w:p>
          <w:p>
            <w:pPr>
              <w:pStyle w:val="925"/>
              <w:jc w:val="center"/>
              <w:spacing w:before="40" w:after="40"/>
              <w:rPr>
                <w:rFonts w:eastAsia="Arial Unicode MS"/>
                <w:b/>
                <w:bCs/>
              </w:rPr>
            </w:pPr>
            <w:r>
              <w:rPr>
                <w:b/>
                <w:bCs/>
              </w:rPr>
              <w:t xml:space="preserve">до 8 000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925"/>
              <w:jc w:val="center"/>
              <w:spacing w:before="40" w:after="40"/>
              <w:rPr>
                <w:rFonts w:eastAsia="Arial Unicode MS"/>
              </w:rPr>
            </w:pPr>
            <w:r>
              <w:rPr>
                <w:b/>
                <w:bCs/>
              </w:rPr>
              <w:t xml:space="preserve">0,016%</w:t>
            </w:r>
            <w:r>
              <w:rPr>
                <w:rFonts w:eastAsia="Arial Unicode MS"/>
              </w:rPr>
            </w:r>
            <w:r>
              <w:rPr>
                <w:rFonts w:eastAsia="Arial Unicode MS"/>
              </w:rPr>
            </w:r>
          </w:p>
        </w:tc>
        <w:tc>
          <w:tcPr>
            <w:tcW w:w="1072" w:type="pct"/>
            <w:vAlign w:val="center"/>
            <w:vMerge w:val="continue"/>
            <w:textDirection w:val="lrTb"/>
            <w:noWrap w:val="false"/>
          </w:tcPr>
          <w:p>
            <w:pPr>
              <w:pStyle w:val="925"/>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25"/>
              <w:jc w:val="center"/>
              <w:spacing w:before="40" w:after="40"/>
              <w:rPr>
                <w:b/>
                <w:bCs/>
              </w:rPr>
            </w:pPr>
            <w:r>
              <w:rPr>
                <w:b/>
                <w:bCs/>
              </w:rPr>
            </w:r>
            <w:r>
              <w:rPr>
                <w:b/>
                <w:bCs/>
              </w:rPr>
            </w:r>
            <w:r>
              <w:rPr>
                <w:b/>
                <w:bCs/>
              </w:rPr>
            </w:r>
          </w:p>
        </w:tc>
        <w:tc>
          <w:tcPr>
            <w:tcBorders>
              <w:top w:val="none" w:color="000000" w:sz="4" w:space="0"/>
            </w:tcBorders>
            <w:tcW w:w="2394" w:type="pct"/>
            <w:vAlign w:val="center"/>
            <w:textDirection w:val="lrTb"/>
            <w:noWrap w:val="false"/>
          </w:tcPr>
          <w:p>
            <w:pPr>
              <w:pStyle w:val="925"/>
              <w:jc w:val="center"/>
              <w:spacing w:before="40" w:after="40"/>
              <w:rPr>
                <w:rFonts w:eastAsia="Arial Unicode MS"/>
                <w:b/>
                <w:bCs/>
              </w:rPr>
            </w:pPr>
            <w:r>
              <w:rPr>
                <w:b/>
                <w:bCs/>
              </w:rPr>
              <w:t xml:space="preserve">Более 8 000 млн. руб.</w:t>
            </w:r>
            <w:r>
              <w:rPr>
                <w:rFonts w:eastAsia="Arial Unicode MS"/>
                <w:b/>
                <w:bCs/>
              </w:rPr>
            </w:r>
            <w:r>
              <w:rPr>
                <w:rFonts w:eastAsia="Arial Unicode MS"/>
                <w:b/>
                <w:bCs/>
              </w:rPr>
            </w:r>
          </w:p>
        </w:tc>
        <w:tc>
          <w:tcPr>
            <w:tcBorders>
              <w:top w:val="none" w:color="000000" w:sz="4" w:space="0"/>
            </w:tcBorders>
            <w:tcW w:w="1074" w:type="pct"/>
            <w:vAlign w:val="center"/>
            <w:textDirection w:val="lrTb"/>
            <w:noWrap w:val="false"/>
          </w:tcPr>
          <w:p>
            <w:pPr>
              <w:pStyle w:val="939"/>
              <w:ind w:left="34"/>
              <w:jc w:val="center"/>
              <w:spacing w:before="40" w:after="40"/>
              <w:rPr>
                <w:bCs w:val="0"/>
              </w:rPr>
            </w:pPr>
            <w:r>
              <w:rPr>
                <w:b w:val="0"/>
                <w:bCs w:val="0"/>
              </w:rPr>
              <w:t xml:space="preserve">0,012%</w:t>
            </w:r>
            <w:r>
              <w:rPr>
                <w:bCs w:val="0"/>
              </w:rPr>
              <w:t xml:space="preserve">, </w:t>
            </w:r>
            <w:r>
              <w:rPr>
                <w:bCs w:val="0"/>
              </w:rPr>
            </w:r>
            <w:r>
              <w:rPr>
                <w:bCs w:val="0"/>
              </w:rPr>
            </w:r>
          </w:p>
          <w:p>
            <w:pPr>
              <w:pStyle w:val="925"/>
              <w:jc w:val="center"/>
              <w:spacing w:before="40" w:after="40"/>
              <w:rPr>
                <w:rFonts w:eastAsia="Arial Unicode MS"/>
              </w:rPr>
            </w:pPr>
            <w:r>
              <w:rPr>
                <w:bCs/>
              </w:rPr>
              <w:t xml:space="preserve">но </w:t>
            </w:r>
            <w:r>
              <w:t xml:space="preserve">не более 2 млн. руб.</w:t>
            </w:r>
            <w:r>
              <w:rPr>
                <w:rFonts w:eastAsia="Arial Unicode MS"/>
              </w:rPr>
            </w:r>
            <w:r>
              <w:rPr>
                <w:rFonts w:eastAsia="Arial Unicode MS"/>
              </w:rPr>
            </w:r>
          </w:p>
        </w:tc>
        <w:tc>
          <w:tcPr>
            <w:tcW w:w="1072" w:type="pct"/>
            <w:vAlign w:val="center"/>
            <w:vMerge w:val="continue"/>
            <w:textDirection w:val="lrTb"/>
            <w:noWrap w:val="false"/>
          </w:tcPr>
          <w:p>
            <w:pPr>
              <w:pStyle w:val="925"/>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bl>
    <w:p>
      <w:pPr>
        <w:pStyle w:val="927"/>
        <w:jc w:val="left"/>
        <w:spacing w:before="40"/>
        <w:rPr>
          <w:b w:val="0"/>
          <w:bCs w:val="0"/>
          <w:iCs/>
          <w:sz w:val="20"/>
          <w:szCs w:val="20"/>
        </w:rPr>
      </w:pPr>
      <w:r>
        <w:rPr>
          <w:b w:val="0"/>
          <w:bCs w:val="0"/>
          <w:iCs/>
          <w:sz w:val="20"/>
          <w:szCs w:val="20"/>
        </w:rPr>
        <w:t xml:space="preserve">Справочно:</w:t>
      </w:r>
      <w:r>
        <w:rPr>
          <w:b w:val="0"/>
          <w:bCs w:val="0"/>
          <w:iCs/>
          <w:sz w:val="20"/>
          <w:szCs w:val="20"/>
        </w:rPr>
      </w:r>
      <w:r>
        <w:rPr>
          <w:b w:val="0"/>
          <w:bCs w:val="0"/>
          <w:iCs/>
          <w:sz w:val="20"/>
          <w:szCs w:val="20"/>
        </w:rPr>
      </w:r>
    </w:p>
    <w:p>
      <w:pPr>
        <w:pStyle w:val="927"/>
        <w:jc w:val="both"/>
        <w:rPr>
          <w:b w:val="0"/>
          <w:bCs w:val="0"/>
          <w:sz w:val="20"/>
          <w:szCs w:val="20"/>
        </w:rPr>
      </w:pPr>
      <w:r>
        <w:rPr>
          <w:b w:val="0"/>
          <w:bCs w:val="0"/>
          <w:iCs/>
          <w:sz w:val="20"/>
          <w:szCs w:val="20"/>
        </w:rPr>
        <w:t xml:space="preserve">Облигации</w:t>
      </w:r>
      <w:r>
        <w:rPr>
          <w:b w:val="0"/>
          <w:bCs w:val="0"/>
          <w:sz w:val="20"/>
          <w:szCs w:val="20"/>
        </w:rPr>
        <w:t xml:space="preserve"> - облигации, выпущенные в документарной форме с обязательным централизованным хранением в уполномоченном депозитарии сертификата, оформленного на весь объем выпуска.</w:t>
      </w:r>
      <w:r>
        <w:rPr>
          <w:b w:val="0"/>
          <w:bCs w:val="0"/>
          <w:sz w:val="20"/>
          <w:szCs w:val="20"/>
        </w:rPr>
      </w:r>
      <w:r>
        <w:rPr>
          <w:b w:val="0"/>
          <w:bCs w:val="0"/>
          <w:sz w:val="20"/>
          <w:szCs w:val="20"/>
        </w:rPr>
      </w:r>
    </w:p>
    <w:p>
      <w:pPr>
        <w:pStyle w:val="925"/>
        <w:jc w:val="both"/>
        <w:rPr>
          <w:sz w:val="6"/>
          <w:szCs w:val="6"/>
        </w:rPr>
        <w:pBdr>
          <w:bottom w:val="single" w:color="000000" w:sz="4" w:space="1"/>
        </w:pBdr>
      </w:pPr>
      <w:r>
        <w:rPr>
          <w:sz w:val="6"/>
          <w:szCs w:val="6"/>
        </w:rPr>
      </w:r>
      <w:r>
        <w:rPr>
          <w:sz w:val="6"/>
          <w:szCs w:val="6"/>
        </w:rPr>
      </w:r>
      <w:r>
        <w:rPr>
          <w:sz w:val="6"/>
          <w:szCs w:val="6"/>
        </w:rPr>
      </w:r>
    </w:p>
    <w:p>
      <w:pPr>
        <w:pStyle w:val="946"/>
        <w:ind w:left="0" w:right="-17"/>
        <w:jc w:val="both"/>
        <w:spacing w:after="0"/>
      </w:pPr>
      <w:r>
        <w:rPr>
          <w:rStyle w:val="954"/>
        </w:rPr>
        <w:t xml:space="preserve">1</w:t>
      </w:r>
      <w:r>
        <w:t xml:space="preserve"> Под начисленным периодом понимается трехмесячный период или его часть, за который клиентом оплачена соответствующая комиссия по аккредитиву.</w:t>
      </w:r>
      <w:r/>
    </w:p>
    <w:p>
      <w:pPr>
        <w:pStyle w:val="946"/>
        <w:ind w:left="0" w:right="-17"/>
        <w:jc w:val="both"/>
        <w:spacing w:after="0"/>
      </w:pPr>
      <w:r>
        <w:rPr>
          <w:rStyle w:val="954"/>
        </w:rPr>
        <w:t xml:space="preserve">2</w:t>
      </w:r>
      <w:r>
        <w:t xml:space="preserve">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 отсчет кварталов производится с даты открытия аккредитива.</w:t>
      </w:r>
      <w:r/>
    </w:p>
    <w:p>
      <w:pPr>
        <w:pStyle w:val="946"/>
        <w:ind w:left="0" w:right="-17"/>
        <w:jc w:val="both"/>
        <w:spacing w:after="0"/>
        <w:rPr>
          <w:bCs/>
        </w:rPr>
      </w:pPr>
      <w:r>
        <w:rPr>
          <w:rStyle w:val="954"/>
        </w:rPr>
        <w:t xml:space="preserve">3</w:t>
      </w:r>
      <w:r>
        <w:t xml:space="preserve"> </w:t>
      </w:r>
      <w:r>
        <w:t xml:space="preserve">Расчет производится исходя из действующей суммы обязательства по состоянию на первый день квартала; отсчет кварталов производится с даты выдачи обязательства включительно</w:t>
      </w:r>
      <w:r>
        <w:rPr>
          <w:bCs/>
        </w:rPr>
        <w:t xml:space="preserve">.</w:t>
      </w:r>
      <w:r>
        <w:rPr>
          <w:bCs/>
        </w:rPr>
      </w:r>
      <w:r>
        <w:rPr>
          <w:bCs/>
        </w:rPr>
      </w:r>
    </w:p>
    <w:p>
      <w:pPr>
        <w:pStyle w:val="946"/>
        <w:ind w:left="0" w:right="-17"/>
        <w:jc w:val="both"/>
        <w:spacing w:after="0"/>
        <w:rPr>
          <w:bCs/>
        </w:rPr>
      </w:pPr>
      <w:r>
        <w:rPr>
          <w:rStyle w:val="954"/>
        </w:rPr>
        <w:t xml:space="preserve">4</w:t>
      </w:r>
      <w:r>
        <w:t xml:space="preserve"> Порядок расчета и взимания комиссии осуществляется на основании Условий осуществления депозитарной деятельности. </w:t>
      </w:r>
      <w:r>
        <w:rPr>
          <w:bCs/>
        </w:rPr>
      </w:r>
      <w:r>
        <w:rPr>
          <w:bCs/>
        </w:rPr>
      </w:r>
    </w:p>
    <w:p>
      <w:pPr>
        <w:pStyle w:val="946"/>
        <w:ind w:left="0" w:right="-17"/>
        <w:jc w:val="both"/>
        <w:spacing w:after="0"/>
        <w:rPr>
          <w:bCs/>
          <w:iCs/>
        </w:rPr>
      </w:pPr>
      <w:r>
        <w:rPr>
          <w:rStyle w:val="954"/>
        </w:rPr>
        <w:t xml:space="preserve">5 </w:t>
      </w:r>
      <w:r>
        <w:t xml:space="preserve">Сумма к распределению </w:t>
      </w:r>
      <w:r>
        <w:t xml:space="preserve">–</w:t>
      </w:r>
      <w:r>
        <w:t xml:space="preserve"> сумма денежных средств, поступивших от эмитента облигаций для перечисления Депонентам уполномоченного депозитария</w:t>
      </w:r>
      <w:r>
        <w:rPr>
          <w:bCs/>
          <w:iCs/>
        </w:rPr>
        <w:t xml:space="preserve">.</w:t>
      </w:r>
      <w:r>
        <w:rPr>
          <w:bCs/>
          <w:iCs/>
        </w:rPr>
      </w:r>
      <w:r>
        <w:rPr>
          <w:bCs/>
          <w:iCs/>
        </w:rPr>
      </w:r>
    </w:p>
    <w:p>
      <w:pPr>
        <w:pStyle w:val="946"/>
        <w:ind w:left="0" w:right="-17"/>
        <w:jc w:val="both"/>
        <w:spacing w:after="0"/>
        <w:rPr>
          <w:bCs/>
          <w:iCs/>
          <w:sz w:val="24"/>
          <w:szCs w:val="24"/>
        </w:rPr>
      </w:pPr>
      <w:r>
        <w:rPr>
          <w:bCs/>
          <w:iCs/>
          <w:sz w:val="24"/>
          <w:szCs w:val="24"/>
        </w:rPr>
      </w:r>
      <w:r>
        <w:rPr>
          <w:bCs/>
          <w:iCs/>
          <w:sz w:val="24"/>
          <w:szCs w:val="24"/>
        </w:rPr>
      </w:r>
      <w:r>
        <w:rPr>
          <w:bCs/>
          <w:iCs/>
          <w:sz w:val="24"/>
          <w:szCs w:val="24"/>
        </w:rPr>
      </w:r>
    </w:p>
    <w:p>
      <w:pPr>
        <w:pStyle w:val="946"/>
        <w:ind w:left="0" w:right="-17"/>
        <w:jc w:val="both"/>
        <w:spacing w:after="0"/>
        <w:rPr>
          <w:bCs/>
          <w:iCs/>
          <w:sz w:val="24"/>
          <w:szCs w:val="24"/>
        </w:rPr>
      </w:pPr>
      <w:r>
        <w:rPr>
          <w:bCs/>
          <w:iCs/>
          <w:sz w:val="24"/>
          <w:szCs w:val="24"/>
        </w:rPr>
      </w:r>
      <w:r>
        <w:rPr>
          <w:bCs/>
          <w:iCs/>
          <w:sz w:val="24"/>
          <w:szCs w:val="24"/>
        </w:rPr>
      </w:r>
      <w:r>
        <w:rPr>
          <w:bCs/>
          <w:iCs/>
          <w:sz w:val="24"/>
          <w:szCs w:val="24"/>
        </w:rPr>
      </w:r>
    </w:p>
    <w:p>
      <w:pPr>
        <w:pStyle w:val="946"/>
        <w:ind w:left="0" w:right="-17"/>
        <w:jc w:val="both"/>
        <w:spacing w:after="0"/>
        <w:rPr>
          <w:bCs/>
          <w:iCs/>
          <w:sz w:val="24"/>
          <w:szCs w:val="24"/>
        </w:rPr>
      </w:pPr>
      <w:r>
        <w:rPr>
          <w:bCs/>
          <w:iCs/>
          <w:sz w:val="24"/>
          <w:szCs w:val="24"/>
        </w:rPr>
      </w:r>
      <w:r>
        <w:rPr>
          <w:bCs/>
          <w:iCs/>
          <w:sz w:val="24"/>
          <w:szCs w:val="24"/>
        </w:rPr>
      </w:r>
      <w:r>
        <w:rPr>
          <w:bCs/>
          <w:iCs/>
          <w:sz w:val="24"/>
          <w:szCs w:val="24"/>
        </w:rPr>
      </w:r>
    </w:p>
    <w:p>
      <w:pPr>
        <w:pStyle w:val="925"/>
        <w:jc w:val="center"/>
        <w:spacing w:after="120"/>
        <w:tabs>
          <w:tab w:val="center" w:pos="1260" w:leader="none"/>
          <w:tab w:val="right" w:pos="9355" w:leader="none"/>
        </w:tabs>
        <w:rPr>
          <w:b/>
          <w:sz w:val="24"/>
        </w:rPr>
      </w:pPr>
      <w:r>
        <w:rPr>
          <w:b/>
          <w:sz w:val="24"/>
        </w:rPr>
        <w:t xml:space="preserve">11. Операции с монетами из драгоценных металлов</w:t>
      </w:r>
      <w:r>
        <w:rPr>
          <w:b/>
          <w:sz w:val="24"/>
        </w:rPr>
      </w:r>
      <w:r>
        <w:rPr>
          <w:b/>
          <w:sz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819"/>
        <w:gridCol w:w="2268"/>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59" w:type="dxa"/>
            <w:vAlign w:val="center"/>
            <w:textDirection w:val="lrTb"/>
            <w:noWrap w:val="false"/>
          </w:tcPr>
          <w:p>
            <w:pPr>
              <w:pStyle w:val="925"/>
              <w:jc w:val="center"/>
              <w:tabs>
                <w:tab w:val="center" w:pos="1260" w:leader="none"/>
                <w:tab w:val="right" w:pos="9355" w:leader="none"/>
              </w:tabs>
            </w:pPr>
            <w:r>
              <w:rPr>
                <w:bCs/>
              </w:rPr>
              <w:t xml:space="preserve">№ п/п</w:t>
            </w:r>
            <w:r/>
          </w:p>
        </w:tc>
        <w:tc>
          <w:tcPr>
            <w:tcW w:w="4819" w:type="dxa"/>
            <w:vAlign w:val="center"/>
            <w:textDirection w:val="lrTb"/>
            <w:noWrap w:val="false"/>
          </w:tcPr>
          <w:p>
            <w:pPr>
              <w:pStyle w:val="925"/>
              <w:ind w:firstLine="34"/>
              <w:jc w:val="center"/>
              <w:tabs>
                <w:tab w:val="center" w:pos="1260" w:leader="none"/>
                <w:tab w:val="right" w:pos="9355" w:leader="none"/>
              </w:tabs>
            </w:pPr>
            <w:r>
              <w:rPr>
                <w:bCs/>
              </w:rPr>
              <w:t xml:space="preserve">Наименование услуги</w:t>
            </w:r>
            <w:r/>
          </w:p>
        </w:tc>
        <w:tc>
          <w:tcPr>
            <w:tcW w:w="2268" w:type="dxa"/>
            <w:vAlign w:val="center"/>
            <w:textDirection w:val="lrTb"/>
            <w:noWrap w:val="false"/>
          </w:tcPr>
          <w:p>
            <w:pPr>
              <w:pStyle w:val="925"/>
              <w:jc w:val="center"/>
              <w:tabs>
                <w:tab w:val="center" w:pos="1260" w:leader="none"/>
                <w:tab w:val="right" w:pos="9355" w:leader="none"/>
              </w:tabs>
            </w:pPr>
            <w:r>
              <w:rPr>
                <w:bCs/>
              </w:rPr>
              <w:t xml:space="preserve">Тариф</w:t>
            </w:r>
            <w:r/>
          </w:p>
        </w:tc>
        <w:tc>
          <w:tcPr>
            <w:tcW w:w="2127" w:type="dxa"/>
            <w:vAlign w:val="center"/>
            <w:textDirection w:val="lrTb"/>
            <w:noWrap w:val="false"/>
          </w:tcPr>
          <w:p>
            <w:pPr>
              <w:pStyle w:val="925"/>
              <w:jc w:val="center"/>
              <w:tabs>
                <w:tab w:val="center" w:pos="1260" w:leader="none"/>
                <w:tab w:val="right" w:pos="9355" w:leader="none"/>
              </w:tabs>
            </w:pPr>
            <w:r>
              <w:rPr>
                <w:bCs/>
              </w:rP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925"/>
              <w:jc w:val="center"/>
              <w:spacing w:before="40"/>
              <w:tabs>
                <w:tab w:val="center" w:pos="1260" w:leader="none"/>
                <w:tab w:val="right" w:pos="9355" w:leader="none"/>
              </w:tabs>
            </w:pPr>
            <w:r>
              <w:t xml:space="preserve">11.1.</w:t>
            </w:r>
            <w:r/>
          </w:p>
        </w:tc>
        <w:tc>
          <w:tcPr>
            <w:tcBorders>
              <w:bottom w:val="single" w:color="000000" w:sz="4" w:space="0"/>
            </w:tcBorders>
            <w:tcW w:w="4819" w:type="dxa"/>
            <w:vAlign w:val="top"/>
            <w:textDirection w:val="lrTb"/>
            <w:noWrap w:val="false"/>
          </w:tcPr>
          <w:p>
            <w:pPr>
              <w:pStyle w:val="925"/>
              <w:jc w:val="both"/>
              <w:spacing w:before="40"/>
              <w:tabs>
                <w:tab w:val="center" w:pos="1260" w:leader="none"/>
                <w:tab w:val="right" w:pos="9355" w:leader="none"/>
              </w:tabs>
            </w:pPr>
            <w: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p>
          <w:p>
            <w:pPr>
              <w:pStyle w:val="925"/>
              <w:ind w:firstLine="175"/>
              <w:tabs>
                <w:tab w:val="right" w:pos="9355" w:leader="none"/>
              </w:tabs>
            </w:pPr>
            <w:r>
              <w:t xml:space="preserve">Характеристика и количество монет:</w:t>
            </w:r>
            <w:r/>
          </w:p>
          <w:p>
            <w:pPr>
              <w:pStyle w:val="925"/>
              <w:ind w:firstLine="34"/>
              <w:tabs>
                <w:tab w:val="center" w:pos="426" w:leader="none"/>
                <w:tab w:val="right" w:pos="9355" w:leader="none"/>
              </w:tabs>
            </w:pPr>
            <w:r>
              <w:t xml:space="preserve">- золото, качество чеканки «анциркулейтед», 7,78 г</w:t>
            </w:r>
            <w:r/>
          </w:p>
          <w:p>
            <w:pPr>
              <w:pStyle w:val="925"/>
              <w:ind w:firstLine="175"/>
              <w:jc w:val="both"/>
              <w:tabs>
                <w:tab w:val="center" w:pos="1260" w:leader="none"/>
                <w:tab w:val="right" w:pos="9355" w:leader="none"/>
              </w:tabs>
            </w:pPr>
            <w:r>
              <w:t xml:space="preserve">от 300 до 499 шт.</w:t>
            </w:r>
            <w:r/>
          </w:p>
          <w:p>
            <w:pPr>
              <w:pStyle w:val="925"/>
              <w:ind w:firstLine="175"/>
              <w:jc w:val="both"/>
              <w:tabs>
                <w:tab w:val="center" w:pos="1260" w:leader="none"/>
                <w:tab w:val="right" w:pos="9355" w:leader="none"/>
              </w:tabs>
            </w:pPr>
            <w:r>
              <w:t xml:space="preserve">от 500 до 999 шт.</w:t>
            </w:r>
            <w:r/>
          </w:p>
          <w:p>
            <w:pPr>
              <w:pStyle w:val="925"/>
              <w:ind w:firstLine="175"/>
              <w:jc w:val="both"/>
              <w:tabs>
                <w:tab w:val="center" w:pos="1260" w:leader="none"/>
                <w:tab w:val="right" w:pos="9355" w:leader="none"/>
              </w:tabs>
            </w:pPr>
            <w:r>
              <w:t xml:space="preserve">от 1000 до 1499 шт.</w:t>
            </w:r>
            <w:r/>
          </w:p>
          <w:p>
            <w:pPr>
              <w:pStyle w:val="925"/>
              <w:ind w:firstLine="175"/>
              <w:jc w:val="both"/>
              <w:tabs>
                <w:tab w:val="center" w:pos="1260" w:leader="none"/>
                <w:tab w:val="right" w:pos="9355" w:leader="none"/>
              </w:tabs>
            </w:pPr>
            <w:r>
              <w:t xml:space="preserve">от 1500 и более шт.</w:t>
            </w:r>
            <w:r/>
          </w:p>
          <w:p>
            <w:pPr>
              <w:pStyle w:val="925"/>
              <w:ind w:left="34"/>
              <w:tabs>
                <w:tab w:val="center" w:pos="34" w:leader="none"/>
                <w:tab w:val="right" w:pos="9355" w:leader="none"/>
              </w:tabs>
            </w:pPr>
            <w:r>
              <w:t xml:space="preserve">- серебро, качество чеканки «анциркулейтед», 31,1 г</w:t>
            </w:r>
            <w:r/>
          </w:p>
          <w:p>
            <w:pPr>
              <w:pStyle w:val="925"/>
              <w:ind w:firstLine="175"/>
              <w:jc w:val="both"/>
              <w:tabs>
                <w:tab w:val="center" w:pos="1260" w:leader="none"/>
                <w:tab w:val="right" w:pos="9355" w:leader="none"/>
              </w:tabs>
            </w:pPr>
            <w:r>
              <w:t xml:space="preserve">от 500 и более шт.</w:t>
            </w:r>
            <w:r/>
          </w:p>
        </w:tc>
        <w:tc>
          <w:tcPr>
            <w:tcBorders>
              <w:bottom w:val="single" w:color="000000" w:sz="4" w:space="0"/>
            </w:tcBorders>
            <w:tcW w:w="2268" w:type="dxa"/>
            <w:vAlign w:val="top"/>
            <w:textDirection w:val="lrTb"/>
            <w:noWrap w:val="false"/>
          </w:tcPr>
          <w:p>
            <w:pPr>
              <w:pStyle w:val="925"/>
              <w:ind w:firstLine="709"/>
              <w:jc w:val="both"/>
              <w:spacing w:before="40"/>
              <w:tabs>
                <w:tab w:val="center" w:pos="1260" w:leader="none"/>
                <w:tab w:val="right" w:pos="9355" w:leader="none"/>
              </w:tabs>
            </w:pPr>
            <w:r/>
            <w:r/>
          </w:p>
          <w:p>
            <w:pPr>
              <w:pStyle w:val="925"/>
              <w:ind w:firstLine="709"/>
              <w:jc w:val="both"/>
              <w:tabs>
                <w:tab w:val="center" w:pos="1260" w:leader="none"/>
                <w:tab w:val="right" w:pos="9355" w:leader="none"/>
              </w:tabs>
            </w:pPr>
            <w:r/>
            <w:r/>
          </w:p>
          <w:p>
            <w:pPr>
              <w:pStyle w:val="925"/>
              <w:ind w:firstLine="709"/>
              <w:jc w:val="both"/>
              <w:tabs>
                <w:tab w:val="center" w:pos="1260" w:leader="none"/>
                <w:tab w:val="right" w:pos="9355" w:leader="none"/>
              </w:tabs>
            </w:pPr>
            <w:r/>
            <w:r/>
          </w:p>
          <w:p>
            <w:pPr>
              <w:pStyle w:val="925"/>
              <w:ind w:firstLine="709"/>
              <w:jc w:val="both"/>
              <w:tabs>
                <w:tab w:val="center" w:pos="1260" w:leader="none"/>
                <w:tab w:val="right" w:pos="9355" w:leader="none"/>
              </w:tabs>
            </w:pPr>
            <w:r/>
            <w:r/>
          </w:p>
          <w:p>
            <w:pPr>
              <w:pStyle w:val="925"/>
              <w:ind w:firstLine="709"/>
              <w:jc w:val="both"/>
              <w:tabs>
                <w:tab w:val="center" w:pos="1260" w:leader="none"/>
                <w:tab w:val="right" w:pos="9355" w:leader="none"/>
              </w:tabs>
            </w:pPr>
            <w:r/>
            <w:r/>
          </w:p>
          <w:p>
            <w:pPr>
              <w:pStyle w:val="925"/>
              <w:ind w:firstLine="34"/>
              <w:jc w:val="center"/>
              <w:tabs>
                <w:tab w:val="center" w:pos="1260" w:leader="none"/>
                <w:tab w:val="right" w:pos="9355" w:leader="none"/>
              </w:tabs>
            </w:pPr>
            <w:r>
              <w:t xml:space="preserve">300 руб./шт.</w:t>
            </w:r>
            <w:r/>
          </w:p>
          <w:p>
            <w:pPr>
              <w:pStyle w:val="925"/>
              <w:ind w:firstLine="34"/>
              <w:jc w:val="center"/>
              <w:tabs>
                <w:tab w:val="center" w:pos="1260" w:leader="none"/>
                <w:tab w:val="right" w:pos="9355" w:leader="none"/>
              </w:tabs>
            </w:pPr>
            <w:r>
              <w:t xml:space="preserve">280 руб./шт.</w:t>
            </w:r>
            <w:r/>
          </w:p>
          <w:p>
            <w:pPr>
              <w:pStyle w:val="925"/>
              <w:ind w:firstLine="34"/>
              <w:jc w:val="center"/>
              <w:tabs>
                <w:tab w:val="center" w:pos="1260" w:leader="none"/>
                <w:tab w:val="right" w:pos="9355" w:leader="none"/>
              </w:tabs>
            </w:pPr>
            <w:r>
              <w:t xml:space="preserve">260 руб./шт.</w:t>
            </w:r>
            <w:r/>
          </w:p>
          <w:p>
            <w:pPr>
              <w:pStyle w:val="925"/>
              <w:ind w:firstLine="34"/>
              <w:jc w:val="center"/>
              <w:tabs>
                <w:tab w:val="center" w:pos="1260" w:leader="none"/>
                <w:tab w:val="right" w:pos="9355" w:leader="none"/>
              </w:tabs>
            </w:pPr>
            <w:r>
              <w:t xml:space="preserve">240 руб./шт.</w:t>
            </w:r>
            <w:r/>
          </w:p>
          <w:p>
            <w:pPr>
              <w:pStyle w:val="925"/>
              <w:ind w:firstLine="34"/>
              <w:jc w:val="center"/>
              <w:tabs>
                <w:tab w:val="center" w:pos="1260" w:leader="none"/>
                <w:tab w:val="right" w:pos="9355" w:leader="none"/>
              </w:tabs>
            </w:pPr>
            <w:r/>
            <w:r/>
          </w:p>
          <w:p>
            <w:pPr>
              <w:pStyle w:val="925"/>
              <w:ind w:firstLine="34"/>
              <w:jc w:val="center"/>
              <w:tabs>
                <w:tab w:val="center" w:pos="1260" w:leader="none"/>
                <w:tab w:val="right" w:pos="9355" w:leader="none"/>
              </w:tabs>
            </w:pPr>
            <w:r>
              <w:t xml:space="preserve">150 руб./шт.</w:t>
            </w:r>
            <w:r/>
          </w:p>
        </w:tc>
        <w:tc>
          <w:tcPr>
            <w:tcBorders>
              <w:bottom w:val="single" w:color="000000" w:sz="4" w:space="0"/>
            </w:tcBorders>
            <w:tcW w:w="2127" w:type="dxa"/>
            <w:vAlign w:val="top"/>
            <w:textDirection w:val="lrTb"/>
            <w:noWrap w:val="false"/>
          </w:tcPr>
          <w:p>
            <w:pPr>
              <w:pStyle w:val="925"/>
              <w:jc w:val="both"/>
              <w:spacing w:before="40"/>
              <w:tabs>
                <w:tab w:val="center" w:pos="1260" w:leader="none"/>
                <w:tab w:val="right" w:pos="9355" w:leader="none"/>
              </w:tabs>
            </w:pPr>
            <w:r>
              <w:t xml:space="preserve">Комиссия включает НДС</w:t>
            </w:r>
            <w:r/>
          </w:p>
        </w:tc>
      </w:tr>
    </w:tbl>
    <w:p>
      <w:pPr>
        <w:pStyle w:val="925"/>
        <w:jc w:val="center"/>
        <w:rPr>
          <w:b/>
          <w:bCs/>
          <w:sz w:val="24"/>
          <w:szCs w:val="24"/>
        </w:rPr>
      </w:pPr>
      <w:r>
        <w:rPr>
          <w:b/>
          <w:bCs/>
          <w:sz w:val="24"/>
          <w:szCs w:val="24"/>
        </w:rPr>
      </w:r>
      <w:r>
        <w:rPr>
          <w:b/>
          <w:bCs/>
          <w:sz w:val="24"/>
          <w:szCs w:val="24"/>
        </w:rPr>
      </w:r>
      <w:r>
        <w:rPr>
          <w:b/>
          <w:bCs/>
          <w:sz w:val="24"/>
          <w:szCs w:val="24"/>
        </w:rPr>
      </w:r>
    </w:p>
    <w:p>
      <w:pPr>
        <w:pStyle w:val="925"/>
        <w:jc w:val="center"/>
        <w:rPr>
          <w:b/>
          <w:bCs/>
          <w:sz w:val="24"/>
          <w:szCs w:val="24"/>
        </w:rPr>
      </w:pPr>
      <w:r>
        <w:rPr>
          <w:b/>
          <w:bCs/>
          <w:sz w:val="24"/>
          <w:szCs w:val="24"/>
        </w:rPr>
      </w:r>
      <w:r>
        <w:rPr>
          <w:b/>
          <w:bCs/>
          <w:sz w:val="24"/>
          <w:szCs w:val="24"/>
        </w:rPr>
      </w:r>
      <w:r>
        <w:rPr>
          <w:b/>
          <w:bCs/>
          <w:sz w:val="24"/>
          <w:szCs w:val="24"/>
        </w:rPr>
      </w:r>
    </w:p>
    <w:p>
      <w:pPr>
        <w:pStyle w:val="925"/>
        <w:jc w:val="center"/>
        <w:rPr>
          <w:b/>
          <w:bCs/>
          <w:sz w:val="24"/>
          <w:szCs w:val="24"/>
        </w:rPr>
      </w:pPr>
      <w:r>
        <w:rPr>
          <w:b/>
          <w:bCs/>
          <w:sz w:val="24"/>
          <w:szCs w:val="24"/>
        </w:rPr>
      </w:r>
      <w:r>
        <w:rPr>
          <w:b/>
          <w:bCs/>
          <w:sz w:val="24"/>
          <w:szCs w:val="24"/>
        </w:rPr>
      </w:r>
      <w:r>
        <w:rPr>
          <w:b/>
          <w:bCs/>
          <w:sz w:val="24"/>
          <w:szCs w:val="24"/>
        </w:rPr>
      </w:r>
    </w:p>
    <w:p>
      <w:pPr>
        <w:pStyle w:val="925"/>
        <w:jc w:val="center"/>
        <w:spacing w:after="120"/>
        <w:rPr>
          <w:b/>
          <w:bCs/>
          <w:sz w:val="24"/>
          <w:szCs w:val="24"/>
        </w:rPr>
      </w:pPr>
      <w:r>
        <w:rPr>
          <w:b/>
          <w:bCs/>
          <w:sz w:val="24"/>
          <w:szCs w:val="24"/>
        </w:rPr>
      </w:r>
      <w:r>
        <w:rPr>
          <w:b/>
          <w:bCs/>
          <w:sz w:val="24"/>
          <w:szCs w:val="24"/>
        </w:rPr>
      </w:r>
      <w:r>
        <w:rPr>
          <w:b/>
          <w:bCs/>
          <w:sz w:val="24"/>
          <w:szCs w:val="24"/>
        </w:rPr>
      </w:r>
    </w:p>
    <w:p>
      <w:pPr>
        <w:pStyle w:val="925"/>
        <w:jc w:val="center"/>
        <w:spacing w:after="120"/>
        <w:rPr>
          <w:b/>
          <w:bCs/>
          <w:sz w:val="24"/>
          <w:szCs w:val="24"/>
        </w:rPr>
      </w:pPr>
      <w:r>
        <w:rPr>
          <w:b/>
          <w:bCs/>
          <w:sz w:val="24"/>
          <w:szCs w:val="24"/>
        </w:rPr>
      </w:r>
      <w:r>
        <w:rPr>
          <w:b/>
          <w:bCs/>
          <w:sz w:val="24"/>
          <w:szCs w:val="24"/>
        </w:rPr>
      </w:r>
      <w:r>
        <w:rPr>
          <w:b/>
          <w:bCs/>
          <w:sz w:val="24"/>
          <w:szCs w:val="24"/>
        </w:rPr>
      </w:r>
    </w:p>
    <w:p>
      <w:pPr>
        <w:pStyle w:val="925"/>
        <w:jc w:val="center"/>
        <w:spacing w:after="120"/>
        <w:rPr>
          <w:b/>
          <w:bCs/>
          <w:sz w:val="24"/>
          <w:szCs w:val="24"/>
        </w:rPr>
      </w:pPr>
      <w:r>
        <w:rPr>
          <w:b/>
          <w:bCs/>
          <w:sz w:val="24"/>
          <w:szCs w:val="24"/>
        </w:rPr>
        <w:t xml:space="preserve">12. Услуги перевозки денежной наличности, других ценностей </w:t>
        <w:br w:type="textWrapping" w:clear="all"/>
        <w:t xml:space="preserve">и обслуживания банкоматов, информационно-платежных терминалов </w:t>
      </w:r>
      <w:r>
        <w:rPr>
          <w:b/>
          <w:bCs/>
          <w:sz w:val="24"/>
          <w:szCs w:val="24"/>
        </w:rPr>
      </w:r>
      <w:r>
        <w:rPr>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1"/>
        <w:gridCol w:w="3685"/>
        <w:gridCol w:w="2268"/>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101" w:type="dxa"/>
            <w:vAlign w:val="center"/>
            <w:textDirection w:val="lrTb"/>
            <w:noWrap w:val="false"/>
          </w:tcPr>
          <w:p>
            <w:pPr>
              <w:pStyle w:val="925"/>
              <w:jc w:val="center"/>
              <w:spacing w:before="40" w:after="40"/>
              <w:tabs>
                <w:tab w:val="center" w:pos="1260" w:leader="none"/>
                <w:tab w:val="right" w:pos="9355" w:leader="none"/>
              </w:tabs>
            </w:pPr>
            <w:r>
              <w:rPr>
                <w:bCs/>
              </w:rPr>
              <w:t xml:space="preserve">№ п/п</w:t>
            </w:r>
            <w:r/>
          </w:p>
        </w:tc>
        <w:tc>
          <w:tcPr>
            <w:tcW w:w="3685" w:type="dxa"/>
            <w:vAlign w:val="center"/>
            <w:textDirection w:val="lrTb"/>
            <w:noWrap w:val="false"/>
          </w:tcPr>
          <w:p>
            <w:pPr>
              <w:pStyle w:val="925"/>
              <w:ind w:firstLine="34"/>
              <w:jc w:val="center"/>
              <w:spacing w:before="40" w:after="40"/>
              <w:tabs>
                <w:tab w:val="center" w:pos="1260" w:leader="none"/>
                <w:tab w:val="right" w:pos="9355" w:leader="none"/>
              </w:tabs>
            </w:pPr>
            <w:r>
              <w:rPr>
                <w:bCs/>
              </w:rPr>
              <w:t xml:space="preserve">Наименование услуги</w:t>
            </w:r>
            <w:r/>
          </w:p>
        </w:tc>
        <w:tc>
          <w:tcPr>
            <w:tcW w:w="2268" w:type="dxa"/>
            <w:vAlign w:val="center"/>
            <w:textDirection w:val="lrTb"/>
            <w:noWrap w:val="false"/>
          </w:tcPr>
          <w:p>
            <w:pPr>
              <w:pStyle w:val="925"/>
              <w:jc w:val="center"/>
              <w:spacing w:before="40" w:after="40"/>
              <w:tabs>
                <w:tab w:val="center" w:pos="1260" w:leader="none"/>
                <w:tab w:val="right" w:pos="9355" w:leader="none"/>
              </w:tabs>
            </w:pPr>
            <w:r>
              <w:rPr>
                <w:bCs/>
              </w:rPr>
              <w:t xml:space="preserve">Тариф</w:t>
            </w:r>
            <w:r/>
          </w:p>
        </w:tc>
        <w:tc>
          <w:tcPr>
            <w:tcW w:w="3119" w:type="dxa"/>
            <w:vAlign w:val="center"/>
            <w:textDirection w:val="lrTb"/>
            <w:noWrap w:val="false"/>
          </w:tcPr>
          <w:p>
            <w:pPr>
              <w:pStyle w:val="925"/>
              <w:jc w:val="center"/>
              <w:spacing w:before="40" w:after="40"/>
              <w:tabs>
                <w:tab w:val="center" w:pos="1260" w:leader="none"/>
                <w:tab w:val="right" w:pos="9355" w:leader="none"/>
              </w:tabs>
            </w:pPr>
            <w:r>
              <w:rPr>
                <w:bCs/>
              </w:rP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40" w:after="40"/>
              <w:tabs>
                <w:tab w:val="center" w:pos="1260" w:leader="none"/>
                <w:tab w:val="right" w:pos="9355" w:leader="none"/>
              </w:tabs>
            </w:pPr>
            <w:r>
              <w:t xml:space="preserve">1</w:t>
            </w:r>
            <w:r>
              <w:t xml:space="preserve">2</w:t>
            </w:r>
            <w:r>
              <w:t xml:space="preserve">.1.</w:t>
            </w:r>
            <w:r/>
          </w:p>
        </w:tc>
        <w:tc>
          <w:tcPr>
            <w:tcW w:w="3685" w:type="dxa"/>
            <w:vAlign w:val="top"/>
            <w:textDirection w:val="lrTb"/>
            <w:noWrap w:val="false"/>
          </w:tcPr>
          <w:p>
            <w:pPr>
              <w:pStyle w:val="925"/>
              <w:spacing w:before="40" w:after="40"/>
              <w:tabs>
                <w:tab w:val="center" w:pos="1260" w:leader="none"/>
                <w:tab w:val="right" w:pos="9355" w:leader="none"/>
              </w:tabs>
            </w:pPr>
            <w:r>
              <w:t xml:space="preserve">Доставка денежной наличности из </w:t>
            </w:r>
            <w:r>
              <w:t xml:space="preserve">учреждени</w:t>
            </w:r>
            <w:r>
              <w:t xml:space="preserve">я</w:t>
            </w:r>
            <w:r>
              <w:t xml:space="preserve"> Банка России</w:t>
            </w:r>
            <w:r>
              <w:t xml:space="preserve"> в кредитную организацию</w:t>
            </w:r>
            <w:r/>
          </w:p>
        </w:tc>
        <w:tc>
          <w:tcPr>
            <w:tcW w:w="2268" w:type="dxa"/>
            <w:vAlign w:val="top"/>
            <w:textDirection w:val="lrTb"/>
            <w:noWrap w:val="false"/>
          </w:tcPr>
          <w:p>
            <w:pPr>
              <w:pStyle w:val="925"/>
              <w:ind w:hanging="108"/>
              <w:jc w:val="center"/>
              <w:spacing w:before="40" w:after="40"/>
              <w:tabs>
                <w:tab w:val="center" w:pos="1260" w:leader="none"/>
                <w:tab w:val="right" w:pos="9355" w:leader="none"/>
              </w:tabs>
            </w:pPr>
            <w:r>
              <w:t xml:space="preserve">Не менее 1200 руб.</w:t>
            </w:r>
            <w:r/>
          </w:p>
        </w:tc>
        <w:tc>
          <w:tcPr>
            <w:tcW w:w="3119" w:type="dxa"/>
            <w:vAlign w:val="top"/>
            <w:textDirection w:val="lrTb"/>
            <w:noWrap w:val="false"/>
          </w:tcPr>
          <w:p>
            <w:pPr>
              <w:pStyle w:val="925"/>
              <w:jc w:val="both"/>
              <w:spacing w:before="40" w:after="40"/>
              <w:tabs>
                <w:tab w:val="center" w:pos="1260" w:leader="none"/>
                <w:tab w:val="right" w:pos="9355" w:leader="none"/>
              </w:tabs>
            </w:pPr>
            <w:r>
              <w:rPr>
                <w:bCs/>
              </w:rPr>
              <w:t xml:space="preserve">Комиссия взимается за одну доставку. 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40" w:after="40"/>
              <w:tabs>
                <w:tab w:val="center" w:pos="1260" w:leader="none"/>
                <w:tab w:val="right" w:pos="9355" w:leader="none"/>
              </w:tabs>
            </w:pPr>
            <w:r>
              <w:t xml:space="preserve">12.2.</w:t>
            </w:r>
            <w:r/>
          </w:p>
        </w:tc>
        <w:tc>
          <w:tcPr>
            <w:tcW w:w="3685" w:type="dxa"/>
            <w:vAlign w:val="top"/>
            <w:textDirection w:val="lrTb"/>
            <w:noWrap w:val="false"/>
          </w:tcPr>
          <w:p>
            <w:pPr>
              <w:pStyle w:val="925"/>
              <w:spacing w:before="40" w:after="40"/>
              <w:tabs>
                <w:tab w:val="center" w:pos="1260" w:leader="none"/>
                <w:tab w:val="right" w:pos="9355" w:leader="none"/>
              </w:tabs>
            </w:pPr>
            <w:r>
              <w:t xml:space="preserve">Доставка денежной наличности в </w:t>
            </w:r>
            <w:r>
              <w:t xml:space="preserve">учреждени</w:t>
            </w:r>
            <w:r>
              <w:t xml:space="preserve">е</w:t>
            </w:r>
            <w:r>
              <w:t xml:space="preserve"> Банка России</w:t>
            </w:r>
            <w:r>
              <w:t xml:space="preserve"> из кредитной организации</w:t>
            </w:r>
            <w:r/>
          </w:p>
        </w:tc>
        <w:tc>
          <w:tcPr>
            <w:tcW w:w="2268" w:type="dxa"/>
            <w:vAlign w:val="top"/>
            <w:textDirection w:val="lrTb"/>
            <w:noWrap w:val="false"/>
          </w:tcPr>
          <w:p>
            <w:pPr>
              <w:pStyle w:val="925"/>
              <w:jc w:val="center"/>
              <w:spacing w:before="40" w:after="40"/>
              <w:tabs>
                <w:tab w:val="center" w:pos="1260" w:leader="none"/>
                <w:tab w:val="right" w:pos="9355" w:leader="none"/>
              </w:tabs>
            </w:pPr>
            <w:r>
              <w:t xml:space="preserve">Не менее 1200 руб.</w:t>
            </w:r>
            <w:r/>
          </w:p>
        </w:tc>
        <w:tc>
          <w:tcPr>
            <w:tcW w:w="3119" w:type="dxa"/>
            <w:vAlign w:val="top"/>
            <w:textDirection w:val="lrTb"/>
            <w:noWrap w:val="false"/>
          </w:tcPr>
          <w:p>
            <w:pPr>
              <w:pStyle w:val="925"/>
              <w:ind w:left="-52" w:firstLine="52"/>
              <w:jc w:val="both"/>
              <w:spacing w:before="40" w:after="40"/>
            </w:pPr>
            <w:r>
              <w:rPr>
                <w:bCs/>
              </w:rPr>
              <w:t xml:space="preserve">Комиссия взимается за одну доставку. 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40"/>
              <w:tabs>
                <w:tab w:val="center" w:pos="1260" w:leader="none"/>
                <w:tab w:val="right" w:pos="9355" w:leader="none"/>
              </w:tabs>
            </w:pPr>
            <w:r>
              <w:t xml:space="preserve">12.3.</w:t>
            </w:r>
            <w:r/>
          </w:p>
        </w:tc>
        <w:tc>
          <w:tcPr>
            <w:tcW w:w="3685" w:type="dxa"/>
            <w:vAlign w:val="top"/>
            <w:textDirection w:val="lrTb"/>
            <w:noWrap w:val="false"/>
          </w:tcPr>
          <w:p>
            <w:pPr>
              <w:pStyle w:val="925"/>
              <w:spacing w:before="40"/>
              <w:tabs>
                <w:tab w:val="center" w:pos="1260" w:leader="none"/>
                <w:tab w:val="right" w:pos="9355" w:leader="none"/>
              </w:tabs>
            </w:pPr>
            <w:r>
              <w:t xml:space="preserve">Перевозка д</w:t>
            </w:r>
            <w:r>
              <w:t xml:space="preserve">енежной наличности</w:t>
            </w:r>
            <w:r>
              <w:t xml:space="preserve"> и других ценностей</w:t>
            </w:r>
            <w:r>
              <w:t xml:space="preserve">:</w:t>
            </w:r>
            <w:r/>
          </w:p>
          <w:p>
            <w:pPr>
              <w:pStyle w:val="925"/>
              <w:tabs>
                <w:tab w:val="center" w:pos="1260" w:leader="none"/>
                <w:tab w:val="right" w:pos="9355" w:leader="none"/>
              </w:tabs>
            </w:pPr>
            <w:r>
              <w:t xml:space="preserve">-</w:t>
            </w:r>
            <w:r>
              <w:t xml:space="preserve"> между подразделениями кредитной организации</w:t>
            </w:r>
            <w:r>
              <w:t xml:space="preserve">;</w:t>
            </w:r>
            <w:r/>
          </w:p>
          <w:p>
            <w:pPr>
              <w:pStyle w:val="925"/>
              <w:spacing w:after="40"/>
              <w:tabs>
                <w:tab w:val="center" w:pos="1260" w:leader="none"/>
                <w:tab w:val="right" w:pos="9355" w:leader="none"/>
              </w:tabs>
            </w:pPr>
            <w:r>
              <w:t xml:space="preserve">- </w:t>
            </w:r>
            <w:r>
              <w:t xml:space="preserve">между подразделениями кредитной организации</w:t>
            </w:r>
            <w:r>
              <w:t xml:space="preserve"> и подразделениями </w:t>
            </w:r>
            <w:r>
              <w:br w:type="textWrapping" w:clear="all"/>
            </w:r>
            <w:r>
              <w:t xml:space="preserve">АО «Россельхозбанк»</w:t>
            </w:r>
            <w:r>
              <w:rPr>
                <w:vertAlign w:val="superscript"/>
              </w:rPr>
              <w:t xml:space="preserve">1</w:t>
            </w:r>
            <w:r/>
          </w:p>
        </w:tc>
        <w:tc>
          <w:tcPr>
            <w:tcW w:w="2268" w:type="dxa"/>
            <w:vAlign w:val="top"/>
            <w:textDirection w:val="lrTb"/>
            <w:noWrap w:val="false"/>
          </w:tcPr>
          <w:p>
            <w:pPr>
              <w:pStyle w:val="925"/>
              <w:jc w:val="center"/>
              <w:spacing w:before="40"/>
              <w:tabs>
                <w:tab w:val="center" w:pos="1260" w:leader="none"/>
                <w:tab w:val="right" w:pos="9355" w:leader="none"/>
              </w:tabs>
            </w:pPr>
            <w:r>
              <w:t xml:space="preserve">Н</w:t>
            </w:r>
            <w:r>
              <w:t xml:space="preserve">е менее 0,</w:t>
            </w:r>
            <w:r>
              <w:t xml:space="preserve">01</w:t>
            </w:r>
            <w:r>
              <w:t xml:space="preserve">5% </w:t>
            </w:r>
            <w:r>
              <w:br w:type="textWrapping" w:clear="all"/>
            </w:r>
            <w:r>
              <w:t xml:space="preserve">от суммы, </w:t>
            </w:r>
            <w:r/>
          </w:p>
          <w:p>
            <w:pPr>
              <w:pStyle w:val="925"/>
              <w:jc w:val="center"/>
              <w:tabs>
                <w:tab w:val="center" w:pos="1260" w:leader="none"/>
                <w:tab w:val="right" w:pos="9355" w:leader="none"/>
              </w:tabs>
            </w:pPr>
            <w:r>
              <w:t xml:space="preserve">минимум </w:t>
            </w:r>
            <w:r>
              <w:t xml:space="preserve">120</w:t>
            </w:r>
            <w:r>
              <w:t xml:space="preserve">0 руб.</w:t>
            </w:r>
            <w:r/>
          </w:p>
        </w:tc>
        <w:tc>
          <w:tcPr>
            <w:tcW w:w="3119" w:type="dxa"/>
            <w:vAlign w:val="top"/>
            <w:textDirection w:val="lrTb"/>
            <w:noWrap w:val="false"/>
          </w:tcPr>
          <w:p>
            <w:pPr>
              <w:pStyle w:val="925"/>
              <w:ind w:left="-51" w:firstLine="51"/>
              <w:jc w:val="both"/>
              <w:spacing w:before="40"/>
              <w:rPr>
                <w:bCs/>
              </w:rPr>
            </w:pPr>
            <w:r>
              <w:rPr>
                <w:bCs/>
              </w:rPr>
              <w:t xml:space="preserve">Комиссия взимается </w:t>
            </w:r>
            <w:r>
              <w:rPr>
                <w:bCs/>
              </w:rPr>
              <w:t xml:space="preserve">от суммы перевозимой денежной наличности</w:t>
            </w:r>
            <w:r>
              <w:rPr>
                <w:bCs/>
              </w:rPr>
              <w:t xml:space="preserve"> за один заезд*.</w:t>
            </w:r>
            <w:r>
              <w:rPr>
                <w:bCs/>
              </w:rPr>
            </w:r>
            <w:r>
              <w:rPr>
                <w:bCs/>
              </w:rPr>
            </w:r>
          </w:p>
          <w:p>
            <w:pPr>
              <w:pStyle w:val="925"/>
              <w:ind w:left="-52" w:firstLine="52"/>
              <w:jc w:val="both"/>
              <w:rPr>
                <w:bCs/>
              </w:rPr>
            </w:pPr>
            <w:r>
              <w:rPr>
                <w:bCs/>
              </w:rPr>
              <w:t xml:space="preserve">Комиссия включает </w:t>
            </w:r>
            <w:r>
              <w:rPr>
                <w:bCs/>
              </w:rPr>
              <w:t xml:space="preserve">НДС</w:t>
            </w:r>
            <w:r>
              <w:rPr>
                <w:bCs/>
              </w:rPr>
            </w:r>
            <w:r>
              <w:rPr>
                <w:bCs/>
              </w:rPr>
            </w:r>
          </w:p>
          <w:p>
            <w:pPr>
              <w:pStyle w:val="925"/>
              <w:ind w:left="-52" w:firstLine="52"/>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120" w:after="120"/>
              <w:tabs>
                <w:tab w:val="center" w:pos="1260" w:leader="none"/>
                <w:tab w:val="right" w:pos="9355" w:leader="none"/>
              </w:tabs>
            </w:pPr>
            <w:r>
              <w:t xml:space="preserve">12.4.</w:t>
            </w:r>
            <w:r/>
          </w:p>
        </w:tc>
        <w:tc>
          <w:tcPr>
            <w:gridSpan w:val="3"/>
            <w:tcW w:w="9072" w:type="dxa"/>
            <w:vAlign w:val="top"/>
            <w:textDirection w:val="lrTb"/>
            <w:noWrap w:val="false"/>
          </w:tcPr>
          <w:p>
            <w:pPr>
              <w:pStyle w:val="925"/>
              <w:ind w:left="-52" w:firstLine="52"/>
              <w:jc w:val="both"/>
              <w:spacing w:before="120" w:after="120"/>
              <w:rPr>
                <w:bCs/>
              </w:rPr>
            </w:pPr>
            <w:r>
              <w:t xml:space="preserve">Обслуживание банкоматов кредитной организации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40" w:after="40"/>
              <w:tabs>
                <w:tab w:val="center" w:pos="1260" w:leader="none"/>
                <w:tab w:val="right" w:pos="9355" w:leader="none"/>
              </w:tabs>
            </w:pPr>
            <w:r>
              <w:t xml:space="preserve">12.4.1.</w:t>
            </w:r>
            <w:r/>
          </w:p>
        </w:tc>
        <w:tc>
          <w:tcPr>
            <w:tcW w:w="3685" w:type="dxa"/>
            <w:vAlign w:val="top"/>
            <w:textDirection w:val="lrTb"/>
            <w:noWrap w:val="false"/>
          </w:tcPr>
          <w:p>
            <w:pPr>
              <w:pStyle w:val="925"/>
              <w:spacing w:before="40" w:after="40"/>
              <w:tabs>
                <w:tab w:val="center" w:pos="1260" w:leader="none"/>
                <w:tab w:val="right" w:pos="9355" w:leader="none"/>
              </w:tabs>
            </w:pPr>
            <w:r>
              <w:t xml:space="preserve">Обслуживание банкоматов</w:t>
            </w:r>
            <w:r>
              <w:rPr>
                <w:bCs/>
              </w:rPr>
              <w:t xml:space="preserve">**</w:t>
            </w:r>
            <w:r>
              <w:t xml:space="preserve"> с получением/доставкой кассет банкоматов в кассе(у) кредитной организации</w:t>
            </w:r>
            <w:r/>
          </w:p>
        </w:tc>
        <w:tc>
          <w:tcPr>
            <w:tcW w:w="2268" w:type="dxa"/>
            <w:vAlign w:val="top"/>
            <w:textDirection w:val="lrTb"/>
            <w:noWrap w:val="false"/>
          </w:tcPr>
          <w:p>
            <w:pPr>
              <w:pStyle w:val="925"/>
              <w:jc w:val="center"/>
              <w:spacing w:before="40" w:after="40"/>
              <w:tabs>
                <w:tab w:val="center" w:pos="1260" w:leader="none"/>
                <w:tab w:val="right" w:pos="9355" w:leader="none"/>
              </w:tabs>
            </w:pPr>
            <w:r>
              <w:t xml:space="preserve">Не менее 900 руб.</w:t>
            </w:r>
            <w:r/>
          </w:p>
        </w:tc>
        <w:tc>
          <w:tcPr>
            <w:tcW w:w="3119" w:type="dxa"/>
            <w:vAlign w:val="top"/>
            <w:textDirection w:val="lrTb"/>
            <w:noWrap w:val="false"/>
          </w:tcPr>
          <w:p>
            <w:pPr>
              <w:pStyle w:val="925"/>
              <w:ind w:left="-51" w:firstLine="51"/>
              <w:jc w:val="both"/>
              <w:spacing w:before="40"/>
              <w:rPr>
                <w:bCs/>
              </w:rPr>
            </w:pPr>
            <w:r>
              <w:rPr>
                <w:bCs/>
              </w:rPr>
              <w:t xml:space="preserve">Комиссия взимается за обслуживание одного банкомата. </w:t>
            </w:r>
            <w:r>
              <w:rPr>
                <w:bCs/>
              </w:rPr>
            </w:r>
            <w:r>
              <w:rPr>
                <w:bCs/>
              </w:rPr>
            </w:r>
          </w:p>
          <w:p>
            <w:pPr>
              <w:pStyle w:val="925"/>
              <w:ind w:left="-52" w:firstLine="52"/>
              <w:jc w:val="both"/>
            </w:pPr>
            <w:r>
              <w:rPr>
                <w:bCs/>
              </w:rPr>
              <w:t xml:space="preserve">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40" w:after="40"/>
              <w:tabs>
                <w:tab w:val="center" w:pos="1260" w:leader="none"/>
                <w:tab w:val="right" w:pos="9355" w:leader="none"/>
              </w:tabs>
              <w:rPr>
                <w:vertAlign w:val="superscript"/>
              </w:rPr>
            </w:pPr>
            <w:r>
              <w:t xml:space="preserve">12.4.2.</w:t>
            </w:r>
            <w:r>
              <w:rPr>
                <w:vertAlign w:val="superscript"/>
              </w:rPr>
              <w:t xml:space="preserve">1</w:t>
            </w:r>
            <w:r>
              <w:rPr>
                <w:vertAlign w:val="superscript"/>
              </w:rPr>
            </w:r>
            <w:r>
              <w:rPr>
                <w:vertAlign w:val="superscript"/>
              </w:rPr>
            </w:r>
          </w:p>
        </w:tc>
        <w:tc>
          <w:tcPr>
            <w:tcW w:w="3685" w:type="dxa"/>
            <w:vAlign w:val="top"/>
            <w:textDirection w:val="lrTb"/>
            <w:noWrap w:val="false"/>
          </w:tcPr>
          <w:p>
            <w:pPr>
              <w:pStyle w:val="925"/>
              <w:spacing w:before="40" w:after="40"/>
              <w:tabs>
                <w:tab w:val="center" w:pos="1260" w:leader="none"/>
                <w:tab w:val="right" w:pos="9355" w:leader="none"/>
              </w:tabs>
            </w:pPr>
            <w:r>
              <w:t xml:space="preserve">Кассово-инкассационное о</w:t>
            </w:r>
            <w:r>
              <w:t xml:space="preserve">бслуживание банкоматов</w:t>
            </w:r>
            <w:r>
              <w:rPr>
                <w:bCs/>
              </w:rPr>
              <w:t xml:space="preserve">***</w:t>
            </w:r>
            <w:r/>
          </w:p>
        </w:tc>
        <w:tc>
          <w:tcPr>
            <w:tcW w:w="2268" w:type="dxa"/>
            <w:vAlign w:val="top"/>
            <w:textDirection w:val="lrTb"/>
            <w:noWrap w:val="false"/>
          </w:tcPr>
          <w:p>
            <w:pPr>
              <w:pStyle w:val="925"/>
              <w:jc w:val="center"/>
              <w:spacing w:before="40" w:after="40"/>
              <w:tabs>
                <w:tab w:val="center" w:pos="1260" w:leader="none"/>
                <w:tab w:val="right" w:pos="9355" w:leader="none"/>
              </w:tabs>
            </w:pPr>
            <w:r/>
            <w:r/>
          </w:p>
        </w:tc>
        <w:tc>
          <w:tcPr>
            <w:tcW w:w="3119" w:type="dxa"/>
            <w:vAlign w:val="top"/>
            <w:textDirection w:val="lrTb"/>
            <w:noWrap w:val="false"/>
          </w:tcPr>
          <w:p>
            <w:pPr>
              <w:pStyle w:val="925"/>
              <w:ind w:left="-51" w:firstLine="51"/>
              <w:jc w:val="both"/>
              <w:spacing w:before="40" w:after="40"/>
              <w:rPr>
                <w:bCs/>
              </w:rPr>
            </w:pPr>
            <w:r>
              <w:rPr>
                <w:bCs/>
              </w:rPr>
              <w:t xml:space="preserve">Комиссия взимается за кассово-инкассационное обслуживание одного банкомата</w:t>
            </w:r>
            <w:r>
              <w:rPr>
                <w:bCs/>
              </w:rPr>
            </w:r>
            <w:r>
              <w:rPr>
                <w:bCs/>
              </w:rPr>
            </w:r>
          </w:p>
          <w:p>
            <w:pPr>
              <w:pStyle w:val="925"/>
              <w:ind w:left="-51" w:firstLine="51"/>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40" w:after="40"/>
              <w:tabs>
                <w:tab w:val="center" w:pos="1260" w:leader="none"/>
                <w:tab w:val="right" w:pos="9355" w:leader="none"/>
              </w:tabs>
            </w:pPr>
            <w:r>
              <w:t xml:space="preserve">12.4.2.1.</w:t>
            </w:r>
            <w:r/>
          </w:p>
        </w:tc>
        <w:tc>
          <w:tcPr>
            <w:tcW w:w="3685" w:type="dxa"/>
            <w:vAlign w:val="top"/>
            <w:textDirection w:val="lrTb"/>
            <w:noWrap w:val="false"/>
          </w:tcPr>
          <w:p>
            <w:pPr>
              <w:pStyle w:val="925"/>
              <w:spacing w:before="40" w:after="40"/>
              <w:tabs>
                <w:tab w:val="center" w:pos="1260" w:leader="none"/>
                <w:tab w:val="right" w:pos="9355" w:leader="none"/>
              </w:tabs>
            </w:pPr>
            <w:r>
              <w:t xml:space="preserve">Заезд к банкомату, загрузка/выгрузка кассет в/из банкомат(а) и их доставка </w:t>
              <w:br w:type="textWrapping" w:clear="all"/>
              <w:t xml:space="preserve">в кассу подразделения </w:t>
              <w:br w:type="textWrapping" w:clear="all"/>
              <w:t xml:space="preserve">АО «Россельхозбанк»</w:t>
            </w:r>
            <w:r/>
          </w:p>
        </w:tc>
        <w:tc>
          <w:tcPr>
            <w:tcW w:w="2268" w:type="dxa"/>
            <w:vAlign w:val="top"/>
            <w:textDirection w:val="lrTb"/>
            <w:noWrap w:val="false"/>
          </w:tcPr>
          <w:p>
            <w:pPr>
              <w:pStyle w:val="925"/>
              <w:jc w:val="center"/>
              <w:spacing w:before="40" w:after="40"/>
              <w:tabs>
                <w:tab w:val="center" w:pos="1260" w:leader="none"/>
                <w:tab w:val="right" w:pos="9355" w:leader="none"/>
              </w:tabs>
            </w:pPr>
            <w:r>
              <w:t xml:space="preserve">Не менее 900 руб.</w:t>
            </w:r>
            <w:r/>
          </w:p>
        </w:tc>
        <w:tc>
          <w:tcPr>
            <w:tcW w:w="3119" w:type="dxa"/>
            <w:vAlign w:val="top"/>
            <w:textDirection w:val="lrTb"/>
            <w:noWrap w:val="false"/>
          </w:tcPr>
          <w:p>
            <w:pPr>
              <w:pStyle w:val="925"/>
              <w:ind w:left="-52" w:firstLine="52"/>
              <w:jc w:val="both"/>
              <w:spacing w:before="40" w:after="40"/>
              <w:rPr>
                <w:bCs/>
              </w:rPr>
            </w:pPr>
            <w:r>
              <w:rPr>
                <w:bCs/>
              </w:rPr>
              <w:t xml:space="preserve">Комиссия включает НДС</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40" w:after="40"/>
              <w:tabs>
                <w:tab w:val="center" w:pos="1260" w:leader="none"/>
                <w:tab w:val="right" w:pos="9355" w:leader="none"/>
              </w:tabs>
            </w:pPr>
            <w:r>
              <w:t xml:space="preserve">12.4.2.2.</w:t>
            </w:r>
            <w:r/>
          </w:p>
        </w:tc>
        <w:tc>
          <w:tcPr>
            <w:tcW w:w="3685" w:type="dxa"/>
            <w:vAlign w:val="top"/>
            <w:textDirection w:val="lrTb"/>
            <w:noWrap w:val="false"/>
          </w:tcPr>
          <w:p>
            <w:pPr>
              <w:pStyle w:val="925"/>
              <w:spacing w:before="40" w:after="40"/>
              <w:tabs>
                <w:tab w:val="center" w:pos="1260" w:leader="none"/>
                <w:tab w:val="right" w:pos="9355" w:leader="none"/>
              </w:tabs>
            </w:pPr>
            <w:r>
              <w:t xml:space="preserve">Загрузка денежной наличности в кассеты банкомата/выгрузка денежной наличности </w:t>
            </w:r>
            <w:r>
              <w:t xml:space="preserve">из кассет банкомата </w:t>
            </w:r>
            <w:r>
              <w:t xml:space="preserve">с</w:t>
            </w:r>
            <w:r>
              <w:t xml:space="preserve"> зачисление</w:t>
            </w:r>
            <w:r>
              <w:t xml:space="preserve">м </w:t>
            </w:r>
            <w:r>
              <w:t xml:space="preserve">на </w:t>
            </w:r>
            <w:r>
              <w:t xml:space="preserve">счет респондента</w:t>
            </w:r>
            <w:r/>
          </w:p>
        </w:tc>
        <w:tc>
          <w:tcPr>
            <w:tcW w:w="2268" w:type="dxa"/>
            <w:vAlign w:val="top"/>
            <w:textDirection w:val="lrTb"/>
            <w:noWrap w:val="false"/>
          </w:tcPr>
          <w:p>
            <w:pPr>
              <w:pStyle w:val="925"/>
              <w:jc w:val="center"/>
              <w:spacing w:before="40"/>
              <w:tabs>
                <w:tab w:val="center" w:pos="1260" w:leader="none"/>
                <w:tab w:val="right" w:pos="9355" w:leader="none"/>
              </w:tabs>
            </w:pPr>
            <w:r>
              <w:t xml:space="preserve">Не менее 0,15% </w:t>
            </w:r>
            <w:r/>
          </w:p>
          <w:p>
            <w:pPr>
              <w:pStyle w:val="925"/>
              <w:jc w:val="center"/>
              <w:tabs>
                <w:tab w:val="center" w:pos="1260" w:leader="none"/>
                <w:tab w:val="right" w:pos="9355" w:leader="none"/>
              </w:tabs>
            </w:pPr>
            <w:r>
              <w:t xml:space="preserve">от суммы загруженной/</w:t>
            </w:r>
            <w:r/>
          </w:p>
          <w:p>
            <w:pPr>
              <w:pStyle w:val="925"/>
              <w:jc w:val="center"/>
              <w:spacing w:after="40"/>
              <w:tabs>
                <w:tab w:val="center" w:pos="1260" w:leader="none"/>
                <w:tab w:val="right" w:pos="9355" w:leader="none"/>
              </w:tabs>
            </w:pPr>
            <w:r>
              <w:t xml:space="preserve">выгруженной денежной наличности, минимум 150 руб.</w:t>
            </w:r>
            <w:r/>
          </w:p>
        </w:tc>
        <w:tc>
          <w:tcPr>
            <w:tcW w:w="3119" w:type="dxa"/>
            <w:vAlign w:val="top"/>
            <w:textDirection w:val="lrTb"/>
            <w:noWrap w:val="false"/>
          </w:tcPr>
          <w:p>
            <w:pPr>
              <w:pStyle w:val="925"/>
              <w:ind w:left="-51" w:firstLine="51"/>
              <w:jc w:val="both"/>
              <w:spacing w:before="40" w:after="40"/>
              <w:rPr>
                <w:bCs/>
              </w:rPr>
            </w:pPr>
            <w:r>
              <w:t xml:space="preserve">Комиссия взима</w:t>
            </w:r>
            <w:r>
              <w:t xml:space="preserve">ется в день зачисления на счет р</w:t>
            </w:r>
            <w:r>
              <w:t xml:space="preserve">еспондента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120" w:after="120"/>
              <w:tabs>
                <w:tab w:val="center" w:pos="1260" w:leader="none"/>
                <w:tab w:val="right" w:pos="9355" w:leader="none"/>
              </w:tabs>
            </w:pPr>
            <w:r>
              <w:t xml:space="preserve">12.5.</w:t>
            </w:r>
            <w:r/>
          </w:p>
        </w:tc>
        <w:tc>
          <w:tcPr>
            <w:gridSpan w:val="3"/>
            <w:tcW w:w="9072" w:type="dxa"/>
            <w:vAlign w:val="top"/>
            <w:textDirection w:val="lrTb"/>
            <w:noWrap w:val="false"/>
          </w:tcPr>
          <w:p>
            <w:pPr>
              <w:pStyle w:val="925"/>
              <w:ind w:left="-52" w:firstLine="52"/>
              <w:jc w:val="both"/>
              <w:spacing w:before="120" w:after="120"/>
              <w:rPr>
                <w:bCs/>
              </w:rPr>
            </w:pPr>
            <w:r>
              <w:t xml:space="preserve">Обслуживание информационно-платежных терминалов кредитной организации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40" w:after="40"/>
              <w:tabs>
                <w:tab w:val="center" w:pos="1260" w:leader="none"/>
                <w:tab w:val="right" w:pos="9355" w:leader="none"/>
              </w:tabs>
            </w:pPr>
            <w:r>
              <w:t xml:space="preserve">12.5.1.</w:t>
            </w:r>
            <w:r/>
          </w:p>
        </w:tc>
        <w:tc>
          <w:tcPr>
            <w:tcW w:w="3685" w:type="dxa"/>
            <w:vAlign w:val="top"/>
            <w:textDirection w:val="lrTb"/>
            <w:noWrap w:val="false"/>
          </w:tcPr>
          <w:p>
            <w:pPr>
              <w:pStyle w:val="925"/>
              <w:spacing w:before="40" w:after="40"/>
              <w:tabs>
                <w:tab w:val="center" w:pos="1260" w:leader="none"/>
                <w:tab w:val="right" w:pos="9355" w:leader="none"/>
              </w:tabs>
            </w:pPr>
            <w:r>
              <w:t xml:space="preserve">Обслуживание информационно-платежных терминалов</w:t>
            </w:r>
            <w:r>
              <w:rPr>
                <w:bCs/>
              </w:rPr>
              <w:t xml:space="preserve">**</w:t>
            </w:r>
            <w:r>
              <w:t xml:space="preserve"> с получением/доставкой кассет информационно-платежных терминалов в кассе(у) кредитной организации </w:t>
            </w:r>
            <w:r/>
          </w:p>
        </w:tc>
        <w:tc>
          <w:tcPr>
            <w:tcW w:w="2268" w:type="dxa"/>
            <w:vAlign w:val="top"/>
            <w:textDirection w:val="lrTb"/>
            <w:noWrap w:val="false"/>
          </w:tcPr>
          <w:p>
            <w:pPr>
              <w:pStyle w:val="925"/>
              <w:ind w:firstLine="34"/>
              <w:jc w:val="center"/>
              <w:spacing w:before="40" w:after="40"/>
              <w:tabs>
                <w:tab w:val="center" w:pos="1260" w:leader="none"/>
                <w:tab w:val="right" w:pos="9355" w:leader="none"/>
              </w:tabs>
            </w:pPr>
            <w:r>
              <w:t xml:space="preserve">Не менее 500 руб.</w:t>
            </w:r>
            <w:r/>
          </w:p>
        </w:tc>
        <w:tc>
          <w:tcPr>
            <w:tcW w:w="3119" w:type="dxa"/>
            <w:vAlign w:val="top"/>
            <w:textDirection w:val="lrTb"/>
            <w:noWrap w:val="false"/>
          </w:tcPr>
          <w:p>
            <w:pPr>
              <w:pStyle w:val="925"/>
              <w:ind w:left="-51" w:firstLine="51"/>
              <w:jc w:val="both"/>
              <w:spacing w:before="40"/>
              <w:rPr>
                <w:bCs/>
              </w:rPr>
            </w:pPr>
            <w:r>
              <w:rPr>
                <w:bCs/>
              </w:rPr>
              <w:t xml:space="preserve">Комиссия взимается за обслуживание одного информационно-платежного терминала.</w:t>
            </w:r>
            <w:r>
              <w:rPr>
                <w:bCs/>
              </w:rPr>
            </w:r>
            <w:r>
              <w:rPr>
                <w:bCs/>
              </w:rPr>
            </w:r>
          </w:p>
          <w:p>
            <w:pPr>
              <w:pStyle w:val="925"/>
              <w:ind w:left="-52" w:firstLine="52"/>
              <w:jc w:val="both"/>
            </w:pPr>
            <w:r>
              <w:rPr>
                <w:bCs/>
              </w:rPr>
              <w:t xml:space="preserve">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40" w:after="40"/>
              <w:tabs>
                <w:tab w:val="center" w:pos="1260" w:leader="none"/>
                <w:tab w:val="right" w:pos="9355" w:leader="none"/>
              </w:tabs>
              <w:rPr>
                <w:vertAlign w:val="superscript"/>
              </w:rPr>
            </w:pPr>
            <w:r>
              <w:t xml:space="preserve">12.5.2.</w:t>
            </w:r>
            <w:r>
              <w:rPr>
                <w:vertAlign w:val="superscript"/>
              </w:rPr>
              <w:t xml:space="preserve">1</w:t>
            </w:r>
            <w:r>
              <w:rPr>
                <w:vertAlign w:val="superscript"/>
              </w:rPr>
            </w:r>
            <w:r>
              <w:rPr>
                <w:vertAlign w:val="superscript"/>
              </w:rPr>
            </w:r>
          </w:p>
        </w:tc>
        <w:tc>
          <w:tcPr>
            <w:tcW w:w="3685" w:type="dxa"/>
            <w:vAlign w:val="top"/>
            <w:textDirection w:val="lrTb"/>
            <w:noWrap w:val="false"/>
          </w:tcPr>
          <w:p>
            <w:pPr>
              <w:pStyle w:val="925"/>
              <w:spacing w:before="40" w:after="40"/>
              <w:tabs>
                <w:tab w:val="center" w:pos="1260" w:leader="none"/>
                <w:tab w:val="right" w:pos="9355" w:leader="none"/>
              </w:tabs>
            </w:pPr>
            <w:r>
              <w:t xml:space="preserve">Кассово-инкассационное о</w:t>
            </w:r>
            <w:r>
              <w:t xml:space="preserve">бслуживание </w:t>
            </w:r>
            <w:r>
              <w:t xml:space="preserve">информационно-платежного терминала</w:t>
            </w:r>
            <w:r>
              <w:rPr>
                <w:bCs/>
              </w:rPr>
              <w:t xml:space="preserve">****</w:t>
            </w:r>
            <w:r/>
          </w:p>
        </w:tc>
        <w:tc>
          <w:tcPr>
            <w:tcW w:w="2268" w:type="dxa"/>
            <w:vAlign w:val="top"/>
            <w:textDirection w:val="lrTb"/>
            <w:noWrap w:val="false"/>
          </w:tcPr>
          <w:p>
            <w:pPr>
              <w:pStyle w:val="925"/>
              <w:ind w:firstLine="34"/>
              <w:jc w:val="center"/>
              <w:spacing w:before="40" w:after="40"/>
              <w:tabs>
                <w:tab w:val="center" w:pos="1260" w:leader="none"/>
                <w:tab w:val="right" w:pos="9355" w:leader="none"/>
              </w:tabs>
            </w:pPr>
            <w:r/>
            <w:r/>
          </w:p>
        </w:tc>
        <w:tc>
          <w:tcPr>
            <w:tcW w:w="3119" w:type="dxa"/>
            <w:vAlign w:val="top"/>
            <w:textDirection w:val="lrTb"/>
            <w:noWrap w:val="false"/>
          </w:tcPr>
          <w:p>
            <w:pPr>
              <w:pStyle w:val="925"/>
              <w:ind w:left="-52" w:firstLine="52"/>
              <w:jc w:val="both"/>
              <w:spacing w:before="40" w:after="40"/>
              <w:rPr>
                <w:bCs/>
              </w:rPr>
            </w:pPr>
            <w:r>
              <w:rPr>
                <w:bCs/>
              </w:rPr>
              <w:t xml:space="preserve">Комиссия взимается за кассово-инкассационное </w:t>
            </w:r>
            <w:r>
              <w:t xml:space="preserve">о</w:t>
            </w:r>
            <w:r>
              <w:t xml:space="preserve">бслуживание </w:t>
            </w:r>
            <w:r>
              <w:t xml:space="preserve">одного информационно-платежного терминала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40" w:after="40"/>
              <w:tabs>
                <w:tab w:val="center" w:pos="1260" w:leader="none"/>
                <w:tab w:val="right" w:pos="9355" w:leader="none"/>
              </w:tabs>
            </w:pPr>
            <w:r>
              <w:t xml:space="preserve">12.5.2.1.</w:t>
            </w:r>
            <w:r/>
          </w:p>
        </w:tc>
        <w:tc>
          <w:tcPr>
            <w:tcW w:w="3685" w:type="dxa"/>
            <w:vAlign w:val="top"/>
            <w:textDirection w:val="lrTb"/>
            <w:noWrap w:val="false"/>
          </w:tcPr>
          <w:p>
            <w:pPr>
              <w:pStyle w:val="925"/>
              <w:spacing w:before="40" w:after="40"/>
              <w:tabs>
                <w:tab w:val="center" w:pos="1260" w:leader="none"/>
                <w:tab w:val="right" w:pos="9355" w:leader="none"/>
              </w:tabs>
            </w:pPr>
            <w:r>
              <w:t xml:space="preserve">Заезд к информационно-платежному терминалу, выгрузка кассет из информационно-платежного терминала и их доставка в кассу подразделения АО «Россельхозбанк»</w:t>
            </w:r>
            <w:r/>
          </w:p>
        </w:tc>
        <w:tc>
          <w:tcPr>
            <w:tcW w:w="2268" w:type="dxa"/>
            <w:vAlign w:val="top"/>
            <w:textDirection w:val="lrTb"/>
            <w:noWrap w:val="false"/>
          </w:tcPr>
          <w:p>
            <w:pPr>
              <w:pStyle w:val="925"/>
              <w:ind w:firstLine="34"/>
              <w:jc w:val="center"/>
              <w:spacing w:before="40" w:after="40"/>
              <w:tabs>
                <w:tab w:val="center" w:pos="1260" w:leader="none"/>
                <w:tab w:val="right" w:pos="9355" w:leader="none"/>
              </w:tabs>
            </w:pPr>
            <w:r>
              <w:t xml:space="preserve">Не менее 500 руб.</w:t>
            </w:r>
            <w:r/>
          </w:p>
        </w:tc>
        <w:tc>
          <w:tcPr>
            <w:tcW w:w="3119" w:type="dxa"/>
            <w:vAlign w:val="top"/>
            <w:textDirection w:val="lrTb"/>
            <w:noWrap w:val="false"/>
          </w:tcPr>
          <w:p>
            <w:pPr>
              <w:pStyle w:val="925"/>
              <w:ind w:left="-52" w:firstLine="52"/>
              <w:jc w:val="both"/>
              <w:spacing w:before="40" w:after="40"/>
              <w:rPr>
                <w:bCs/>
              </w:rPr>
            </w:pPr>
            <w:r>
              <w:rPr>
                <w:bCs/>
              </w:rPr>
              <w:t xml:space="preserve">Комиссия включает НДС</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5"/>
              <w:jc w:val="both"/>
              <w:spacing w:before="40" w:after="40"/>
              <w:tabs>
                <w:tab w:val="center" w:pos="1260" w:leader="none"/>
                <w:tab w:val="right" w:pos="9355" w:leader="none"/>
              </w:tabs>
            </w:pPr>
            <w:r>
              <w:t xml:space="preserve">12.5.2.2.</w:t>
            </w:r>
            <w:r/>
          </w:p>
        </w:tc>
        <w:tc>
          <w:tcPr>
            <w:tcW w:w="3685" w:type="dxa"/>
            <w:vAlign w:val="top"/>
            <w:textDirection w:val="lrTb"/>
            <w:noWrap w:val="false"/>
          </w:tcPr>
          <w:p>
            <w:pPr>
              <w:pStyle w:val="925"/>
              <w:spacing w:before="40" w:after="40"/>
              <w:tabs>
                <w:tab w:val="center" w:pos="1260" w:leader="none"/>
                <w:tab w:val="right" w:pos="9355" w:leader="none"/>
              </w:tabs>
            </w:pPr>
            <w:r>
              <w:t xml:space="preserve">Выгрузка денежной наличности </w:t>
            </w:r>
            <w:r>
              <w:t xml:space="preserve">из кассет </w:t>
            </w:r>
            <w:r>
              <w:t xml:space="preserve">информационно-платежного терминала</w:t>
            </w:r>
            <w:r>
              <w:t xml:space="preserve"> </w:t>
            </w:r>
            <w:r>
              <w:t xml:space="preserve">с</w:t>
            </w:r>
            <w:r>
              <w:t xml:space="preserve"> зачисление</w:t>
            </w:r>
            <w:r>
              <w:t xml:space="preserve">м</w:t>
            </w:r>
            <w:r>
              <w:t xml:space="preserve"> на </w:t>
            </w:r>
            <w:r>
              <w:t xml:space="preserve">счет респондента</w:t>
            </w:r>
            <w:r/>
          </w:p>
        </w:tc>
        <w:tc>
          <w:tcPr>
            <w:tcW w:w="2268" w:type="dxa"/>
            <w:vAlign w:val="top"/>
            <w:textDirection w:val="lrTb"/>
            <w:noWrap w:val="false"/>
          </w:tcPr>
          <w:p>
            <w:pPr>
              <w:pStyle w:val="925"/>
              <w:jc w:val="center"/>
              <w:spacing w:before="40"/>
              <w:tabs>
                <w:tab w:val="center" w:pos="1260" w:leader="none"/>
                <w:tab w:val="right" w:pos="9355" w:leader="none"/>
              </w:tabs>
            </w:pPr>
            <w:r>
              <w:t xml:space="preserve">Не менее 0,15% </w:t>
            </w:r>
            <w:r/>
          </w:p>
          <w:p>
            <w:pPr>
              <w:pStyle w:val="925"/>
              <w:jc w:val="center"/>
              <w:spacing w:after="40"/>
              <w:tabs>
                <w:tab w:val="center" w:pos="1260" w:leader="none"/>
                <w:tab w:val="right" w:pos="9355" w:leader="none"/>
              </w:tabs>
            </w:pPr>
            <w:r>
              <w:t xml:space="preserve">от суммы выгруженной денежной наличности, минимум 150 руб.</w:t>
            </w:r>
            <w:r/>
          </w:p>
        </w:tc>
        <w:tc>
          <w:tcPr>
            <w:tcW w:w="3119" w:type="dxa"/>
            <w:vAlign w:val="top"/>
            <w:textDirection w:val="lrTb"/>
            <w:noWrap w:val="false"/>
          </w:tcPr>
          <w:p>
            <w:pPr>
              <w:pStyle w:val="925"/>
              <w:ind w:left="-51" w:firstLine="51"/>
              <w:jc w:val="both"/>
              <w:spacing w:before="40" w:after="40"/>
              <w:rPr>
                <w:bCs/>
              </w:rPr>
            </w:pPr>
            <w:r>
              <w:t xml:space="preserve">Комиссия взима</w:t>
            </w:r>
            <w:r>
              <w:t xml:space="preserve">ется в день зачисления на счет р</w:t>
            </w:r>
            <w:r>
              <w:t xml:space="preserve">еспондента</w:t>
            </w:r>
            <w:r>
              <w:rPr>
                <w:bCs/>
              </w:rPr>
            </w:r>
            <w:r>
              <w:rPr>
                <w:bCs/>
              </w:rPr>
            </w:r>
          </w:p>
        </w:tc>
      </w:tr>
    </w:tbl>
    <w:p>
      <w:pPr>
        <w:pStyle w:val="925"/>
        <w:jc w:val="both"/>
        <w:tabs>
          <w:tab w:val="left" w:pos="1276" w:leader="none"/>
        </w:tabs>
      </w:pPr>
      <w:r/>
      <w:r/>
    </w:p>
    <w:p>
      <w:pPr>
        <w:pStyle w:val="925"/>
        <w:jc w:val="both"/>
        <w:tabs>
          <w:tab w:val="left" w:pos="1276" w:leader="none"/>
        </w:tabs>
      </w:pPr>
      <w:r/>
      <w:r/>
    </w:p>
    <w:p>
      <w:pPr>
        <w:pStyle w:val="925"/>
        <w:jc w:val="both"/>
        <w:tabs>
          <w:tab w:val="left" w:pos="1276" w:leader="none"/>
        </w:tabs>
      </w:pPr>
      <w:r>
        <w:rPr>
          <w:u w:val="single"/>
        </w:rPr>
        <w:t xml:space="preserve">Примечание</w:t>
      </w:r>
      <w:r>
        <w:t xml:space="preserve">:</w:t>
      </w:r>
      <w:r/>
    </w:p>
    <w:p>
      <w:pPr>
        <w:pStyle w:val="925"/>
        <w:jc w:val="both"/>
        <w:tabs>
          <w:tab w:val="left" w:pos="1276" w:leader="none"/>
        </w:tabs>
      </w:pPr>
      <w:r>
        <w:t xml:space="preserve">*</w:t>
      </w:r>
      <w:r>
        <w:t xml:space="preserve"> </w:t>
      </w:r>
      <w:r>
        <w:rPr>
          <w:b/>
        </w:rPr>
        <w:t xml:space="preserve">Заезд</w:t>
      </w:r>
      <w:r>
        <w:t xml:space="preserve"> </w:t>
      </w:r>
      <w:r>
        <w:t xml:space="preserve">–</w:t>
      </w:r>
      <w:r>
        <w:t xml:space="preserve"> </w:t>
      </w:r>
      <w:r>
        <w:t xml:space="preserve">прибытие бригады инкассаторских работников в здание клиента/помещение клиента (в здании)</w:t>
      </w:r>
      <w:r>
        <w:rPr>
          <w:color w:val="000000"/>
        </w:rPr>
        <w:t xml:space="preserve"> на территории которого осуществляется прием или передача денежной наличности между инкассаторскими работниками и клиентом.</w:t>
      </w:r>
      <w:r/>
    </w:p>
    <w:p>
      <w:pPr>
        <w:pStyle w:val="925"/>
        <w:jc w:val="both"/>
        <w:tabs>
          <w:tab w:val="left" w:pos="1276" w:leader="none"/>
        </w:tabs>
      </w:pPr>
      <w:r>
        <w:t xml:space="preserve">**</w:t>
      </w:r>
      <w:r>
        <w:t xml:space="preserve"> </w:t>
      </w:r>
      <w:r>
        <w:rPr>
          <w:b/>
        </w:rPr>
        <w:t xml:space="preserve">Обслуживание банкомата</w:t>
      </w:r>
      <w:r>
        <w:rPr>
          <w:b/>
        </w:rPr>
        <w:t xml:space="preserve">/информационно-платежного терминала</w:t>
      </w:r>
      <w:r>
        <w:t xml:space="preserve"> </w:t>
      </w:r>
      <w:r>
        <w:t xml:space="preserve">–</w:t>
      </w:r>
      <w:r>
        <w:t xml:space="preserve"> </w:t>
      </w:r>
      <w:r>
        <w:t xml:space="preserve">прибытие бригады инкассаторских работников в </w:t>
      </w:r>
      <w:r>
        <w:t xml:space="preserve">кассу к</w:t>
      </w:r>
      <w:r>
        <w:t xml:space="preserve">лиента</w:t>
      </w:r>
      <w:r>
        <w:t xml:space="preserve"> для получения кассет</w:t>
      </w:r>
      <w:r>
        <w:t xml:space="preserve">,</w:t>
      </w:r>
      <w:r>
        <w:t xml:space="preserve"> подлежащих загрузке в банкомат/информационно-платежный терминал</w:t>
      </w:r>
      <w:r>
        <w:t xml:space="preserve">, </w:t>
      </w:r>
      <w:r>
        <w:t xml:space="preserve">загрузка/изъятие кассет в/из банкомат(а)/информационно-платежный(ого) терминал(а) и доставка кассет</w:t>
      </w:r>
      <w:r>
        <w:t xml:space="preserve">,</w:t>
      </w:r>
      <w:r>
        <w:t xml:space="preserve"> изъятых из банкомата/информационно-платежного терминала в кассу клиента.</w:t>
      </w:r>
      <w:r/>
    </w:p>
    <w:p>
      <w:pPr>
        <w:pStyle w:val="925"/>
        <w:jc w:val="both"/>
        <w:tabs>
          <w:tab w:val="left" w:pos="1276" w:leader="none"/>
        </w:tabs>
      </w:pPr>
      <w:r>
        <w:t xml:space="preserve">*** </w:t>
      </w:r>
      <w:r>
        <w:rPr>
          <w:b/>
        </w:rPr>
        <w:t xml:space="preserve">Кассово-инкассационное обслуживание банкомата</w:t>
      </w:r>
      <w:r>
        <w:t xml:space="preserve"> – </w:t>
      </w:r>
      <w:r>
        <w:t xml:space="preserve">загрузка</w:t>
      </w:r>
      <w:r>
        <w:t xml:space="preserve"> денежной наличности в кассеты банкомата, прибытие бригады инкассаторских работников к банкомату, за</w:t>
      </w:r>
      <w:r>
        <w:t xml:space="preserve">грузка/изъятие кассет с денежной наличностью в/из банкомат(а), доставка кассет с денежной наличностью, изъятых из банкомата в кассу Банка, и пересчет денежной наличности, выгруженной из кассет банкомата, с зачислением денежных средств на счет респондента. </w:t>
      </w:r>
      <w:r/>
    </w:p>
    <w:p>
      <w:pPr>
        <w:pStyle w:val="925"/>
        <w:jc w:val="both"/>
        <w:spacing w:before="40"/>
        <w:tabs>
          <w:tab w:val="left" w:pos="1276" w:leader="none"/>
        </w:tabs>
      </w:pPr>
      <w:r>
        <w:t xml:space="preserve">**** </w:t>
      </w:r>
      <w:r>
        <w:rPr>
          <w:b/>
        </w:rPr>
        <w:t xml:space="preserve">Кассово-инкассационное обслуживание информационно-платежного терминала (ИПТ) </w:t>
      </w:r>
      <w:r>
        <w:t xml:space="preserve">–</w:t>
      </w:r>
      <w:r>
        <w:t xml:space="preserve"> прибытие бригады инкассаторских работников к ИП</w:t>
      </w:r>
      <w:r>
        <w:t xml:space="preserve">Т, изъятие кассет с денежной наличностью/загрузка порожних кассет из/в ИПТ, доставка кассет с денежной наличностью, изъятых из ИПТ в кассу Банка, и пересчет денежной наличности, выгруженной из кассет ИПТ, с зачислением денежных средств на счет респондента.</w:t>
      </w:r>
      <w:r/>
    </w:p>
    <w:p>
      <w:pPr>
        <w:pStyle w:val="925"/>
        <w:jc w:val="both"/>
        <w:tabs>
          <w:tab w:val="left" w:pos="1276" w:leader="none"/>
        </w:tabs>
        <w:rPr>
          <w:lang w:eastAsia="en-US"/>
        </w:rPr>
      </w:pPr>
      <w:r>
        <w:rPr>
          <w:lang w:eastAsia="en-US"/>
        </w:rPr>
        <w:t xml:space="preserve">_______________</w:t>
      </w:r>
      <w:r>
        <w:rPr>
          <w:lang w:eastAsia="en-US"/>
        </w:rPr>
      </w:r>
      <w:r>
        <w:rPr>
          <w:lang w:eastAsia="en-US"/>
        </w:rPr>
      </w:r>
    </w:p>
    <w:p>
      <w:pPr>
        <w:pStyle w:val="925"/>
        <w:jc w:val="both"/>
        <w:rPr>
          <w:bCs/>
        </w:rPr>
      </w:pPr>
      <w:r>
        <w:rPr>
          <w:bCs/>
          <w:vertAlign w:val="superscript"/>
        </w:rPr>
        <w:t xml:space="preserve">1 </w:t>
      </w:r>
      <w:r>
        <w:rPr>
          <w:bCs/>
        </w:rPr>
        <w:t xml:space="preserve">При </w:t>
      </w:r>
      <w:r>
        <w:rPr>
          <w:bCs/>
        </w:rPr>
        <w:t xml:space="preserve">наличии</w:t>
      </w:r>
      <w:r>
        <w:rPr>
          <w:bCs/>
        </w:rPr>
        <w:t xml:space="preserve"> корреспондентского счета в АО «Россельхозбанк».</w:t>
      </w:r>
      <w:r>
        <w:rPr>
          <w:bCs/>
        </w:rPr>
      </w:r>
      <w:r>
        <w:rPr>
          <w:bCs/>
        </w:rPr>
      </w:r>
    </w:p>
    <w:p>
      <w:pPr>
        <w:pStyle w:val="925"/>
        <w:jc w:val="center"/>
        <w:rPr>
          <w:b/>
          <w:bCs/>
          <w:sz w:val="24"/>
          <w:szCs w:val="24"/>
        </w:rPr>
      </w:pPr>
      <w:r>
        <w:rPr>
          <w:b/>
          <w:bCs/>
          <w:sz w:val="24"/>
          <w:szCs w:val="24"/>
        </w:rPr>
      </w:r>
      <w:r>
        <w:rPr>
          <w:b/>
          <w:bCs/>
          <w:sz w:val="24"/>
          <w:szCs w:val="24"/>
        </w:rPr>
      </w:r>
      <w:r>
        <w:rPr>
          <w:b/>
          <w:bCs/>
          <w:sz w:val="24"/>
          <w:szCs w:val="24"/>
        </w:rPr>
      </w:r>
    </w:p>
    <w:p>
      <w:pPr>
        <w:pStyle w:val="925"/>
        <w:jc w:val="center"/>
        <w:rPr>
          <w:b/>
          <w:bCs/>
          <w:sz w:val="24"/>
          <w:szCs w:val="24"/>
        </w:rPr>
      </w:pPr>
      <w:r>
        <w:rPr>
          <w:b/>
          <w:bCs/>
          <w:sz w:val="24"/>
          <w:szCs w:val="24"/>
        </w:rPr>
      </w:r>
      <w:r>
        <w:rPr>
          <w:b/>
          <w:bCs/>
          <w:sz w:val="24"/>
          <w:szCs w:val="24"/>
        </w:rPr>
      </w:r>
      <w:r>
        <w:rPr>
          <w:b/>
          <w:bCs/>
          <w:sz w:val="24"/>
          <w:szCs w:val="24"/>
        </w:rPr>
      </w:r>
    </w:p>
    <w:p>
      <w:pPr>
        <w:pStyle w:val="925"/>
        <w:jc w:val="center"/>
        <w:rPr>
          <w:b/>
          <w:bCs/>
          <w:sz w:val="24"/>
          <w:szCs w:val="24"/>
        </w:rPr>
      </w:pPr>
      <w:r>
        <w:rPr>
          <w:b/>
          <w:bCs/>
          <w:sz w:val="24"/>
          <w:szCs w:val="24"/>
        </w:rPr>
      </w:r>
      <w:r>
        <w:rPr>
          <w:b/>
          <w:bCs/>
          <w:sz w:val="24"/>
          <w:szCs w:val="24"/>
        </w:rPr>
      </w:r>
      <w:r>
        <w:rPr>
          <w:b/>
          <w:bCs/>
          <w:sz w:val="24"/>
          <w:szCs w:val="24"/>
        </w:rPr>
      </w:r>
    </w:p>
    <w:p>
      <w:pPr>
        <w:pStyle w:val="925"/>
        <w:jc w:val="center"/>
        <w:spacing w:after="120"/>
        <w:rPr>
          <w:b/>
          <w:bCs/>
          <w:sz w:val="24"/>
          <w:szCs w:val="24"/>
        </w:rPr>
      </w:pPr>
      <w:r>
        <w:rPr>
          <w:b/>
          <w:bCs/>
          <w:sz w:val="24"/>
          <w:szCs w:val="24"/>
        </w:rPr>
        <w:t xml:space="preserve">13. Сделки на Монетной площадке Банка России</w:t>
      </w:r>
      <w:r>
        <w:rPr>
          <w:b/>
          <w:bCs/>
          <w:sz w:val="24"/>
          <w:szCs w:val="24"/>
        </w:rPr>
      </w:r>
      <w:r>
        <w:rPr>
          <w:b/>
          <w:bCs/>
          <w:sz w:val="24"/>
          <w:szCs w:val="24"/>
        </w:rPr>
      </w:r>
    </w:p>
    <w:tbl>
      <w:tblPr>
        <w:tblW w:w="4950" w:type="pct"/>
        <w:tblInd w:w="0" w:type="dxa"/>
        <w:tblLayout w:type="autofit"/>
        <w:tblCellMar>
          <w:left w:w="108" w:type="dxa"/>
          <w:top w:w="0" w:type="dxa"/>
          <w:right w:w="108" w:type="dxa"/>
          <w:bottom w:w="0" w:type="dxa"/>
        </w:tblCellMar>
        <w:tblLook w:val="04A0" w:firstRow="1" w:lastRow="0" w:firstColumn="1" w:lastColumn="0" w:noHBand="0" w:noVBand="1"/>
      </w:tblPr>
      <w:tblGrid>
        <w:gridCol w:w="1101"/>
        <w:gridCol w:w="3684"/>
        <w:gridCol w:w="2270"/>
        <w:gridCol w:w="3263"/>
      </w:tblGrid>
      <w:tr>
        <w:tblPrEx/>
        <w:trPr>
          <w:trHeight w:val="397"/>
        </w:trPr>
        <w:tc>
          <w:tcPr>
            <w:tcBorders>
              <w:top w:val="single" w:color="000000" w:sz="4" w:space="0"/>
              <w:left w:val="single" w:color="000000" w:sz="4" w:space="0"/>
              <w:bottom w:val="single" w:color="000000" w:sz="4" w:space="0"/>
              <w:right w:val="single" w:color="000000" w:sz="4" w:space="0"/>
            </w:tcBorders>
            <w:tcW w:w="534" w:type="pct"/>
            <w:vAlign w:val="center"/>
            <w:textDirection w:val="lrTb"/>
            <w:noWrap w:val="false"/>
          </w:tcPr>
          <w:p>
            <w:pPr>
              <w:pStyle w:val="925"/>
              <w:jc w:val="center"/>
              <w:rPr>
                <w:bCs/>
              </w:rPr>
            </w:pPr>
            <w:r>
              <w:rPr>
                <w:bCs/>
              </w:rPr>
              <w:t xml:space="preserve">№ п/п</w:t>
            </w:r>
            <w:r>
              <w:rPr>
                <w:bCs/>
              </w:rPr>
            </w:r>
            <w:r>
              <w:rPr>
                <w:bC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925"/>
              <w:jc w:val="center"/>
              <w:rPr>
                <w:bCs/>
              </w:rPr>
            </w:pPr>
            <w:r>
              <w:rPr>
                <w:bCs/>
              </w:rPr>
              <w:t xml:space="preserve">Наименование услуги</w:t>
            </w:r>
            <w:r>
              <w:rPr>
                <w:bCs/>
              </w:rPr>
            </w:r>
            <w:r>
              <w:rPr>
                <w:bCs/>
              </w:rPr>
            </w:r>
          </w:p>
        </w:tc>
        <w:tc>
          <w:tcPr>
            <w:tcBorders>
              <w:top w:val="single" w:color="000000" w:sz="4" w:space="0"/>
              <w:left w:val="single" w:color="000000" w:sz="4" w:space="0"/>
              <w:bottom w:val="single" w:color="000000" w:sz="4" w:space="0"/>
              <w:right w:val="single" w:color="000000" w:sz="4" w:space="0"/>
            </w:tcBorders>
            <w:tcW w:w="1100" w:type="pct"/>
            <w:vAlign w:val="center"/>
            <w:textDirection w:val="lrTb"/>
            <w:noWrap w:val="false"/>
          </w:tcPr>
          <w:p>
            <w:pPr>
              <w:pStyle w:val="925"/>
              <w:jc w:val="center"/>
              <w:rPr>
                <w:bCs/>
              </w:rPr>
            </w:pPr>
            <w:r>
              <w:rPr>
                <w:bCs/>
              </w:rPr>
              <w:t xml:space="preserve">Тариф</w:t>
            </w:r>
            <w:r>
              <w:rPr>
                <w:bCs/>
              </w:rPr>
            </w:r>
            <w:r>
              <w:rPr>
                <w:bCs/>
              </w:rPr>
            </w:r>
          </w:p>
        </w:tc>
        <w:tc>
          <w:tcPr>
            <w:tcBorders>
              <w:top w:val="single" w:color="000000" w:sz="4" w:space="0"/>
              <w:left w:val="single" w:color="000000" w:sz="4" w:space="0"/>
              <w:bottom w:val="single" w:color="000000" w:sz="4" w:space="0"/>
              <w:right w:val="single" w:color="000000" w:sz="4" w:space="0"/>
            </w:tcBorders>
            <w:tcW w:w="1581" w:type="pct"/>
            <w:vAlign w:val="center"/>
            <w:textDirection w:val="lrTb"/>
            <w:noWrap w:val="false"/>
          </w:tcPr>
          <w:p>
            <w:pPr>
              <w:pStyle w:val="925"/>
              <w:jc w:val="center"/>
              <w:rPr>
                <w:bCs/>
              </w:rPr>
            </w:pPr>
            <w:r>
              <w:rPr>
                <w:bCs/>
              </w:rPr>
              <w:t xml:space="preserve">Примечание</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534" w:type="pct"/>
            <w:vAlign w:val="top"/>
            <w:textDirection w:val="lrTb"/>
            <w:noWrap w:val="false"/>
          </w:tcPr>
          <w:p>
            <w:pPr>
              <w:pStyle w:val="925"/>
              <w:jc w:val="center"/>
              <w:spacing w:before="40" w:after="40"/>
              <w:rPr>
                <w:bCs/>
              </w:rPr>
            </w:pPr>
            <w:r>
              <w:rPr>
                <w:bCs/>
              </w:rPr>
              <w:t xml:space="preserve">13</w:t>
            </w:r>
            <w:r>
              <w:rPr>
                <w:bCs/>
              </w:rPr>
              <w:t xml:space="preserve">.1</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25"/>
              <w:spacing w:before="40" w:after="40"/>
              <w:rPr>
                <w:bCs/>
              </w:rPr>
            </w:pPr>
            <w:r>
              <w:rPr>
                <w:bCs/>
              </w:rPr>
              <w:t xml:space="preserve">Выдача монеты Банка России в рамках сделок, заключенных на Монетной площадке Банка России</w:t>
            </w:r>
            <w:r>
              <w:rPr>
                <w:bCs/>
              </w:rPr>
            </w:r>
            <w:r>
              <w:rPr>
                <w:bCs/>
              </w:rPr>
            </w:r>
          </w:p>
        </w:tc>
        <w:tc>
          <w:tcPr>
            <w:tcBorders>
              <w:top w:val="single" w:color="000000" w:sz="4" w:space="0"/>
              <w:left w:val="single" w:color="000000" w:sz="4" w:space="0"/>
              <w:bottom w:val="single" w:color="000000" w:sz="4" w:space="0"/>
              <w:right w:val="single" w:color="000000" w:sz="4" w:space="0"/>
            </w:tcBorders>
            <w:tcW w:w="1100" w:type="pct"/>
            <w:vAlign w:val="top"/>
            <w:textDirection w:val="lrTb"/>
            <w:noWrap w:val="false"/>
          </w:tcPr>
          <w:p>
            <w:pPr>
              <w:pStyle w:val="925"/>
              <w:spacing w:before="40" w:after="40"/>
              <w:rPr>
                <w:bCs/>
              </w:rPr>
            </w:pPr>
            <w:r>
              <w:rPr>
                <w:bCs/>
              </w:rPr>
              <w:t xml:space="preserve">0-</w:t>
            </w:r>
            <w:r>
              <w:rPr>
                <w:bCs/>
              </w:rPr>
              <w:t xml:space="preserve">1% от суммы </w:t>
            </w:r>
            <w:r>
              <w:rPr>
                <w:bCs/>
              </w:rPr>
              <w:t xml:space="preserve">сделки</w:t>
            </w:r>
            <w:r>
              <w:rPr>
                <w:bCs/>
              </w:rPr>
            </w:r>
            <w:r>
              <w:rPr>
                <w:bCs/>
              </w:rPr>
            </w:r>
          </w:p>
        </w:tc>
        <w:tc>
          <w:tcPr>
            <w:tcBorders>
              <w:top w:val="single" w:color="000000" w:sz="4" w:space="0"/>
              <w:left w:val="single" w:color="000000" w:sz="4" w:space="0"/>
              <w:bottom w:val="single" w:color="000000" w:sz="4" w:space="0"/>
              <w:right w:val="single" w:color="000000" w:sz="4" w:space="0"/>
            </w:tcBorders>
            <w:tcW w:w="1581" w:type="pct"/>
            <w:vAlign w:val="top"/>
            <w:textDirection w:val="lrTb"/>
            <w:noWrap w:val="false"/>
          </w:tcPr>
          <w:p>
            <w:pPr>
              <w:pStyle w:val="925"/>
              <w:spacing w:before="40" w:after="40"/>
              <w:rPr>
                <w:bCs/>
              </w:rPr>
            </w:pPr>
            <w:r>
              <w:rPr>
                <w:bCs/>
              </w:rPr>
              <w:t xml:space="preserve">Услуга предоставляется при наличии заключенного с</w:t>
            </w:r>
            <w:r>
              <w:rPr>
                <w:bCs/>
              </w:rPr>
              <w:t xml:space="preserve"> </w:t>
            </w:r>
            <w:r>
              <w:rPr>
                <w:bCs/>
              </w:rPr>
              <w:t xml:space="preserve">АО «Россельхозбанк» Договора на получение (сдачу) монеты Банка России в рамках сделок, согласованных на Монетной площадке Банка России.</w:t>
            </w:r>
            <w:r>
              <w:rPr>
                <w:bCs/>
              </w:rPr>
            </w:r>
            <w:r>
              <w:rPr>
                <w:bCs/>
              </w:rPr>
            </w:r>
          </w:p>
          <w:p>
            <w:pPr>
              <w:pStyle w:val="925"/>
              <w:spacing w:before="40" w:after="40"/>
              <w:rPr>
                <w:bCs/>
              </w:rPr>
            </w:pPr>
            <w:r>
              <w:rPr>
                <w:bCs/>
              </w:rPr>
              <w:t xml:space="preserve">Комиссия указана за одну сделку, взимается в дату, указанную в Заявке на получение монеты Банка России.</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534" w:type="pct"/>
            <w:vAlign w:val="top"/>
            <w:textDirection w:val="lrTb"/>
            <w:noWrap w:val="false"/>
          </w:tcPr>
          <w:p>
            <w:pPr>
              <w:pStyle w:val="925"/>
              <w:jc w:val="center"/>
              <w:spacing w:before="40" w:after="40"/>
              <w:rPr>
                <w:bCs/>
              </w:rPr>
            </w:pPr>
            <w:r>
              <w:rPr>
                <w:bCs/>
              </w:rPr>
              <w:t xml:space="preserve">13</w:t>
            </w:r>
            <w:r>
              <w:rPr>
                <w:bCs/>
              </w:rPr>
              <w:t xml:space="preserve">.2</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25"/>
              <w:spacing w:before="40" w:after="40"/>
              <w:rPr>
                <w:bCs/>
              </w:rPr>
            </w:pPr>
            <w:r>
              <w:rPr>
                <w:bCs/>
              </w:rPr>
              <w:t xml:space="preserve">Размен банкнот на монеты Банка России в рамках сделок, заключенных на Монетной площадке Банка России</w:t>
            </w:r>
            <w:r>
              <w:rPr>
                <w:bCs/>
              </w:rPr>
            </w:r>
            <w:r>
              <w:rPr>
                <w:bCs/>
              </w:rPr>
            </w:r>
          </w:p>
        </w:tc>
        <w:tc>
          <w:tcPr>
            <w:tcBorders>
              <w:top w:val="single" w:color="000000" w:sz="4" w:space="0"/>
              <w:left w:val="single" w:color="000000" w:sz="4" w:space="0"/>
              <w:bottom w:val="single" w:color="000000" w:sz="4" w:space="0"/>
              <w:right w:val="single" w:color="000000" w:sz="4" w:space="0"/>
            </w:tcBorders>
            <w:tcW w:w="1100" w:type="pct"/>
            <w:vAlign w:val="top"/>
            <w:textDirection w:val="lrTb"/>
            <w:noWrap w:val="false"/>
          </w:tcPr>
          <w:p>
            <w:pPr>
              <w:pStyle w:val="925"/>
              <w:spacing w:before="40" w:after="40"/>
              <w:rPr>
                <w:bCs/>
              </w:rPr>
            </w:pPr>
            <w:r>
              <w:rPr>
                <w:bCs/>
              </w:rPr>
              <w:t xml:space="preserve">0-</w:t>
            </w:r>
            <w:r>
              <w:rPr>
                <w:bCs/>
              </w:rPr>
              <w:t xml:space="preserve">1</w:t>
            </w:r>
            <w:r>
              <w:rPr>
                <w:bCs/>
              </w:rPr>
              <w:t xml:space="preserve">% от суммы сделки</w:t>
            </w:r>
            <w:r>
              <w:rPr>
                <w:bCs/>
              </w:rPr>
            </w:r>
            <w:r>
              <w:rPr>
                <w:bCs/>
              </w:rPr>
            </w:r>
          </w:p>
        </w:tc>
        <w:tc>
          <w:tcPr>
            <w:tcBorders>
              <w:top w:val="single" w:color="000000" w:sz="4" w:space="0"/>
              <w:left w:val="single" w:color="000000" w:sz="4" w:space="0"/>
              <w:bottom w:val="single" w:color="000000" w:sz="4" w:space="0"/>
              <w:right w:val="single" w:color="000000" w:sz="4" w:space="0"/>
            </w:tcBorders>
            <w:tcW w:w="1581" w:type="pct"/>
            <w:vAlign w:val="top"/>
            <w:textDirection w:val="lrTb"/>
            <w:noWrap w:val="false"/>
          </w:tcPr>
          <w:p>
            <w:pPr>
              <w:pStyle w:val="925"/>
              <w:jc w:val="both"/>
              <w:spacing w:before="40" w:after="40"/>
              <w:rPr>
                <w:bCs/>
              </w:rPr>
            </w:pPr>
            <w:r>
              <w:rPr>
                <w:bCs/>
              </w:rPr>
              <w:t xml:space="preserve">Услуга предоставляется при наличии заключенного с</w:t>
            </w:r>
            <w:r>
              <w:rPr>
                <w:bCs/>
              </w:rPr>
              <w:t xml:space="preserve">                        </w:t>
            </w:r>
            <w:r>
              <w:rPr>
                <w:bCs/>
              </w:rPr>
              <w:t xml:space="preserve">АО «Россельхозбанк» Договора на получение (сдачу) монеты Банка России в рамках сделок, </w:t>
            </w:r>
            <w:r>
              <w:rPr>
                <w:bCs/>
              </w:rPr>
            </w:r>
            <w:r>
              <w:rPr>
                <w:bCs/>
              </w:rPr>
            </w:r>
          </w:p>
          <w:p>
            <w:pPr>
              <w:pStyle w:val="925"/>
              <w:jc w:val="both"/>
              <w:spacing w:before="40" w:after="40"/>
              <w:rPr>
                <w:bCs/>
              </w:rPr>
            </w:pPr>
            <w:r>
              <w:rPr>
                <w:bCs/>
              </w:rPr>
              <w:t xml:space="preserve">согласованных на Монетной площадке Банка России. </w:t>
            </w:r>
            <w:r>
              <w:rPr>
                <w:bCs/>
              </w:rPr>
            </w:r>
            <w:r>
              <w:rPr>
                <w:bCs/>
              </w:rPr>
            </w:r>
          </w:p>
          <w:p>
            <w:pPr>
              <w:pStyle w:val="925"/>
              <w:jc w:val="both"/>
              <w:spacing w:before="40" w:after="40"/>
              <w:rPr>
                <w:bCs/>
              </w:rPr>
            </w:pPr>
            <w:r>
              <w:rPr>
                <w:bCs/>
              </w:rPr>
              <w:t xml:space="preserve">Комиссия указана за одну сделку, взимается в дату, указанную в Заявке о размене банкнот Банка России на монету Банка России.</w:t>
            </w:r>
            <w:r>
              <w:rPr>
                <w:bCs/>
              </w:rPr>
            </w:r>
            <w:r>
              <w:rPr>
                <w:bCs/>
              </w:rPr>
            </w:r>
          </w:p>
        </w:tc>
      </w:tr>
    </w:tbl>
    <w:p>
      <w:r/>
    </w:p>
    <w:sectPr>
      <w:headerReference w:type="default" r:id="rId9"/>
      <w:footnotePr/>
      <w:endnotePr/>
      <w:type w:val="nextPage"/>
      <w:pgSz w:w="11906" w:h="16838" w:orient="portrait"/>
      <w:pgMar w:top="993" w:right="566" w:bottom="709" w:left="1134"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Wingdings">
    <w:panose1 w:val="05000000000000000000"/>
  </w:font>
  <w:font w:name="Courier New">
    <w:panose1 w:val="02070409020205020404"/>
  </w:font>
  <w:font w:name="Symbol">
    <w:panose1 w:val="05010000000000000000"/>
  </w:font>
  <w:font w:name="Calibri">
    <w:panose1 w:val="020F0502020204030204"/>
  </w:font>
  <w:font w:name="Tahoma">
    <w:panose1 w:val="020B0604030504040204"/>
  </w:font>
  <w:font w:name="Times New Roman">
    <w:panose1 w:val="02020603050405020304"/>
  </w:font>
  <w:font w:name="Times New Roman CYR">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25"/>
        <w:jc w:val="both"/>
      </w:pPr>
      <w:r>
        <w:rPr>
          <w:rStyle w:val="948"/>
        </w:rPr>
        <w:footnoteRef/>
      </w:r>
      <w:r>
        <w:t xml:space="preserve"> </w:t>
      </w:r>
      <w:r>
        <w:t xml:space="preserve">Пункт не распространяется на корреспондентские счета в драгоценных металлах. </w:t>
      </w:r>
      <w:r/>
    </w:p>
  </w:footnote>
  <w:footnote w:id="3">
    <w:p>
      <w:pPr>
        <w:ind w:right="-17"/>
        <w:jc w:val="both"/>
        <w:spacing w:before="40" w:after="40"/>
        <w:tabs>
          <w:tab w:val="left" w:pos="4464" w:leader="none"/>
          <w:tab w:val="left" w:pos="5760" w:leader="none"/>
        </w:tabs>
        <w:rPr>
          <w14:ligatures w14:val="none"/>
        </w:rPr>
      </w:pPr>
      <w:r>
        <w:rPr>
          <w:rStyle w:val="910"/>
        </w:rPr>
        <w:footnoteRef/>
      </w:r>
      <w:r>
        <w:t xml:space="preserve"> </w:t>
      </w:r>
      <w:r>
        <w:t xml:space="preserve">В настоящем разделе термин «Депонент» используется в значении, определенном ст. 7 Федерального закона от 22.04.1996 № 39-ФЗ «О рынке ценных бумаг».</w:t>
      </w:r>
      <w:r>
        <w:rPr>
          <w14:ligatures w14:val="none"/>
        </w:rPr>
      </w:r>
    </w:p>
  </w:footnote>
  <w:footnote w:id="4">
    <w:p>
      <w:pPr>
        <w:pStyle w:val="925"/>
        <w:ind w:right="-17"/>
        <w:jc w:val="both"/>
        <w:spacing w:before="40" w:after="40"/>
        <w:tabs>
          <w:tab w:val="left" w:pos="4464" w:leader="none"/>
          <w:tab w:val="left" w:pos="5760" w:leader="none"/>
        </w:tabs>
      </w:pPr>
      <w:r>
        <w:rPr>
          <w:rStyle w:val="948"/>
        </w:rPr>
        <w:footnoteRef/>
      </w:r>
      <w: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0"/>
      <w:rPr>
        <w:rStyle w:val="943"/>
      </w:rPr>
      <w:framePr w:vAnchor="text" w:hAnchor="margin" w:xAlign="center" w:y="1"/>
    </w:pPr>
    <w:r>
      <w:rPr>
        <w:rStyle w:val="943"/>
      </w:rPr>
      <w:fldChar w:fldCharType="begin"/>
    </w:r>
    <w:r>
      <w:rPr>
        <w:rStyle w:val="943"/>
      </w:rPr>
      <w:instrText xml:space="preserve">PAGE  </w:instrText>
    </w:r>
    <w:r>
      <w:rPr>
        <w:rStyle w:val="943"/>
      </w:rPr>
      <w:fldChar w:fldCharType="separate"/>
    </w:r>
    <w:r>
      <w:rPr>
        <w:rStyle w:val="943"/>
      </w:rPr>
      <w:t xml:space="preserve">2</w:t>
    </w:r>
    <w:r>
      <w:rPr>
        <w:rStyle w:val="943"/>
      </w:rPr>
      <w:fldChar w:fldCharType="end"/>
    </w:r>
    <w:r>
      <w:rPr>
        <w:rStyle w:val="943"/>
      </w:rPr>
    </w:r>
    <w:r>
      <w:rPr>
        <w:rStyle w:val="943"/>
      </w:rPr>
    </w:r>
  </w:p>
  <w:p>
    <w:pPr>
      <w:pStyle w:val="94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60"/>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284" w:hanging="284"/>
        <w:tabs>
          <w:tab w:val="num" w:pos="360" w:leader="none"/>
        </w:tabs>
      </w:pPr>
      <w:rPr>
        <w:rFonts w:ascii="Symbol" w:hAnsi="Symbol"/>
        <w:sz w:val="20"/>
        <w:szCs w:val="2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
    <w:multiLevelType w:val="hybridMultilevel"/>
    <w:lvl w:ilvl="0">
      <w:start w:val="1"/>
      <w:numFmt w:val="bullet"/>
      <w:isLgl w:val="false"/>
      <w:suff w:val="tab"/>
      <w:lvlText w:val=""/>
      <w:lvlJc w:val="left"/>
      <w:pPr>
        <w:ind w:left="720" w:hanging="360"/>
      </w:pPr>
      <w:rPr>
        <w:rFonts w:ascii="Symbol" w:hAnsi="Symbol"/>
        <w:b w:val="0"/>
        <w:i w:val="0"/>
        <w:sz w:val="20"/>
        <w:szCs w:val="2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0"/>
      <w:numFmt w:val="bullet"/>
      <w:isLgl w:val="false"/>
      <w:suff w:val="tab"/>
      <w:lvlText w:val=""/>
      <w:lvlJc w:val="left"/>
      <w:pPr>
        <w:ind w:left="2782" w:hanging="360"/>
        <w:tabs>
          <w:tab w:val="num" w:pos="2782" w:leader="none"/>
        </w:tabs>
      </w:pPr>
      <w:rPr>
        <w:rFonts w:ascii="Symbol" w:hAnsi="Symbol" w:eastAsia="Times New Roman" w:cs="Times New Roman"/>
        <w:i w:val="0"/>
        <w:color w:val="000000"/>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1020" w:hanging="360"/>
      </w:pPr>
      <w:rPr>
        <w:rFonts w:ascii="Symbol" w:hAnsi="Symbol"/>
      </w:rPr>
    </w:lvl>
    <w:lvl w:ilvl="1">
      <w:start w:val="1"/>
      <w:numFmt w:val="bullet"/>
      <w:isLgl w:val="false"/>
      <w:suff w:val="tab"/>
      <w:lvlText w:val="o"/>
      <w:lvlJc w:val="left"/>
      <w:pPr>
        <w:ind w:left="1740" w:hanging="360"/>
      </w:pPr>
      <w:rPr>
        <w:rFonts w:ascii="Courier New" w:hAnsi="Courier New"/>
      </w:rPr>
    </w:lvl>
    <w:lvl w:ilvl="2">
      <w:start w:val="1"/>
      <w:numFmt w:val="bullet"/>
      <w:isLgl w:val="false"/>
      <w:suff w:val="tab"/>
      <w:lvlText w:val=""/>
      <w:lvlJc w:val="left"/>
      <w:pPr>
        <w:ind w:left="2460" w:hanging="360"/>
      </w:pPr>
      <w:rPr>
        <w:rFonts w:ascii="Wingdings" w:hAnsi="Wingdings"/>
      </w:rPr>
    </w:lvl>
    <w:lvl w:ilvl="3">
      <w:start w:val="1"/>
      <w:numFmt w:val="bullet"/>
      <w:isLgl w:val="false"/>
      <w:suff w:val="tab"/>
      <w:lvlText w:val=""/>
      <w:lvlJc w:val="left"/>
      <w:pPr>
        <w:ind w:left="3180" w:hanging="360"/>
      </w:pPr>
      <w:rPr>
        <w:rFonts w:ascii="Symbol" w:hAnsi="Symbol"/>
      </w:rPr>
    </w:lvl>
    <w:lvl w:ilvl="4">
      <w:start w:val="1"/>
      <w:numFmt w:val="bullet"/>
      <w:isLgl w:val="false"/>
      <w:suff w:val="tab"/>
      <w:lvlText w:val="o"/>
      <w:lvlJc w:val="left"/>
      <w:pPr>
        <w:ind w:left="3900" w:hanging="360"/>
      </w:pPr>
      <w:rPr>
        <w:rFonts w:ascii="Courier New" w:hAnsi="Courier New"/>
      </w:rPr>
    </w:lvl>
    <w:lvl w:ilvl="5">
      <w:start w:val="1"/>
      <w:numFmt w:val="bullet"/>
      <w:isLgl w:val="false"/>
      <w:suff w:val="tab"/>
      <w:lvlText w:val=""/>
      <w:lvlJc w:val="left"/>
      <w:pPr>
        <w:ind w:left="4620" w:hanging="360"/>
      </w:pPr>
      <w:rPr>
        <w:rFonts w:ascii="Wingdings" w:hAnsi="Wingdings"/>
      </w:rPr>
    </w:lvl>
    <w:lvl w:ilvl="6">
      <w:start w:val="1"/>
      <w:numFmt w:val="bullet"/>
      <w:isLgl w:val="false"/>
      <w:suff w:val="tab"/>
      <w:lvlText w:val=""/>
      <w:lvlJc w:val="left"/>
      <w:pPr>
        <w:ind w:left="5340" w:hanging="360"/>
      </w:pPr>
      <w:rPr>
        <w:rFonts w:ascii="Symbol" w:hAnsi="Symbol"/>
      </w:rPr>
    </w:lvl>
    <w:lvl w:ilvl="7">
      <w:start w:val="1"/>
      <w:numFmt w:val="bullet"/>
      <w:isLgl w:val="false"/>
      <w:suff w:val="tab"/>
      <w:lvlText w:val="o"/>
      <w:lvlJc w:val="left"/>
      <w:pPr>
        <w:ind w:left="6060" w:hanging="360"/>
      </w:pPr>
      <w:rPr>
        <w:rFonts w:ascii="Courier New" w:hAnsi="Courier New"/>
      </w:rPr>
    </w:lvl>
    <w:lvl w:ilvl="8">
      <w:start w:val="1"/>
      <w:numFmt w:val="bullet"/>
      <w:isLgl w:val="false"/>
      <w:suff w:val="tab"/>
      <w:lvlText w:val=""/>
      <w:lvlJc w:val="left"/>
      <w:pPr>
        <w:ind w:left="6780"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0"/>
      <w:numFmt w:val="bullet"/>
      <w:isLgl w:val="false"/>
      <w:suff w:val="tab"/>
      <w:lvlText w:val=""/>
      <w:lvlJc w:val="left"/>
      <w:pPr>
        <w:ind w:left="792" w:hanging="360"/>
        <w:tabs>
          <w:tab w:val="num" w:pos="792" w:leader="none"/>
        </w:tabs>
      </w:pPr>
      <w:rPr>
        <w:rFonts w:ascii="Symbol" w:hAnsi="Symbol" w:eastAsia="Times New Roman"/>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02" w:hanging="360"/>
        <w:tabs>
          <w:tab w:val="num" w:pos="1402" w:leader="none"/>
        </w:tabs>
      </w:pPr>
      <w:rPr>
        <w:rFonts w:ascii="Symbol" w:hAnsi="Symbol"/>
      </w:rPr>
    </w:lvl>
    <w:lvl w:ilvl="1">
      <w:start w:val="1"/>
      <w:numFmt w:val="bullet"/>
      <w:isLgl w:val="false"/>
      <w:suff w:val="tab"/>
      <w:lvlText w:val="o"/>
      <w:lvlJc w:val="left"/>
      <w:pPr>
        <w:ind w:left="1470" w:hanging="360"/>
        <w:tabs>
          <w:tab w:val="num" w:pos="1470" w:leader="none"/>
        </w:tabs>
      </w:pPr>
      <w:rPr>
        <w:rFonts w:ascii="Courier New" w:hAnsi="Courier New"/>
      </w:rPr>
    </w:lvl>
    <w:lvl w:ilvl="2">
      <w:start w:val="1"/>
      <w:numFmt w:val="bullet"/>
      <w:isLgl w:val="false"/>
      <w:suff w:val="tab"/>
      <w:lvlText w:val=""/>
      <w:lvlJc w:val="left"/>
      <w:pPr>
        <w:ind w:left="2190" w:hanging="360"/>
        <w:tabs>
          <w:tab w:val="num" w:pos="2190" w:leader="none"/>
        </w:tabs>
      </w:pPr>
      <w:rPr>
        <w:rFonts w:ascii="Wingdings" w:hAnsi="Wingdings"/>
      </w:rPr>
    </w:lvl>
    <w:lvl w:ilvl="3">
      <w:start w:val="1"/>
      <w:numFmt w:val="bullet"/>
      <w:isLgl w:val="false"/>
      <w:suff w:val="tab"/>
      <w:lvlText w:val=""/>
      <w:lvlJc w:val="left"/>
      <w:pPr>
        <w:ind w:left="2910" w:hanging="360"/>
        <w:tabs>
          <w:tab w:val="num" w:pos="2910" w:leader="none"/>
        </w:tabs>
      </w:pPr>
      <w:rPr>
        <w:rFonts w:ascii="Symbol" w:hAnsi="Symbol"/>
      </w:rPr>
    </w:lvl>
    <w:lvl w:ilvl="4">
      <w:start w:val="1"/>
      <w:numFmt w:val="bullet"/>
      <w:isLgl w:val="false"/>
      <w:suff w:val="tab"/>
      <w:lvlText w:val="o"/>
      <w:lvlJc w:val="left"/>
      <w:pPr>
        <w:ind w:left="3630" w:hanging="360"/>
        <w:tabs>
          <w:tab w:val="num" w:pos="3630" w:leader="none"/>
        </w:tabs>
      </w:pPr>
      <w:rPr>
        <w:rFonts w:ascii="Courier New" w:hAnsi="Courier New"/>
      </w:rPr>
    </w:lvl>
    <w:lvl w:ilvl="5">
      <w:start w:val="1"/>
      <w:numFmt w:val="bullet"/>
      <w:isLgl w:val="false"/>
      <w:suff w:val="tab"/>
      <w:lvlText w:val=""/>
      <w:lvlJc w:val="left"/>
      <w:pPr>
        <w:ind w:left="4350" w:hanging="360"/>
        <w:tabs>
          <w:tab w:val="num" w:pos="4350" w:leader="none"/>
        </w:tabs>
      </w:pPr>
      <w:rPr>
        <w:rFonts w:ascii="Wingdings" w:hAnsi="Wingdings"/>
      </w:rPr>
    </w:lvl>
    <w:lvl w:ilvl="6">
      <w:start w:val="1"/>
      <w:numFmt w:val="bullet"/>
      <w:isLgl w:val="false"/>
      <w:suff w:val="tab"/>
      <w:lvlText w:val=""/>
      <w:lvlJc w:val="left"/>
      <w:pPr>
        <w:ind w:left="5070" w:hanging="360"/>
        <w:tabs>
          <w:tab w:val="num" w:pos="5070" w:leader="none"/>
        </w:tabs>
      </w:pPr>
      <w:rPr>
        <w:rFonts w:ascii="Symbol" w:hAnsi="Symbol"/>
      </w:rPr>
    </w:lvl>
    <w:lvl w:ilvl="7">
      <w:start w:val="1"/>
      <w:numFmt w:val="bullet"/>
      <w:isLgl w:val="false"/>
      <w:suff w:val="tab"/>
      <w:lvlText w:val="o"/>
      <w:lvlJc w:val="left"/>
      <w:pPr>
        <w:ind w:left="5790" w:hanging="360"/>
        <w:tabs>
          <w:tab w:val="num" w:pos="5790" w:leader="none"/>
        </w:tabs>
      </w:pPr>
      <w:rPr>
        <w:rFonts w:ascii="Courier New" w:hAnsi="Courier New"/>
      </w:rPr>
    </w:lvl>
    <w:lvl w:ilvl="8">
      <w:start w:val="1"/>
      <w:numFmt w:val="bullet"/>
      <w:isLgl w:val="false"/>
      <w:suff w:val="tab"/>
      <w:lvlText w:val=""/>
      <w:lvlJc w:val="left"/>
      <w:pPr>
        <w:ind w:left="6510" w:hanging="360"/>
        <w:tabs>
          <w:tab w:val="num" w:pos="651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0"/>
      <w:numFmt w:val="bullet"/>
      <w:isLgl w:val="false"/>
      <w:suff w:val="tab"/>
      <w:lvlText w:val="-"/>
      <w:lvlJc w:val="left"/>
      <w:pPr>
        <w:ind w:left="1554" w:hanging="360"/>
        <w:tabs>
          <w:tab w:val="num" w:pos="1554" w:leader="none"/>
        </w:tabs>
      </w:pPr>
      <w:rPr>
        <w:rFonts w:ascii="Times New Roman" w:hAnsi="Times New Roman" w:eastAsia="Times New Roman"/>
      </w:rPr>
    </w:lvl>
    <w:lvl w:ilvl="1">
      <w:start w:val="1"/>
      <w:numFmt w:val="bullet"/>
      <w:isLgl w:val="false"/>
      <w:suff w:val="tab"/>
      <w:lvlText w:val="o"/>
      <w:lvlJc w:val="left"/>
      <w:pPr>
        <w:ind w:left="2149" w:hanging="360"/>
        <w:tabs>
          <w:tab w:val="num" w:pos="2149" w:leader="none"/>
        </w:tabs>
      </w:pPr>
      <w:rPr>
        <w:rFonts w:ascii="Courier New" w:hAnsi="Courier New"/>
      </w:rPr>
    </w:lvl>
    <w:lvl w:ilvl="2">
      <w:start w:val="1"/>
      <w:numFmt w:val="bullet"/>
      <w:isLgl w:val="false"/>
      <w:suff w:val="tab"/>
      <w:lvlText w:val=""/>
      <w:lvlJc w:val="left"/>
      <w:pPr>
        <w:ind w:left="2869" w:hanging="360"/>
        <w:tabs>
          <w:tab w:val="num" w:pos="2869" w:leader="none"/>
        </w:tabs>
      </w:pPr>
      <w:rPr>
        <w:rFonts w:ascii="Wingdings" w:hAnsi="Wingdings"/>
      </w:rPr>
    </w:lvl>
    <w:lvl w:ilvl="3">
      <w:start w:val="1"/>
      <w:numFmt w:val="bullet"/>
      <w:isLgl w:val="false"/>
      <w:suff w:val="tab"/>
      <w:lvlText w:val=""/>
      <w:lvlJc w:val="left"/>
      <w:pPr>
        <w:ind w:left="3589" w:hanging="360"/>
        <w:tabs>
          <w:tab w:val="num" w:pos="3589" w:leader="none"/>
        </w:tabs>
      </w:pPr>
      <w:rPr>
        <w:rFonts w:ascii="Symbol" w:hAnsi="Symbol"/>
      </w:rPr>
    </w:lvl>
    <w:lvl w:ilvl="4">
      <w:start w:val="1"/>
      <w:numFmt w:val="bullet"/>
      <w:isLgl w:val="false"/>
      <w:suff w:val="tab"/>
      <w:lvlText w:val="o"/>
      <w:lvlJc w:val="left"/>
      <w:pPr>
        <w:ind w:left="4309" w:hanging="360"/>
        <w:tabs>
          <w:tab w:val="num" w:pos="4309" w:leader="none"/>
        </w:tabs>
      </w:pPr>
      <w:rPr>
        <w:rFonts w:ascii="Courier New" w:hAnsi="Courier New"/>
      </w:rPr>
    </w:lvl>
    <w:lvl w:ilvl="5">
      <w:start w:val="1"/>
      <w:numFmt w:val="bullet"/>
      <w:isLgl w:val="false"/>
      <w:suff w:val="tab"/>
      <w:lvlText w:val=""/>
      <w:lvlJc w:val="left"/>
      <w:pPr>
        <w:ind w:left="5029" w:hanging="360"/>
        <w:tabs>
          <w:tab w:val="num" w:pos="5029" w:leader="none"/>
        </w:tabs>
      </w:pPr>
      <w:rPr>
        <w:rFonts w:ascii="Wingdings" w:hAnsi="Wingdings"/>
      </w:rPr>
    </w:lvl>
    <w:lvl w:ilvl="6">
      <w:start w:val="1"/>
      <w:numFmt w:val="bullet"/>
      <w:isLgl w:val="false"/>
      <w:suff w:val="tab"/>
      <w:lvlText w:val=""/>
      <w:lvlJc w:val="left"/>
      <w:pPr>
        <w:ind w:left="5749" w:hanging="360"/>
        <w:tabs>
          <w:tab w:val="num" w:pos="5749" w:leader="none"/>
        </w:tabs>
      </w:pPr>
      <w:rPr>
        <w:rFonts w:ascii="Symbol" w:hAnsi="Symbol"/>
      </w:rPr>
    </w:lvl>
    <w:lvl w:ilvl="7">
      <w:start w:val="1"/>
      <w:numFmt w:val="bullet"/>
      <w:isLgl w:val="false"/>
      <w:suff w:val="tab"/>
      <w:lvlText w:val="o"/>
      <w:lvlJc w:val="left"/>
      <w:pPr>
        <w:ind w:left="6469" w:hanging="360"/>
        <w:tabs>
          <w:tab w:val="num" w:pos="6469" w:leader="none"/>
        </w:tabs>
      </w:pPr>
      <w:rPr>
        <w:rFonts w:ascii="Courier New" w:hAnsi="Courier New"/>
      </w:rPr>
    </w:lvl>
    <w:lvl w:ilvl="8">
      <w:start w:val="1"/>
      <w:numFmt w:val="bullet"/>
      <w:isLgl w:val="false"/>
      <w:suff w:val="tab"/>
      <w:lvlText w:val=""/>
      <w:lvlJc w:val="left"/>
      <w:pPr>
        <w:ind w:left="7189" w:hanging="360"/>
        <w:tabs>
          <w:tab w:val="num" w:pos="7189" w:leader="none"/>
        </w:tabs>
      </w:pPr>
      <w:rPr>
        <w:rFonts w:ascii="Wingdings" w:hAnsi="Wingdings"/>
      </w:rPr>
    </w:lvl>
  </w:abstractNum>
  <w:abstractNum w:abstractNumId="15">
    <w:multiLevelType w:val="hybridMultilevel"/>
    <w:lvl w:ilvl="0">
      <w:start w:val="1"/>
      <w:numFmt w:val="bullet"/>
      <w:isLgl w:val="false"/>
      <w:suff w:val="tab"/>
      <w:lvlText w:val=""/>
      <w:lvlJc w:val="left"/>
      <w:pPr>
        <w:ind w:left="1152" w:hanging="360"/>
        <w:tabs>
          <w:tab w:val="num" w:pos="1152" w:leader="none"/>
        </w:tabs>
      </w:pPr>
      <w:rPr>
        <w:rFonts w:ascii="Symbol" w:hAnsi="Symbol"/>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6">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rPr>
    </w:lvl>
    <w:lvl w:ilvl="8">
      <w:start w:val="1"/>
      <w:numFmt w:val="bullet"/>
      <w:isLgl w:val="false"/>
      <w:suff w:val="tab"/>
      <w:lvlText w:val=""/>
      <w:lvlJc w:val="left"/>
      <w:pPr>
        <w:ind w:left="6120" w:hanging="360"/>
        <w:tabs>
          <w:tab w:val="num" w:pos="6120" w:leader="none"/>
        </w:tabs>
      </w:pPr>
      <w:rPr>
        <w:rFonts w:ascii="Wingdings" w:hAnsi="Wingdings"/>
      </w:rPr>
    </w:lvl>
  </w:abstractNum>
  <w:num w:numId="1">
    <w:abstractNumId w:val="16"/>
  </w:num>
  <w:num w:numId="2">
    <w:abstractNumId w:val="12"/>
  </w:num>
  <w:num w:numId="3">
    <w:abstractNumId w:val="15"/>
  </w:num>
  <w:num w:numId="4">
    <w:abstractNumId w:val="1"/>
  </w:num>
  <w:num w:numId="5">
    <w:abstractNumId w:val="11"/>
  </w:num>
  <w:num w:numId="6">
    <w:abstractNumId w:val="14"/>
  </w:num>
  <w:num w:numId="7">
    <w:abstractNumId w:val="9"/>
  </w:num>
  <w:num w:numId="8">
    <w:abstractNumId w:val="18"/>
  </w:num>
  <w:num w:numId="9">
    <w:abstractNumId w:val="5"/>
  </w:num>
  <w:num w:numId="10">
    <w:abstractNumId w:val="2"/>
  </w:num>
  <w:num w:numId="11">
    <w:abstractNumId w:val="7"/>
  </w:num>
  <w:num w:numId="12">
    <w:abstractNumId w:val="0"/>
  </w:num>
  <w:num w:numId="13">
    <w:abstractNumId w:val="8"/>
  </w:num>
  <w:num w:numId="14">
    <w:abstractNumId w:val="17"/>
  </w:num>
  <w:num w:numId="15">
    <w:abstractNumId w:val="6"/>
  </w:num>
  <w:num w:numId="16">
    <w:abstractNumId w:val="3"/>
  </w:num>
  <w:num w:numId="17">
    <w:abstractNumId w:val="10"/>
  </w:num>
  <w:num w:numId="18">
    <w:abstractNumId w:val="1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7">
    <w:name w:val="Heading 1"/>
    <w:basedOn w:val="925"/>
    <w:next w:val="925"/>
    <w:link w:val="748"/>
    <w:uiPriority w:val="9"/>
    <w:qFormat/>
    <w:pPr>
      <w:keepLines/>
      <w:keepNext/>
      <w:spacing w:before="480" w:after="200"/>
      <w:outlineLvl w:val="0"/>
    </w:pPr>
    <w:rPr>
      <w:rFonts w:ascii="Arial" w:hAnsi="Arial" w:eastAsia="Arial" w:cs="Arial"/>
      <w:sz w:val="40"/>
      <w:szCs w:val="40"/>
    </w:rPr>
  </w:style>
  <w:style w:type="character" w:styleId="748">
    <w:name w:val="Heading 1 Char"/>
    <w:link w:val="747"/>
    <w:uiPriority w:val="9"/>
    <w:rPr>
      <w:rFonts w:ascii="Arial" w:hAnsi="Arial" w:eastAsia="Arial" w:cs="Arial"/>
      <w:sz w:val="40"/>
      <w:szCs w:val="40"/>
    </w:rPr>
  </w:style>
  <w:style w:type="paragraph" w:styleId="749">
    <w:name w:val="Heading 2"/>
    <w:basedOn w:val="925"/>
    <w:next w:val="925"/>
    <w:link w:val="750"/>
    <w:uiPriority w:val="9"/>
    <w:unhideWhenUsed/>
    <w:qFormat/>
    <w:pPr>
      <w:keepLines/>
      <w:keepNext/>
      <w:spacing w:before="360" w:after="200"/>
      <w:outlineLvl w:val="1"/>
    </w:pPr>
    <w:rPr>
      <w:rFonts w:ascii="Arial" w:hAnsi="Arial" w:eastAsia="Arial" w:cs="Arial"/>
      <w:sz w:val="34"/>
    </w:rPr>
  </w:style>
  <w:style w:type="character" w:styleId="750">
    <w:name w:val="Heading 2 Char"/>
    <w:link w:val="749"/>
    <w:uiPriority w:val="9"/>
    <w:rPr>
      <w:rFonts w:ascii="Arial" w:hAnsi="Arial" w:eastAsia="Arial" w:cs="Arial"/>
      <w:sz w:val="34"/>
    </w:rPr>
  </w:style>
  <w:style w:type="paragraph" w:styleId="751">
    <w:name w:val="Heading 3"/>
    <w:basedOn w:val="925"/>
    <w:next w:val="925"/>
    <w:link w:val="752"/>
    <w:uiPriority w:val="9"/>
    <w:unhideWhenUsed/>
    <w:qFormat/>
    <w:pPr>
      <w:keepLines/>
      <w:keepNext/>
      <w:spacing w:before="320" w:after="200"/>
      <w:outlineLvl w:val="2"/>
    </w:pPr>
    <w:rPr>
      <w:rFonts w:ascii="Arial" w:hAnsi="Arial" w:eastAsia="Arial" w:cs="Arial"/>
      <w:sz w:val="30"/>
      <w:szCs w:val="30"/>
    </w:rPr>
  </w:style>
  <w:style w:type="character" w:styleId="752">
    <w:name w:val="Heading 3 Char"/>
    <w:link w:val="751"/>
    <w:uiPriority w:val="9"/>
    <w:rPr>
      <w:rFonts w:ascii="Arial" w:hAnsi="Arial" w:eastAsia="Arial" w:cs="Arial"/>
      <w:sz w:val="30"/>
      <w:szCs w:val="30"/>
    </w:rPr>
  </w:style>
  <w:style w:type="paragraph" w:styleId="753">
    <w:name w:val="Heading 4"/>
    <w:basedOn w:val="925"/>
    <w:next w:val="925"/>
    <w:link w:val="754"/>
    <w:uiPriority w:val="9"/>
    <w:unhideWhenUsed/>
    <w:qFormat/>
    <w:pPr>
      <w:keepLines/>
      <w:keepNext/>
      <w:spacing w:before="320" w:after="200"/>
      <w:outlineLvl w:val="3"/>
    </w:pPr>
    <w:rPr>
      <w:rFonts w:ascii="Arial" w:hAnsi="Arial" w:eastAsia="Arial" w:cs="Arial"/>
      <w:b/>
      <w:bCs/>
      <w:sz w:val="26"/>
      <w:szCs w:val="26"/>
    </w:rPr>
  </w:style>
  <w:style w:type="character" w:styleId="754">
    <w:name w:val="Heading 4 Char"/>
    <w:link w:val="753"/>
    <w:uiPriority w:val="9"/>
    <w:rPr>
      <w:rFonts w:ascii="Arial" w:hAnsi="Arial" w:eastAsia="Arial" w:cs="Arial"/>
      <w:b/>
      <w:bCs/>
      <w:sz w:val="26"/>
      <w:szCs w:val="26"/>
    </w:rPr>
  </w:style>
  <w:style w:type="paragraph" w:styleId="755">
    <w:name w:val="Heading 5"/>
    <w:basedOn w:val="925"/>
    <w:next w:val="925"/>
    <w:link w:val="756"/>
    <w:uiPriority w:val="9"/>
    <w:unhideWhenUsed/>
    <w:qFormat/>
    <w:pPr>
      <w:keepLines/>
      <w:keepNext/>
      <w:spacing w:before="320" w:after="200"/>
      <w:outlineLvl w:val="4"/>
    </w:pPr>
    <w:rPr>
      <w:rFonts w:ascii="Arial" w:hAnsi="Arial" w:eastAsia="Arial" w:cs="Arial"/>
      <w:b/>
      <w:bCs/>
      <w:sz w:val="24"/>
      <w:szCs w:val="24"/>
    </w:rPr>
  </w:style>
  <w:style w:type="character" w:styleId="756">
    <w:name w:val="Heading 5 Char"/>
    <w:link w:val="755"/>
    <w:uiPriority w:val="9"/>
    <w:rPr>
      <w:rFonts w:ascii="Arial" w:hAnsi="Arial" w:eastAsia="Arial" w:cs="Arial"/>
      <w:b/>
      <w:bCs/>
      <w:sz w:val="24"/>
      <w:szCs w:val="24"/>
    </w:rPr>
  </w:style>
  <w:style w:type="paragraph" w:styleId="757">
    <w:name w:val="Heading 6"/>
    <w:basedOn w:val="925"/>
    <w:next w:val="925"/>
    <w:link w:val="758"/>
    <w:uiPriority w:val="9"/>
    <w:unhideWhenUsed/>
    <w:qFormat/>
    <w:pPr>
      <w:keepLines/>
      <w:keepNext/>
      <w:spacing w:before="320" w:after="200"/>
      <w:outlineLvl w:val="5"/>
    </w:pPr>
    <w:rPr>
      <w:rFonts w:ascii="Arial" w:hAnsi="Arial" w:eastAsia="Arial" w:cs="Arial"/>
      <w:b/>
      <w:bCs/>
      <w:sz w:val="22"/>
      <w:szCs w:val="22"/>
    </w:rPr>
  </w:style>
  <w:style w:type="character" w:styleId="758">
    <w:name w:val="Heading 6 Char"/>
    <w:link w:val="757"/>
    <w:uiPriority w:val="9"/>
    <w:rPr>
      <w:rFonts w:ascii="Arial" w:hAnsi="Arial" w:eastAsia="Arial" w:cs="Arial"/>
      <w:b/>
      <w:bCs/>
      <w:sz w:val="22"/>
      <w:szCs w:val="22"/>
    </w:rPr>
  </w:style>
  <w:style w:type="paragraph" w:styleId="759">
    <w:name w:val="Heading 7"/>
    <w:basedOn w:val="925"/>
    <w:next w:val="925"/>
    <w:link w:val="760"/>
    <w:uiPriority w:val="9"/>
    <w:unhideWhenUsed/>
    <w:qFormat/>
    <w:pPr>
      <w:keepLines/>
      <w:keepNext/>
      <w:spacing w:before="320" w:after="200"/>
      <w:outlineLvl w:val="6"/>
    </w:pPr>
    <w:rPr>
      <w:rFonts w:ascii="Arial" w:hAnsi="Arial" w:eastAsia="Arial" w:cs="Arial"/>
      <w:b/>
      <w:bCs/>
      <w:i/>
      <w:iCs/>
      <w:sz w:val="22"/>
      <w:szCs w:val="22"/>
    </w:rPr>
  </w:style>
  <w:style w:type="character" w:styleId="760">
    <w:name w:val="Heading 7 Char"/>
    <w:link w:val="759"/>
    <w:uiPriority w:val="9"/>
    <w:rPr>
      <w:rFonts w:ascii="Arial" w:hAnsi="Arial" w:eastAsia="Arial" w:cs="Arial"/>
      <w:b/>
      <w:bCs/>
      <w:i/>
      <w:iCs/>
      <w:sz w:val="22"/>
      <w:szCs w:val="22"/>
    </w:rPr>
  </w:style>
  <w:style w:type="paragraph" w:styleId="761">
    <w:name w:val="Heading 8"/>
    <w:basedOn w:val="925"/>
    <w:next w:val="925"/>
    <w:link w:val="762"/>
    <w:uiPriority w:val="9"/>
    <w:unhideWhenUsed/>
    <w:qFormat/>
    <w:pPr>
      <w:keepLines/>
      <w:keepNext/>
      <w:spacing w:before="320" w:after="200"/>
      <w:outlineLvl w:val="7"/>
    </w:pPr>
    <w:rPr>
      <w:rFonts w:ascii="Arial" w:hAnsi="Arial" w:eastAsia="Arial" w:cs="Arial"/>
      <w:i/>
      <w:iCs/>
      <w:sz w:val="22"/>
      <w:szCs w:val="22"/>
    </w:rPr>
  </w:style>
  <w:style w:type="character" w:styleId="762">
    <w:name w:val="Heading 8 Char"/>
    <w:link w:val="761"/>
    <w:uiPriority w:val="9"/>
    <w:rPr>
      <w:rFonts w:ascii="Arial" w:hAnsi="Arial" w:eastAsia="Arial" w:cs="Arial"/>
      <w:i/>
      <w:iCs/>
      <w:sz w:val="22"/>
      <w:szCs w:val="22"/>
    </w:rPr>
  </w:style>
  <w:style w:type="paragraph" w:styleId="763">
    <w:name w:val="Heading 9"/>
    <w:basedOn w:val="925"/>
    <w:next w:val="925"/>
    <w:link w:val="764"/>
    <w:uiPriority w:val="9"/>
    <w:unhideWhenUsed/>
    <w:qFormat/>
    <w:pPr>
      <w:keepLines/>
      <w:keepNext/>
      <w:spacing w:before="320" w:after="200"/>
      <w:outlineLvl w:val="8"/>
    </w:pPr>
    <w:rPr>
      <w:rFonts w:ascii="Arial" w:hAnsi="Arial" w:eastAsia="Arial" w:cs="Arial"/>
      <w:i/>
      <w:iCs/>
      <w:sz w:val="21"/>
      <w:szCs w:val="21"/>
    </w:rPr>
  </w:style>
  <w:style w:type="character" w:styleId="764">
    <w:name w:val="Heading 9 Char"/>
    <w:link w:val="763"/>
    <w:uiPriority w:val="9"/>
    <w:rPr>
      <w:rFonts w:ascii="Arial" w:hAnsi="Arial" w:eastAsia="Arial" w:cs="Arial"/>
      <w:i/>
      <w:iCs/>
      <w:sz w:val="21"/>
      <w:szCs w:val="21"/>
    </w:rPr>
  </w:style>
  <w:style w:type="paragraph" w:styleId="765">
    <w:name w:val="List Paragraph"/>
    <w:basedOn w:val="925"/>
    <w:uiPriority w:val="34"/>
    <w:qFormat/>
    <w:pPr>
      <w:contextualSpacing/>
      <w:ind w:left="720"/>
    </w:pPr>
  </w:style>
  <w:style w:type="paragraph" w:styleId="766">
    <w:name w:val="No Spacing"/>
    <w:uiPriority w:val="1"/>
    <w:qFormat/>
    <w:pPr>
      <w:spacing w:before="0" w:after="0" w:line="240" w:lineRule="auto"/>
    </w:pPr>
  </w:style>
  <w:style w:type="paragraph" w:styleId="767">
    <w:name w:val="Title"/>
    <w:basedOn w:val="925"/>
    <w:next w:val="925"/>
    <w:link w:val="768"/>
    <w:uiPriority w:val="10"/>
    <w:qFormat/>
    <w:pPr>
      <w:contextualSpacing/>
      <w:spacing w:before="300" w:after="200"/>
    </w:pPr>
    <w:rPr>
      <w:sz w:val="48"/>
      <w:szCs w:val="48"/>
    </w:rPr>
  </w:style>
  <w:style w:type="character" w:styleId="768">
    <w:name w:val="Title Char"/>
    <w:link w:val="767"/>
    <w:uiPriority w:val="10"/>
    <w:rPr>
      <w:sz w:val="48"/>
      <w:szCs w:val="48"/>
    </w:rPr>
  </w:style>
  <w:style w:type="paragraph" w:styleId="769">
    <w:name w:val="Subtitle"/>
    <w:basedOn w:val="925"/>
    <w:next w:val="925"/>
    <w:link w:val="770"/>
    <w:uiPriority w:val="11"/>
    <w:qFormat/>
    <w:pPr>
      <w:spacing w:before="200" w:after="200"/>
    </w:pPr>
    <w:rPr>
      <w:sz w:val="24"/>
      <w:szCs w:val="24"/>
    </w:rPr>
  </w:style>
  <w:style w:type="character" w:styleId="770">
    <w:name w:val="Subtitle Char"/>
    <w:link w:val="769"/>
    <w:uiPriority w:val="11"/>
    <w:rPr>
      <w:sz w:val="24"/>
      <w:szCs w:val="24"/>
    </w:rPr>
  </w:style>
  <w:style w:type="paragraph" w:styleId="771">
    <w:name w:val="Quote"/>
    <w:basedOn w:val="925"/>
    <w:next w:val="925"/>
    <w:link w:val="772"/>
    <w:uiPriority w:val="29"/>
    <w:qFormat/>
    <w:pPr>
      <w:ind w:left="720" w:right="720"/>
    </w:pPr>
    <w:rPr>
      <w:i/>
    </w:rPr>
  </w:style>
  <w:style w:type="character" w:styleId="772">
    <w:name w:val="Quote Char"/>
    <w:link w:val="771"/>
    <w:uiPriority w:val="29"/>
    <w:rPr>
      <w:i/>
    </w:rPr>
  </w:style>
  <w:style w:type="paragraph" w:styleId="773">
    <w:name w:val="Intense Quote"/>
    <w:basedOn w:val="925"/>
    <w:next w:val="925"/>
    <w:link w:val="77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4">
    <w:name w:val="Intense Quote Char"/>
    <w:link w:val="773"/>
    <w:uiPriority w:val="30"/>
    <w:rPr>
      <w:i/>
    </w:rPr>
  </w:style>
  <w:style w:type="paragraph" w:styleId="775">
    <w:name w:val="Header"/>
    <w:basedOn w:val="925"/>
    <w:link w:val="776"/>
    <w:uiPriority w:val="99"/>
    <w:unhideWhenUsed/>
    <w:pPr>
      <w:spacing w:after="0" w:line="240" w:lineRule="auto"/>
      <w:tabs>
        <w:tab w:val="center" w:pos="7143" w:leader="none"/>
        <w:tab w:val="right" w:pos="14287" w:leader="none"/>
      </w:tabs>
    </w:pPr>
  </w:style>
  <w:style w:type="character" w:styleId="776">
    <w:name w:val="Header Char"/>
    <w:link w:val="775"/>
    <w:uiPriority w:val="99"/>
  </w:style>
  <w:style w:type="paragraph" w:styleId="777">
    <w:name w:val="Footer"/>
    <w:basedOn w:val="925"/>
    <w:link w:val="780"/>
    <w:uiPriority w:val="99"/>
    <w:unhideWhenUsed/>
    <w:pPr>
      <w:spacing w:after="0" w:line="240" w:lineRule="auto"/>
      <w:tabs>
        <w:tab w:val="center" w:pos="7143" w:leader="none"/>
        <w:tab w:val="right" w:pos="14287" w:leader="none"/>
      </w:tabs>
    </w:pPr>
  </w:style>
  <w:style w:type="character" w:styleId="778">
    <w:name w:val="Footer Char"/>
    <w:link w:val="777"/>
    <w:uiPriority w:val="99"/>
  </w:style>
  <w:style w:type="paragraph" w:styleId="779">
    <w:name w:val="Caption"/>
    <w:basedOn w:val="925"/>
    <w:next w:val="925"/>
    <w:uiPriority w:val="35"/>
    <w:semiHidden/>
    <w:unhideWhenUsed/>
    <w:qFormat/>
    <w:pPr>
      <w:spacing w:line="276" w:lineRule="auto"/>
    </w:pPr>
    <w:rPr>
      <w:b/>
      <w:bCs/>
      <w:color w:val="4f81bd" w:themeColor="accent1"/>
      <w:sz w:val="18"/>
      <w:szCs w:val="18"/>
    </w:rPr>
  </w:style>
  <w:style w:type="character" w:styleId="780">
    <w:name w:val="Caption Char"/>
    <w:basedOn w:val="779"/>
    <w:link w:val="777"/>
    <w:uiPriority w:val="99"/>
  </w:style>
  <w:style w:type="table" w:styleId="78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1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1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2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2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8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8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8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7">
    <w:name w:val="Hyperlink"/>
    <w:uiPriority w:val="99"/>
    <w:unhideWhenUsed/>
    <w:rPr>
      <w:color w:val="0000ff" w:themeColor="hyperlink"/>
      <w:u w:val="single"/>
    </w:rPr>
  </w:style>
  <w:style w:type="paragraph" w:styleId="908">
    <w:name w:val="footnote text"/>
    <w:basedOn w:val="925"/>
    <w:link w:val="909"/>
    <w:uiPriority w:val="99"/>
    <w:semiHidden/>
    <w:unhideWhenUsed/>
    <w:pPr>
      <w:spacing w:after="40" w:line="240" w:lineRule="auto"/>
    </w:pPr>
    <w:rPr>
      <w:sz w:val="18"/>
    </w:rPr>
  </w:style>
  <w:style w:type="character" w:styleId="909">
    <w:name w:val="Footnote Text Char"/>
    <w:link w:val="908"/>
    <w:uiPriority w:val="99"/>
    <w:rPr>
      <w:sz w:val="18"/>
    </w:rPr>
  </w:style>
  <w:style w:type="character" w:styleId="910">
    <w:name w:val="footnote reference"/>
    <w:uiPriority w:val="99"/>
    <w:unhideWhenUsed/>
    <w:rPr>
      <w:vertAlign w:val="superscript"/>
    </w:rPr>
  </w:style>
  <w:style w:type="paragraph" w:styleId="911">
    <w:name w:val="endnote text"/>
    <w:basedOn w:val="925"/>
    <w:link w:val="912"/>
    <w:uiPriority w:val="99"/>
    <w:semiHidden/>
    <w:unhideWhenUsed/>
    <w:pPr>
      <w:spacing w:after="0" w:line="240" w:lineRule="auto"/>
    </w:pPr>
    <w:rPr>
      <w:sz w:val="20"/>
    </w:rPr>
  </w:style>
  <w:style w:type="character" w:styleId="912">
    <w:name w:val="Endnote Text Char"/>
    <w:link w:val="911"/>
    <w:uiPriority w:val="99"/>
    <w:rPr>
      <w:sz w:val="20"/>
    </w:rPr>
  </w:style>
  <w:style w:type="character" w:styleId="913">
    <w:name w:val="endnote reference"/>
    <w:uiPriority w:val="99"/>
    <w:semiHidden/>
    <w:unhideWhenUsed/>
    <w:rPr>
      <w:vertAlign w:val="superscript"/>
    </w:rPr>
  </w:style>
  <w:style w:type="paragraph" w:styleId="914">
    <w:name w:val="toc 1"/>
    <w:basedOn w:val="925"/>
    <w:next w:val="925"/>
    <w:uiPriority w:val="39"/>
    <w:unhideWhenUsed/>
    <w:pPr>
      <w:ind w:left="0" w:right="0" w:firstLine="0"/>
      <w:spacing w:after="57"/>
    </w:pPr>
  </w:style>
  <w:style w:type="paragraph" w:styleId="915">
    <w:name w:val="toc 2"/>
    <w:basedOn w:val="925"/>
    <w:next w:val="925"/>
    <w:uiPriority w:val="39"/>
    <w:unhideWhenUsed/>
    <w:pPr>
      <w:ind w:left="283" w:right="0" w:firstLine="0"/>
      <w:spacing w:after="57"/>
    </w:pPr>
  </w:style>
  <w:style w:type="paragraph" w:styleId="916">
    <w:name w:val="toc 3"/>
    <w:basedOn w:val="925"/>
    <w:next w:val="925"/>
    <w:uiPriority w:val="39"/>
    <w:unhideWhenUsed/>
    <w:pPr>
      <w:ind w:left="567" w:right="0" w:firstLine="0"/>
      <w:spacing w:after="57"/>
    </w:pPr>
  </w:style>
  <w:style w:type="paragraph" w:styleId="917">
    <w:name w:val="toc 4"/>
    <w:basedOn w:val="925"/>
    <w:next w:val="925"/>
    <w:uiPriority w:val="39"/>
    <w:unhideWhenUsed/>
    <w:pPr>
      <w:ind w:left="850" w:right="0" w:firstLine="0"/>
      <w:spacing w:after="57"/>
    </w:pPr>
  </w:style>
  <w:style w:type="paragraph" w:styleId="918">
    <w:name w:val="toc 5"/>
    <w:basedOn w:val="925"/>
    <w:next w:val="925"/>
    <w:uiPriority w:val="39"/>
    <w:unhideWhenUsed/>
    <w:pPr>
      <w:ind w:left="1134" w:right="0" w:firstLine="0"/>
      <w:spacing w:after="57"/>
    </w:pPr>
  </w:style>
  <w:style w:type="paragraph" w:styleId="919">
    <w:name w:val="toc 6"/>
    <w:basedOn w:val="925"/>
    <w:next w:val="925"/>
    <w:uiPriority w:val="39"/>
    <w:unhideWhenUsed/>
    <w:pPr>
      <w:ind w:left="1417" w:right="0" w:firstLine="0"/>
      <w:spacing w:after="57"/>
    </w:pPr>
  </w:style>
  <w:style w:type="paragraph" w:styleId="920">
    <w:name w:val="toc 7"/>
    <w:basedOn w:val="925"/>
    <w:next w:val="925"/>
    <w:uiPriority w:val="39"/>
    <w:unhideWhenUsed/>
    <w:pPr>
      <w:ind w:left="1701" w:right="0" w:firstLine="0"/>
      <w:spacing w:after="57"/>
    </w:pPr>
  </w:style>
  <w:style w:type="paragraph" w:styleId="921">
    <w:name w:val="toc 8"/>
    <w:basedOn w:val="925"/>
    <w:next w:val="925"/>
    <w:uiPriority w:val="39"/>
    <w:unhideWhenUsed/>
    <w:pPr>
      <w:ind w:left="1984" w:right="0" w:firstLine="0"/>
      <w:spacing w:after="57"/>
    </w:pPr>
  </w:style>
  <w:style w:type="paragraph" w:styleId="922">
    <w:name w:val="toc 9"/>
    <w:basedOn w:val="925"/>
    <w:next w:val="925"/>
    <w:uiPriority w:val="39"/>
    <w:unhideWhenUsed/>
    <w:pPr>
      <w:ind w:left="2268" w:right="0" w:firstLine="0"/>
      <w:spacing w:after="57"/>
    </w:pPr>
  </w:style>
  <w:style w:type="paragraph" w:styleId="923">
    <w:name w:val="TOC Heading"/>
    <w:uiPriority w:val="39"/>
    <w:unhideWhenUsed/>
  </w:style>
  <w:style w:type="paragraph" w:styleId="924">
    <w:name w:val="table of figures"/>
    <w:basedOn w:val="925"/>
    <w:next w:val="925"/>
    <w:uiPriority w:val="99"/>
    <w:unhideWhenUsed/>
    <w:pPr>
      <w:spacing w:after="0" w:afterAutospacing="0"/>
    </w:pPr>
  </w:style>
  <w:style w:type="paragraph" w:styleId="925" w:default="1">
    <w:name w:val="Normal"/>
    <w:next w:val="925"/>
    <w:link w:val="925"/>
    <w:qFormat/>
    <w:rPr>
      <w:lang w:val="ru-RU" w:eastAsia="ru-RU" w:bidi="ar-SA"/>
    </w:rPr>
  </w:style>
  <w:style w:type="paragraph" w:styleId="926">
    <w:name w:val="Заголовок 1"/>
    <w:basedOn w:val="925"/>
    <w:next w:val="925"/>
    <w:link w:val="967"/>
    <w:qFormat/>
    <w:pPr>
      <w:jc w:val="both"/>
      <w:keepNext/>
      <w:outlineLvl w:val="0"/>
    </w:pPr>
    <w:rPr>
      <w:b/>
      <w:bCs/>
      <w:sz w:val="22"/>
      <w:szCs w:val="22"/>
    </w:rPr>
  </w:style>
  <w:style w:type="paragraph" w:styleId="927">
    <w:name w:val="Заголовок 2"/>
    <w:basedOn w:val="925"/>
    <w:next w:val="925"/>
    <w:link w:val="949"/>
    <w:qFormat/>
    <w:pPr>
      <w:jc w:val="center"/>
      <w:keepNext/>
      <w:outlineLvl w:val="1"/>
    </w:pPr>
    <w:rPr>
      <w:b/>
      <w:bCs/>
      <w:sz w:val="18"/>
      <w:szCs w:val="18"/>
    </w:rPr>
  </w:style>
  <w:style w:type="paragraph" w:styleId="928">
    <w:name w:val="Заголовок 3"/>
    <w:basedOn w:val="925"/>
    <w:next w:val="925"/>
    <w:link w:val="968"/>
    <w:qFormat/>
    <w:pPr>
      <w:ind w:left="-2" w:right="-18"/>
      <w:jc w:val="center"/>
      <w:keepNext/>
      <w:spacing w:line="240" w:lineRule="atLeast"/>
      <w:tabs>
        <w:tab w:val="left" w:pos="4464" w:leader="none"/>
        <w:tab w:val="left" w:pos="5760" w:leader="none"/>
      </w:tabs>
      <w:outlineLvl w:val="2"/>
    </w:pPr>
    <w:rPr>
      <w:b/>
      <w:bCs/>
      <w:sz w:val="18"/>
      <w:szCs w:val="18"/>
    </w:rPr>
  </w:style>
  <w:style w:type="paragraph" w:styleId="929">
    <w:name w:val="Заголовок 4"/>
    <w:basedOn w:val="925"/>
    <w:next w:val="925"/>
    <w:link w:val="925"/>
    <w:qFormat/>
    <w:pPr>
      <w:ind w:left="421" w:right="-18" w:hanging="529"/>
      <w:jc w:val="both"/>
      <w:keepNext/>
      <w:spacing w:line="240" w:lineRule="atLeast"/>
      <w:tabs>
        <w:tab w:val="left" w:pos="4464" w:leader="none"/>
        <w:tab w:val="left" w:pos="5760" w:leader="none"/>
      </w:tabs>
      <w:outlineLvl w:val="3"/>
    </w:pPr>
    <w:rPr>
      <w:b/>
      <w:bCs/>
      <w:sz w:val="18"/>
      <w:szCs w:val="18"/>
    </w:rPr>
  </w:style>
  <w:style w:type="paragraph" w:styleId="930">
    <w:name w:val="Заголовок 5"/>
    <w:basedOn w:val="925"/>
    <w:next w:val="925"/>
    <w:link w:val="950"/>
    <w:qFormat/>
    <w:pPr>
      <w:ind w:left="567" w:right="567"/>
      <w:jc w:val="center"/>
      <w:keepNext/>
      <w:spacing w:line="240" w:lineRule="atLeast"/>
      <w:tabs>
        <w:tab w:val="left" w:pos="4464" w:leader="none"/>
        <w:tab w:val="left" w:pos="5760" w:leader="none"/>
      </w:tabs>
      <w:outlineLvl w:val="4"/>
    </w:pPr>
    <w:rPr>
      <w:b/>
      <w:bCs/>
      <w:sz w:val="22"/>
      <w:szCs w:val="22"/>
    </w:rPr>
  </w:style>
  <w:style w:type="paragraph" w:styleId="931">
    <w:name w:val="Заголовок 6"/>
    <w:basedOn w:val="925"/>
    <w:next w:val="925"/>
    <w:link w:val="925"/>
    <w:qFormat/>
    <w:pPr>
      <w:ind w:left="-108" w:right="-18"/>
      <w:jc w:val="both"/>
      <w:keepNext/>
      <w:spacing w:line="240" w:lineRule="atLeast"/>
      <w:tabs>
        <w:tab w:val="left" w:pos="4464" w:leader="none"/>
        <w:tab w:val="left" w:pos="5760" w:leader="none"/>
      </w:tabs>
      <w:outlineLvl w:val="5"/>
    </w:pPr>
    <w:rPr>
      <w:b/>
      <w:bCs/>
    </w:rPr>
  </w:style>
  <w:style w:type="paragraph" w:styleId="932">
    <w:name w:val="Заголовок 7"/>
    <w:basedOn w:val="925"/>
    <w:next w:val="925"/>
    <w:link w:val="969"/>
    <w:qFormat/>
    <w:pPr>
      <w:ind w:left="-108"/>
      <w:keepNext/>
      <w:outlineLvl w:val="6"/>
    </w:pPr>
    <w:rPr>
      <w:b/>
      <w:bCs/>
    </w:rPr>
  </w:style>
  <w:style w:type="paragraph" w:styleId="933">
    <w:name w:val="Заголовок 8"/>
    <w:basedOn w:val="925"/>
    <w:next w:val="925"/>
    <w:link w:val="970"/>
    <w:qFormat/>
    <w:pPr>
      <w:ind w:left="540" w:right="-18" w:hanging="540"/>
      <w:jc w:val="center"/>
      <w:keepNext/>
      <w:spacing w:line="240" w:lineRule="atLeast"/>
      <w:tabs>
        <w:tab w:val="left" w:pos="4464" w:leader="none"/>
        <w:tab w:val="left" w:pos="5760" w:leader="none"/>
      </w:tabs>
      <w:outlineLvl w:val="7"/>
    </w:pPr>
    <w:rPr>
      <w:i/>
      <w:iCs/>
      <w:sz w:val="24"/>
      <w:szCs w:val="24"/>
    </w:rPr>
  </w:style>
  <w:style w:type="character" w:styleId="934">
    <w:name w:val="Основной шрифт абзаца"/>
    <w:next w:val="934"/>
    <w:link w:val="925"/>
    <w:semiHidden/>
  </w:style>
  <w:style w:type="table" w:styleId="935">
    <w:name w:val="Обычная таблица"/>
    <w:next w:val="935"/>
    <w:link w:val="925"/>
    <w:semiHidden/>
    <w:tblPr/>
  </w:style>
  <w:style w:type="numbering" w:styleId="936">
    <w:name w:val="Нет списка"/>
    <w:next w:val="936"/>
    <w:link w:val="925"/>
    <w:semiHidden/>
  </w:style>
  <w:style w:type="paragraph" w:styleId="937">
    <w:name w:val="Цитата"/>
    <w:basedOn w:val="925"/>
    <w:next w:val="937"/>
    <w:link w:val="925"/>
    <w:pPr>
      <w:ind w:left="780" w:right="626"/>
      <w:jc w:val="both"/>
    </w:pPr>
    <w:rPr>
      <w:sz w:val="24"/>
      <w:szCs w:val="24"/>
    </w:rPr>
  </w:style>
  <w:style w:type="paragraph" w:styleId="938">
    <w:name w:val="Основной текст 2"/>
    <w:basedOn w:val="925"/>
    <w:next w:val="938"/>
    <w:link w:val="972"/>
    <w:pPr>
      <w:jc w:val="both"/>
    </w:pPr>
    <w:rPr>
      <w:i/>
      <w:iCs/>
    </w:rPr>
  </w:style>
  <w:style w:type="paragraph" w:styleId="939">
    <w:name w:val="Основной текст с отступом 2"/>
    <w:basedOn w:val="925"/>
    <w:next w:val="939"/>
    <w:link w:val="973"/>
    <w:pPr>
      <w:ind w:left="-108"/>
      <w:jc w:val="both"/>
    </w:pPr>
    <w:rPr>
      <w:b/>
      <w:bCs/>
    </w:rPr>
  </w:style>
  <w:style w:type="paragraph" w:styleId="940">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925"/>
    <w:next w:val="940"/>
    <w:link w:val="964"/>
    <w:uiPriority w:val="99"/>
    <w:pPr>
      <w:tabs>
        <w:tab w:val="center" w:pos="4320" w:leader="none"/>
        <w:tab w:val="right" w:pos="8640" w:leader="none"/>
      </w:tabs>
    </w:pPr>
    <w:rPr>
      <w:lang w:val="en-GB" w:eastAsia="en-US"/>
    </w:rPr>
  </w:style>
  <w:style w:type="paragraph" w:styleId="941">
    <w:name w:val="Основной текст"/>
    <w:basedOn w:val="925"/>
    <w:next w:val="941"/>
    <w:link w:val="971"/>
    <w:pPr>
      <w:jc w:val="both"/>
      <w:spacing w:line="312" w:lineRule="atLeast"/>
    </w:pPr>
    <w:rPr>
      <w:rFonts w:ascii="Times New Roman CYR" w:hAnsi="Times New Roman CYR" w:cs="Times New Roman CYR"/>
      <w:sz w:val="22"/>
      <w:szCs w:val="22"/>
    </w:rPr>
  </w:style>
  <w:style w:type="paragraph" w:styleId="942">
    <w:name w:val="Основной текст с отступом 3"/>
    <w:basedOn w:val="925"/>
    <w:next w:val="942"/>
    <w:link w:val="951"/>
    <w:pPr>
      <w:ind w:right="624" w:firstLine="709"/>
      <w:jc w:val="both"/>
      <w:spacing w:before="120"/>
    </w:pPr>
    <w:rPr>
      <w:sz w:val="22"/>
      <w:szCs w:val="22"/>
    </w:rPr>
  </w:style>
  <w:style w:type="character" w:styleId="943">
    <w:name w:val="Номер страницы"/>
    <w:next w:val="943"/>
    <w:link w:val="925"/>
    <w:rPr>
      <w:rFonts w:cs="Times New Roman"/>
    </w:rPr>
  </w:style>
  <w:style w:type="paragraph" w:styleId="944">
    <w:name w:val="Нижний колонтитул"/>
    <w:basedOn w:val="925"/>
    <w:next w:val="944"/>
    <w:link w:val="965"/>
    <w:pPr>
      <w:tabs>
        <w:tab w:val="center" w:pos="4677" w:leader="none"/>
        <w:tab w:val="right" w:pos="9355" w:leader="none"/>
      </w:tabs>
    </w:pPr>
  </w:style>
  <w:style w:type="paragraph" w:styleId="945">
    <w:name w:val="Текст выноски"/>
    <w:basedOn w:val="925"/>
    <w:next w:val="945"/>
    <w:link w:val="925"/>
    <w:semiHidden/>
    <w:rPr>
      <w:rFonts w:ascii="Tahoma" w:hAnsi="Tahoma" w:cs="Tahoma"/>
      <w:sz w:val="16"/>
      <w:szCs w:val="16"/>
    </w:rPr>
  </w:style>
  <w:style w:type="paragraph" w:styleId="946">
    <w:name w:val="Основной текст с отступом"/>
    <w:basedOn w:val="925"/>
    <w:next w:val="946"/>
    <w:link w:val="925"/>
    <w:pPr>
      <w:ind w:left="283"/>
      <w:spacing w:after="120"/>
    </w:pPr>
  </w:style>
  <w:style w:type="paragraph" w:styleId="94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925"/>
    <w:next w:val="947"/>
    <w:link w:val="966"/>
  </w:style>
  <w:style w:type="character" w:styleId="948">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
    <w:next w:val="948"/>
    <w:link w:val="925"/>
    <w:qFormat/>
    <w:rPr>
      <w:rFonts w:cs="Times New Roman"/>
      <w:vertAlign w:val="superscript"/>
    </w:rPr>
  </w:style>
  <w:style w:type="character" w:styleId="949">
    <w:name w:val="Заголовок 2 Знак"/>
    <w:next w:val="949"/>
    <w:link w:val="927"/>
    <w:semiHidden/>
    <w:rPr>
      <w:rFonts w:cs="Times New Roman"/>
      <w:b/>
      <w:bCs/>
      <w:sz w:val="18"/>
      <w:szCs w:val="18"/>
      <w:lang w:val="ru-RU" w:eastAsia="ru-RU" w:bidi="ar-SA"/>
    </w:rPr>
  </w:style>
  <w:style w:type="character" w:styleId="950">
    <w:name w:val="Заголовок 5 Знак"/>
    <w:next w:val="950"/>
    <w:link w:val="930"/>
    <w:semiHidden/>
    <w:rPr>
      <w:rFonts w:cs="Times New Roman"/>
      <w:b/>
      <w:bCs/>
      <w:sz w:val="22"/>
      <w:szCs w:val="22"/>
      <w:lang w:val="ru-RU" w:eastAsia="ru-RU" w:bidi="ar-SA"/>
    </w:rPr>
  </w:style>
  <w:style w:type="character" w:styleId="951">
    <w:name w:val="Основной текст с отступом 3 Знак"/>
    <w:next w:val="951"/>
    <w:link w:val="942"/>
    <w:semiHidden/>
    <w:rPr>
      <w:rFonts w:cs="Times New Roman"/>
      <w:sz w:val="22"/>
      <w:szCs w:val="22"/>
      <w:lang w:val="ru-RU" w:eastAsia="ru-RU" w:bidi="ar-SA"/>
    </w:rPr>
  </w:style>
  <w:style w:type="table" w:styleId="952">
    <w:name w:val="Сетка таблицы"/>
    <w:basedOn w:val="935"/>
    <w:next w:val="952"/>
    <w:link w:val="925"/>
    <w:tblPr/>
  </w:style>
  <w:style w:type="paragraph" w:styleId="953">
    <w:name w:val="Default"/>
    <w:next w:val="953"/>
    <w:link w:val="925"/>
    <w:rPr>
      <w:color w:val="000000"/>
      <w:sz w:val="24"/>
      <w:szCs w:val="24"/>
      <w:lang w:val="ru-RU" w:eastAsia="ru-RU" w:bidi="ar-SA"/>
    </w:rPr>
  </w:style>
  <w:style w:type="character" w:styleId="954">
    <w:name w:val="Знак концевой сноски"/>
    <w:next w:val="954"/>
    <w:link w:val="925"/>
    <w:rPr>
      <w:vertAlign w:val="superscript"/>
    </w:rPr>
  </w:style>
  <w:style w:type="character" w:styleId="955">
    <w:name w:val="Знак примечания"/>
    <w:next w:val="955"/>
    <w:link w:val="925"/>
    <w:rPr>
      <w:sz w:val="16"/>
      <w:szCs w:val="16"/>
    </w:rPr>
  </w:style>
  <w:style w:type="paragraph" w:styleId="956">
    <w:name w:val="Текст примечания"/>
    <w:basedOn w:val="925"/>
    <w:next w:val="956"/>
    <w:link w:val="957"/>
  </w:style>
  <w:style w:type="character" w:styleId="957">
    <w:name w:val="Текст примечания Знак"/>
    <w:basedOn w:val="934"/>
    <w:next w:val="957"/>
    <w:link w:val="956"/>
  </w:style>
  <w:style w:type="paragraph" w:styleId="958">
    <w:name w:val="Тема примечания"/>
    <w:basedOn w:val="956"/>
    <w:next w:val="956"/>
    <w:link w:val="959"/>
    <w:rPr>
      <w:b/>
      <w:bCs/>
      <w:lang w:val="en-US" w:eastAsia="en-US"/>
    </w:rPr>
  </w:style>
  <w:style w:type="character" w:styleId="959">
    <w:name w:val="Тема примечания Знак"/>
    <w:next w:val="959"/>
    <w:link w:val="958"/>
    <w:rPr>
      <w:b/>
      <w:bCs/>
    </w:rPr>
  </w:style>
  <w:style w:type="paragraph" w:styleId="960">
    <w:name w:val="Маркированный список"/>
    <w:basedOn w:val="925"/>
    <w:next w:val="960"/>
    <w:link w:val="925"/>
    <w:pPr>
      <w:numPr>
        <w:ilvl w:val="0"/>
        <w:numId w:val="12"/>
      </w:numPr>
      <w:contextualSpacing/>
    </w:pPr>
  </w:style>
  <w:style w:type="paragraph" w:styleId="961">
    <w:name w:val="Текст концевой сноски"/>
    <w:basedOn w:val="925"/>
    <w:next w:val="961"/>
    <w:link w:val="962"/>
  </w:style>
  <w:style w:type="character" w:styleId="962">
    <w:name w:val="Текст концевой сноски Знак"/>
    <w:basedOn w:val="934"/>
    <w:next w:val="962"/>
    <w:link w:val="961"/>
  </w:style>
  <w:style w:type="paragraph" w:styleId="963">
    <w:name w:val="Рецензия"/>
    <w:next w:val="963"/>
    <w:link w:val="925"/>
    <w:hidden/>
    <w:uiPriority w:val="99"/>
    <w:semiHidden/>
    <w:rPr>
      <w:lang w:val="ru-RU" w:eastAsia="ru-RU" w:bidi="ar-SA"/>
    </w:rPr>
  </w:style>
  <w:style w:type="character" w:styleId="964">
    <w:name w:val="Верхний колонтитул Знак,ВерхКолонтитул Знак,Верхний колонтитул Знак1,Linie Знак,ree.subs Знак,Even Знак,Верхний колонтитул Знак Знак1 Знак,Верхний колонтитул Знак Знак Знак Знак,Знак5 Знак Знак Знак Знак,Знак5 Знак Знак1 Знак"/>
    <w:next w:val="964"/>
    <w:link w:val="940"/>
    <w:uiPriority w:val="99"/>
    <w:rPr>
      <w:lang w:val="en-GB"/>
    </w:rPr>
  </w:style>
  <w:style w:type="character" w:styleId="965">
    <w:name w:val="Нижний колонтитул Знак"/>
    <w:basedOn w:val="934"/>
    <w:next w:val="965"/>
    <w:link w:val="944"/>
  </w:style>
  <w:style w:type="character" w:styleId="96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66"/>
    <w:link w:val="947"/>
  </w:style>
  <w:style w:type="character" w:styleId="967">
    <w:name w:val="Заголовок 1 Знак"/>
    <w:next w:val="967"/>
    <w:link w:val="926"/>
    <w:rPr>
      <w:b/>
      <w:bCs/>
      <w:sz w:val="22"/>
      <w:szCs w:val="22"/>
    </w:rPr>
  </w:style>
  <w:style w:type="character" w:styleId="968">
    <w:name w:val="Заголовок 3 Знак"/>
    <w:next w:val="968"/>
    <w:link w:val="928"/>
    <w:rPr>
      <w:b/>
      <w:bCs/>
      <w:sz w:val="18"/>
      <w:szCs w:val="18"/>
    </w:rPr>
  </w:style>
  <w:style w:type="character" w:styleId="969">
    <w:name w:val="Заголовок 7 Знак"/>
    <w:next w:val="969"/>
    <w:link w:val="932"/>
    <w:rPr>
      <w:b/>
      <w:bCs/>
    </w:rPr>
  </w:style>
  <w:style w:type="character" w:styleId="970">
    <w:name w:val="Заголовок 8 Знак"/>
    <w:next w:val="970"/>
    <w:link w:val="933"/>
    <w:rPr>
      <w:i/>
      <w:iCs/>
      <w:sz w:val="24"/>
      <w:szCs w:val="24"/>
    </w:rPr>
  </w:style>
  <w:style w:type="character" w:styleId="971">
    <w:name w:val="Основной текст Знак"/>
    <w:next w:val="971"/>
    <w:link w:val="941"/>
    <w:rPr>
      <w:rFonts w:ascii="Times New Roman CYR" w:hAnsi="Times New Roman CYR" w:cs="Times New Roman CYR"/>
      <w:sz w:val="22"/>
      <w:szCs w:val="22"/>
    </w:rPr>
  </w:style>
  <w:style w:type="character" w:styleId="972">
    <w:name w:val="Основной текст 2 Знак"/>
    <w:next w:val="972"/>
    <w:link w:val="938"/>
    <w:rPr>
      <w:i/>
      <w:iCs/>
    </w:rPr>
  </w:style>
  <w:style w:type="character" w:styleId="973">
    <w:name w:val="Основной текст с отступом 2 Знак"/>
    <w:next w:val="973"/>
    <w:link w:val="939"/>
    <w:rPr>
      <w:b/>
      <w:bCs/>
    </w:rPr>
  </w:style>
  <w:style w:type="character" w:styleId="974" w:default="1">
    <w:name w:val="Default Paragraph Font"/>
    <w:uiPriority w:val="1"/>
    <w:semiHidden/>
    <w:unhideWhenUsed/>
  </w:style>
  <w:style w:type="numbering" w:styleId="975" w:default="1">
    <w:name w:val="No List"/>
    <w:uiPriority w:val="99"/>
    <w:semiHidden/>
    <w:unhideWhenUsed/>
  </w:style>
  <w:style w:type="table" w:styleId="976" w:default="1">
    <w:name w:val="Normal Table"/>
    <w:uiPriority w:val="99"/>
    <w:semiHidden/>
    <w:unhideWhenUsed/>
    <w:tblPr/>
  </w:style>
  <w:style w:type="paragraph" w:styleId="1_923" w:customStyle="1">
    <w:name w:val="Без интервала"/>
    <w:next w:val="991"/>
    <w:link w:val="990"/>
    <w:uiPriority w:val="1"/>
    <w:qFormat/>
    <w:pPr>
      <w:contextualSpacing w:val="0"/>
      <w:ind w:left="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Ivanova</dc:creator>
  <cp:revision>4</cp:revision>
  <dcterms:created xsi:type="dcterms:W3CDTF">2023-12-27T09:14:00Z</dcterms:created>
  <dcterms:modified xsi:type="dcterms:W3CDTF">2025-11-25T07:39:17Z</dcterms:modified>
  <cp:version>1048576</cp:version>
</cp:coreProperties>
</file>