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49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949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</w:t>
      </w:r>
      <w:r>
        <w:rPr>
          <w:rFonts w:ascii="Times New Roman" w:hAnsi="Times New Roman"/>
          <w:sz w:val="20"/>
          <w:szCs w:val="20"/>
        </w:rPr>
        <w:t xml:space="preserve">АО «Россельхозбанк»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949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16</w:t>
      </w:r>
      <w:r>
        <w:rPr>
          <w:rFonts w:ascii="Times New Roman" w:hAnsi="Times New Roman"/>
          <w:sz w:val="20"/>
          <w:szCs w:val="20"/>
        </w:rPr>
        <w:t xml:space="preserve">.11.2021 № 2100-ОД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10206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/>
        <w:rPr>
          <w:rFonts w:ascii="Times New Roman" w:hAnsi="Times New Roman"/>
          <w:vanish/>
          <w:sz w:val="2"/>
          <w:szCs w:val="2"/>
        </w:rPr>
      </w:pPr>
      <w:r>
        <w:rPr>
          <w:rFonts w:ascii="Times New Roman" w:hAnsi="Times New Roman"/>
          <w:vanish/>
          <w:sz w:val="2"/>
          <w:szCs w:val="2"/>
        </w:rPr>
      </w:r>
      <w:r>
        <w:rPr>
          <w:rFonts w:ascii="Times New Roman" w:hAnsi="Times New Roman"/>
          <w:vanish/>
          <w:sz w:val="2"/>
          <w:szCs w:val="2"/>
        </w:rPr>
      </w:r>
      <w:r>
        <w:rPr>
          <w:rFonts w:ascii="Times New Roman" w:hAnsi="Times New Roman"/>
          <w:vanish/>
          <w:sz w:val="2"/>
          <w:szCs w:val="2"/>
        </w:rPr>
      </w:r>
    </w:p>
    <w:tbl>
      <w:tblPr>
        <w:tblW w:w="51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9"/>
        <w:gridCol w:w="3844"/>
        <w:gridCol w:w="4248"/>
        <w:gridCol w:w="6182"/>
      </w:tblGrid>
      <w:tr>
        <w:tblPrEx/>
        <w:trPr>
          <w:jc w:val="center"/>
        </w:trPr>
        <w:tc>
          <w:tcPr>
            <w:gridSpan w:val="4"/>
            <w:shd w:val="clear" w:color="auto" w:fill="a8d08d" w:themeFill="accent6" w:themeFillTint="99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center"/>
              <w:spacing w:before="120" w:after="0" w:afterAutospacing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Тарифный план «Кредитная карта «Премиум»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pStyle w:val="1121"/>
              <w:contextualSpacing w:val="0"/>
              <w:ind w:left="0"/>
              <w:jc w:val="center"/>
              <w:spacing w:before="0" w:beforeAutospacing="0" w:after="12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до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30.04</w:t>
            </w:r>
            <w:r/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.2025 (включительно))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c5e0b3" w:themeFill="accent6" w:themeFillTint="66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auto" w:sz="4" w:space="0"/>
            </w:tcBorders>
            <w:tcW w:w="2020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contextualSpacing w:val="0"/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auto" w:sz="4" w:space="0"/>
            </w:tcBorders>
            <w:tcW w:w="4664" w:type="pct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both"/>
              <w:spacing w:before="120" w:after="12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40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Рубли 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RUB)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40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рамках данного тарифного плана право на оформление карты предоставляется Клиентам-физическим лицам, резидентам Российской Федерации, достигшим 21-летн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его возраста, заключившим с Банком Договор по Пакету услуг в рамках Тарифного плана «Пакет услуг «Премиум» (далее - Клиент), право на оформление дополнительной карты - доверенному лицу Клиента предоставляется физическим лицам, достигшим 18-летнего возраста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карты </w:t>
            </w:r>
            <w:r>
              <w:rPr>
                <w:rStyle w:val="1124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3"/>
              </w:numPr>
              <w:ind w:left="297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Style w:val="1124"/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footnoteReference w:id="3"/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max 5 лет*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Карта действует до окончания срока, указанного на ее лицево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стороне, при наличии действующего Договора по Пакету услуг. Порядок предоставления и обслуживания карт, выпущенных в рамках Договора по Пакету услуг, определяется Договором о предоставлении и обслуживании кредитной карты с льготным периодом кредитования.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Информация о сроке действия карты категории Instant Issue (М)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виде форм-фактора/ Карта МИР Моментального выпуска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виде форм-фактора доступна Клиенту в системах «Интернет-банк» и «Мобильный банк», а также предоставляется Клиенту при личном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обращении в подразделение АО «Россельхозбанк»</w:t>
            </w:r>
            <w:r>
              <w:rPr>
                <w:rStyle w:val="1124"/>
                <w:rFonts w:ascii="Times New Roman" w:hAnsi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 Службу поддержки АО «Россельхозбанк» по телефону, указанному на сайте www.rshb.ru.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3"/>
              </w:numPr>
              <w:ind w:left="297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 / Gold (М)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vMerge w:val="continue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3"/>
              </w:numPr>
              <w:contextualSpacing w:val="0"/>
              <w:ind w:left="297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3"/>
              </w:numPr>
              <w:contextualSpacing w:val="0"/>
              <w:ind w:left="297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Максимальный срок действия карт категории Instant Issue составляет 5 лет и зависит от наличия карт данных категорий в подразделении АО «Россельхозбанк»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3"/>
              </w:numPr>
              <w:contextualSpacing w:val="0"/>
              <w:ind w:left="297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4664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Максимальное количество действующих кредитных карт (включая дополнительные карты), выпускаемых в рамках Пакета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856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ограничено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02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Выпуск карты в пределах максимального количества действующих карт, включенны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х в Пакет услуг, осуществляется Банком по запросу Клиента при условии, что до окончания срока действия Договора по Пакету услуг осталось не менее 1 (одного) календарного месяца. Перевыпуск основной карты на новый срок взамен карты с истекшим сроком действи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я (за исключением виртуальных карт), осуществляется Банком без предварительного Заявления Держателя. Выпуск кредитных карт в рамках Тарифного плана сверх максимального количества действующих кредитных карт, указанного в Тарифах по Пакету услуг, невозможен.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 случае замены карты по причине изменения данных держателя/держателя дополнительной карты, признания Банком факта неправомерного (без ведома и согласия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держателя) использования карты посторонними лицами, механического повреждения карты и при условии, что до окончания срока действия карты осталось не менее 3 (трех) календарных месяцев держателю будет предоставлена карта со сроком действия заменяемой карты.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 / Gold (М)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vMerge w:val="continue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4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4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4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contextualSpacing w:val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auto" w:sz="4" w:space="0"/>
            </w:tcBorders>
            <w:tcW w:w="4664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both"/>
              <w:spacing w:before="120" w:after="12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банковской карты</w:t>
            </w:r>
            <w:r>
              <w:rPr>
                <w:rStyle w:val="1124"/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footnoteReference w:id="5"/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обслуживание банковской карты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обслуживание дополнительной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5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4664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выпуск банковской карты/ дополнительной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Instant Issue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2.3.2.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Gold (В) / Gold (М)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2.3.3.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Премиальная карта МИР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2.3.4.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UnionPay  Instant Issue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2.3.5.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UnionPay Classic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contextualSpacing w:val="0"/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Borders>
              <w:bottom w:val="single" w:color="auto" w:sz="4" w:space="0"/>
            </w:tcBorders>
            <w:tcW w:w="2644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both"/>
              <w:spacing w:before="120" w:after="12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  <w:trHeight w:val="837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6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- 3%* от суммы общей ссудной задолженности/10% от суммы общей ссудной задолженности;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сумма начисленных процентов на нельготную задолженность;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случае нарушения условий льготного периода - сумма начисленных процентов на льготную задолженность за предыдущий(ие) процентный(ые) период(ы)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минимального платежа, а также детализация по задолженности по кредиту, указаны в ежемесячном Счете-выписке, которая может быть: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21"/>
              <w:ind w:left="0"/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сформирован Клиентом самостоятельно в системах «Интернет-банк» и «Мобильный банк»,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21"/>
              <w:ind w:left="0"/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21"/>
              <w:ind w:left="0"/>
              <w:jc w:val="both"/>
              <w:spacing w:after="0" w:line="240" w:lineRule="auto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*Минимальный платеж в размере 3% от суммы общей ссудной задолженности применяется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счетов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кредитных карт, выпущенных с 30.05.2018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6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Период погашения минимального платежа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6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644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7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20 % годовых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restar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Определяется в соответствии с Правилами предоставления и использования кредитных карт в АО «Россельхозбанк» с льготным периодом кредитования.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окончания начисления процентов считается дата окончательного возврата кредита, определенная в соответствии с условиями </w:t>
            </w:r>
            <w:r>
              <w:rPr>
                <w:rFonts w:ascii="Times New Roman" w:hAnsi="Times New Roman"/>
              </w:rPr>
              <w:t xml:space="preserve">Договора о предоставлении и обслуживании кредитной карты с льготным периодом кредитования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7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период с даты, следующей за датой окончания начисления процентов, и по дату фактического возврата Банку кредита в полном объеме неустойка начисляется из расчета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0,1 %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6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Плата за возникшую сверхлимитную задолженность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Проценты на сумму сверхлимитной 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Borders>
              <w:bottom w:val="single" w:color="auto" w:sz="4" w:space="0"/>
            </w:tcBorders>
            <w:tcW w:w="26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Borders>
              <w:bottom w:val="single" w:color="auto" w:sz="4" w:space="0"/>
            </w:tcBorders>
            <w:tcW w:w="20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8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Банка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Borders>
              <w:bottom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8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 Банка</w:t>
            </w:r>
            <w:r>
              <w:rPr>
                <w:rStyle w:val="1124"/>
                <w:rFonts w:ascii="Times New Roman" w:hAnsi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2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8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без использования карты в подразделении Банка, выдавшем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92d050"/>
            <w:tcW w:w="1256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безналичных операций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92d050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20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9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9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Начисление процентов на остаток денежных средств на счете карты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Проценты не начисляются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439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9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денежных средств c ис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пользованием услуги «Перевод денежных средств по реквизитам получателя на сайте партнера Банка/«Перевод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получателей денежных средств устанавливается и ведется каждым подразделением Банка самостоятельно в электронном виде и дово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использованием реквизитов платежных карт»/посредством банкоматов, информационно-платежных терминалов Банка.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0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адрес поставщиков услуг, по договорам, заключенным Банком с поставщиками услуг в соответствии с перечнем/операторами по переводу денежных средств/ЗАО «Биллинговый центр»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0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6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664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1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4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2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иным основаниям (кроме п.5.3.2.1 Тарифов), в том числе в оплату штрафов ГИБДД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92d050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92d050"/>
            <w:tcW w:w="466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денежных средств с использованием услуги «Автоплатеж»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3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Комиссия за услугу «Автоплатеж»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поставщиков услуг, в пользу которых 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зможно осуществление перевода денежных средств с использованием услуги «Автоплатеж», доступен для ознакомления в устройствах самообслуживания, на информационных стендах в подразделениях Банка и на официальном интернет-сайте Банка в сети Интернет по адресу </w:t>
            </w:r>
            <w:hyperlink r:id="rId11" w:tooltip="http://www.rshb.ru" w:history="1">
              <w:r>
                <w:rPr>
                  <w:rStyle w:val="1135"/>
                  <w:rFonts w:ascii="Times New Roman" w:hAnsi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Банка на основании Условий осуществления АО «Россельхозбанк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операций по переводу денежных средств физических лиц с использованием услуги «Автоплатеж».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3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707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3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ПАО «МТС», ПАО «ВымпелКом» (Билайн) и ПАО «Мегафон» - 10 000 руб.;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«Т2 Мобайл» (Tele2) - 5 000 руб.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3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Порог баланса для получателей: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«ВымпелКом» (Билайн) и ПАО «Мегафон» - 30 руб., 150 руб. и 600 руб.,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ПАО «МТС» - от 30 руб. до 10 000 руб.,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«Т2 Мобайл» (Tele2) - 10 руб., 30 руб., 50 руб., 100 руб., 300 руб., 500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shd w:val="clear" w:color="auto" w:fill="92d050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664" w:type="pct"/>
            <w:textDirection w:val="lrTb"/>
            <w:noWrap w:val="false"/>
          </w:tcPr>
          <w:p>
            <w:pPr>
              <w:ind w:left="48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опции</w:t>
            </w:r>
            <w:r>
              <w:rPr>
                <w:rStyle w:val="1124"/>
                <w:rFonts w:ascii="Times New Roman" w:hAnsi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703"/>
        </w:trPr>
        <w:tc>
          <w:tcPr>
            <w:shd w:val="clear" w:color="auto" w:fill="auto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4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Вознаграждение клиенту путем начисления бонусных баллов в рамках Программы лояльности «Урожай»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4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Cчетам, подключенным к Программе лояльности «Урожай» до 01.09.2021, начисление Бонусных баллов за август 2021 года осуществляется на условиях, действующих до 01.09.2021 года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vMerge w:val="restart"/>
            <w:textDirection w:val="lrTb"/>
            <w:noWrap w:val="false"/>
          </w:tcPr>
          <w:p>
            <w:pPr>
              <w:pStyle w:val="1121"/>
              <w:numPr>
                <w:ilvl w:val="0"/>
                <w:numId w:val="3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256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 случае если фактический оборот по счету за предыдущий календарный месяц составляет до 29 999,99 рублей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операциям, отраженным по счету по 23:59:59 по московскому времени 30.04.2022 (включительно):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 бонусных балла за каждые потраченные 100 рублей по всем операциям оплаты товаров и услуг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Начисление Бонусных баллов осуществляется, исходя из размера фактического оборота по счету за предыдущий календарный месяц. Фактический оборот определяется как сумма всех совершенных операций оплаты товаров и ус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луг за исключением операций, приведенных в Условиях Программы лояльности «Урожай», отраженных по счету в период с 00:00:00 по московскому времени первого числа до 23:59:59 по московскому времени последнего числа календарного месяца, предшествующего месяца.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Бонусные баллы начисляются в соответствии с Условиями Программы лояльности «Урожай» для Клиентов, являющихся держателями платежных карт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АО «Россельхозбанк». После достижения суммы Бонусных баллов, указанной в Условиях Программы лояльности «Урожай», Бонусные баллы начисляются по курсу 1 бонусный балл за каждые потраченные 100 рублей по операциям оплаты товаров и услуг.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 вправе отказать Клиенту в начислении бонусных баллов в случаях, предусмотренных Условиями Программы лояльности «Урожай» для Клиентов, являющихся держателями платежных карт АО «Россельхозбанк».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vMerge w:val="continue"/>
            <w:textDirection w:val="lrTb"/>
            <w:noWrap w:val="false"/>
          </w:tcPr>
          <w:p>
            <w:pPr>
              <w:pStyle w:val="1121"/>
              <w:numPr>
                <w:ilvl w:val="0"/>
                <w:numId w:val="3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25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операциям, отраженным по счету с 00:00:00 по московскому времени 01.05.2022: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 бонусный балл за каждые потраченные 100 рублей по всем операциям оплаты товаров и услуг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ffffff"/>
            <w:tcW w:w="336" w:type="pct"/>
            <w:vAlign w:val="center"/>
            <w:vMerge w:val="restart"/>
            <w:textDirection w:val="lrTb"/>
            <w:noWrap w:val="false"/>
          </w:tcPr>
          <w:p>
            <w:pPr>
              <w:pStyle w:val="1121"/>
              <w:numPr>
                <w:ilvl w:val="0"/>
                <w:numId w:val="3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256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 случае если фактический оборот по счету за предыдущий календарный месяц составляет от 30 000 рублей включительно до 74 999,99 рублей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операциям, отраженным по счету по 23:59:59 по московскому времени 30.04.2022 (включительно):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3 бонусных балла за каждые потраченные 100 рублей по всем операциям оплаты товаров и услуг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Выдача наличных денежных средств без взимания комиссии: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- в банкоматах и пунктах выдачи наличных подразделения Банка;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- в банкоматах сторонних банков на территории Российской Федерации.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655"/>
        </w:trPr>
        <w:tc>
          <w:tcPr>
            <w:shd w:val="clear" w:color="auto" w:fill="ffffff"/>
            <w:tcW w:w="336" w:type="pct"/>
            <w:vAlign w:val="center"/>
            <w:vMerge w:val="continue"/>
            <w:textDirection w:val="lrTb"/>
            <w:noWrap w:val="false"/>
          </w:tcPr>
          <w:p>
            <w:pPr>
              <w:pStyle w:val="1121"/>
              <w:numPr>
                <w:ilvl w:val="0"/>
                <w:numId w:val="3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25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операциям, отраженным по счету с 00:00:00 по московскому времени 01.05.2022: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1,5 бонусных балла за каждые потраченные 100 рублей по всем операциям оплаты товаров и услуг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Выдача наличных денежных средств без взимания комиссии: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- в банкоматах и пунктах выдачи наличных подразделения Банка;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- в банкоматах сторонних банков на территории Российской Федерации.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3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 случае если фактический оборот по счету за предыдущий календарный месяц составляет 75 000 рублей включительно и выше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4 бонусных балла за каждые потраченные 100 рублей по всем операциям оплаты товаров и услуг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Выдача наличных денежных средств без взимания комиссии: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- в банкоматах и пунктах выдачи наличных подразделения Банка;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в банкоматах сторонних банков на территории Российской Федерации.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664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73"/>
        </w:trPr>
        <w:tc>
          <w:tcPr>
            <w:shd w:val="clear" w:color="auto" w:fill="92d050"/>
            <w:tcW w:w="33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92d050"/>
            <w:tcW w:w="4664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Merge w:val="restart"/>
            <w:textDirection w:val="lrTb"/>
            <w:noWrap w:val="false"/>
          </w:tcPr>
          <w:p>
            <w:pPr>
              <w:pStyle w:val="1121"/>
              <w:numPr>
                <w:ilvl w:val="0"/>
                <w:numId w:val="1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карт, выпущенных </w:t>
            </w:r>
            <w:r>
              <w:rPr>
                <w:rFonts w:ascii="Times New Roman" w:hAnsi="Times New Roman"/>
              </w:rPr>
              <w:t xml:space="preserve">по Договору о предоставлении и обслуживании кредитной карты с льготным периодом кредитования, заключенному с клиентом с 05.04.2022 по 12.09.2023 (включительно).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Merge w:val="continue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карт, выпущенных по Договору о предоставлении и обслуживании кредитной карты с льготным периодом кредитования, заключенному с клиентом с 13.09.2023.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операциям выдачи наличных денежных средств, отраженным по счету карты в период с даты открытия счета в течение 30 календарных дней, комиссия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24"/>
                <w:rFonts w:ascii="Times New Roman" w:hAnsi="Times New Roman"/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+ 490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не взимается - при получении клиентом остатка собственных средств, в сумме не более 15 000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133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в банкоматах банков-партнеров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АО «Альфа-банк»,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ПАО «Промсвязьбанк»,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АО «Райффайзенбанк»,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ПАО «РОСБАНК»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92d050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664" w:type="pct"/>
            <w:textDirection w:val="lrTb"/>
            <w:noWrap w:val="false"/>
          </w:tcPr>
          <w:p>
            <w:pPr>
              <w:pStyle w:val="1122"/>
              <w:jc w:val="both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Перевод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6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46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Банка: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7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пределах Банка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7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6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4664" w:type="pct"/>
            <w:textDirection w:val="lrTb"/>
            <w:noWrap w:val="false"/>
          </w:tcPr>
          <w:p>
            <w:pPr>
              <w:pStyle w:val="1122"/>
              <w:jc w:val="both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(банкоматов) Банка: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8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Перевод денежных средств на собственные счета клиента (текущие, счета вкладов, «до востребования») или счета другого физического лица в пределах одного подразделения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2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Курс конвертации из валюты операции в валюту счета карты установлен п. 10.2 настоящего Тарифного плана.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Перевод денежных средств производится на счета физических, юридических лиц и ИП (за исключением налоговых платежей и платежей в бюджет) открытых в </w:t>
            </w:r>
            <w:r>
              <w:rPr>
                <w:rFonts w:ascii="Times New Roman" w:hAnsi="Times New Roman"/>
              </w:rPr>
              <w:t xml:space="preserve">валюте Российской Федерации, только в валюте Российской Федерации и в соответствии с требованиями валютного законодательства.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6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4664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«№ карты» или «№ счета»: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07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9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 имя того же держателя в одном подразделении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Конвертация из валюты операции в валюту счета осуществляется в соответствии с п.10.2 настоящего Тарифного плана.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95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9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 имя того же держателя в другое подразделение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restart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производится только в валюте Российской Федерации между счетами, открытыми в валюте Российской Федерации.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9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 имя другого держателя в пределах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Merge w:val="continue"/>
            <w:textDirection w:val="lrTb"/>
            <w:noWrap w:val="false"/>
          </w:tcPr>
          <w:p>
            <w:pPr>
              <w:pStyle w:val="1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6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на карту МИР/международную платежную карту, осуществление операций по которой обеспечивается АО «Национальная система платежных карт» (далее – АО «НСПК») и производится исключительно на терр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итории Российской Федерации, стороннего эмитента - банка Российской Федерации*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«№ карты»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Лимит на совершение операции установлен п. 11.2 настоящего Тарифного плана.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использованием платежной системы UnionPay International операция не производится.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120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16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Банка/банкоматов/сайтов сторонних банков и сайтов иных организаций» *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min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п. 10.3 настоящего Тарифного плана.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664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0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44" w:type="pct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Банка</w:t>
            </w:r>
            <w:r>
              <w:rPr>
                <w:rStyle w:val="1124"/>
                <w:rFonts w:ascii="Times New Roman" w:hAnsi="Times New Roman"/>
                <w:b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курсу покупки/продажи Банка 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0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4664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1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44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платежной системой МИР/ UnionPay/международной платежной системой, осуществление операций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которой обеспечивается АО «НСПК» и производится исключительно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Производится платежной системой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1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44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Конвертация денежных средств из валюты расчетов с платежной системой МИР/ UnionPay/международной платежной системой, осуществление операций по которой обеспечивается АО «НСПК» и производится исключительно на территории Российской Федерации, в валюту счета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курсу покупки/продажи Банка для операций с использованием платежных карт, совершенных вне сети Банка, на день отражения операции по счету карты</w:t>
            </w:r>
            <w:r>
              <w:rPr>
                <w:rStyle w:val="1124"/>
                <w:rFonts w:ascii="Times New Roman" w:hAnsi="Times New Roman"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0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44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 Банка, выдавшем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курсу покупки/продажи Банка безналичной иностранной валюты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W w:w="2644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110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2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Лимит на снятие наличных денежных средств по счету через кассу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одразделения Банка, в банкоматах, пунктах выдачи наличных Банка 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календарный месяц</w:t>
            </w:r>
            <w:r>
              <w:rPr>
                <w:rStyle w:val="1124"/>
                <w:rFonts w:ascii="Times New Roman" w:hAnsi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предоставлении и обслуживании кредитной карты с льготным периодом кредитования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367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2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Лимит на перевод на карту МИР/международную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 стороннего эмитента - банка Российской Федерации</w:t>
            </w:r>
            <w:r>
              <w:rPr>
                <w:rStyle w:val="1124"/>
                <w:rFonts w:ascii="Times New Roman" w:hAnsi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«№ карты»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использованием платежной системы UnionPay International операция не производится.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664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Кредитный лимит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3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Минимальный размер лимита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10 000 рублей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Размер лимита определяется на основании документально подтвержденного дохода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3"/>
              </w:numPr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Максимальный размер лимита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1 000 000 рублей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664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Операции при утрате карты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87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13.1.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использовании карты без его согласия, принятого по телефону службы поддержки или в виде SMS-сообщения (для подключивших услугу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«Уведомления»), через систему дистанционного банковского обслуживания (для пользователей системы «Интернет-банк» и «Мобильный банк»)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13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388" w:type="pct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возможности перевыпуска карты, уведомление об утрате которой получено Банком.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/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/>
          </w:p>
        </w:tc>
        <w:tc>
          <w:tcPr>
            <w:shd w:val="clear" w:color="auto" w:fill="ffffff"/>
            <w:tcW w:w="13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 / Gold (М)</w:t>
            </w:r>
            <w:r/>
          </w:p>
        </w:tc>
        <w:tc>
          <w:tcPr>
            <w:shd w:val="clear" w:color="auto" w:fill="ffffff"/>
            <w:tcW w:w="1388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/>
          </w:p>
        </w:tc>
        <w:tc>
          <w:tcPr>
            <w:shd w:val="clear" w:color="auto" w:fill="ffffff"/>
            <w:tcW w:w="1388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Instant Issue</w:t>
            </w:r>
            <w:r/>
          </w:p>
        </w:tc>
        <w:tc>
          <w:tcPr>
            <w:shd w:val="clear" w:color="auto" w:fill="ffffff"/>
            <w:tcW w:w="1388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/>
          </w:p>
        </w:tc>
        <w:tc>
          <w:tcPr>
            <w:shd w:val="clear" w:color="auto" w:fill="ffffff"/>
            <w:tcW w:w="1388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87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13.2.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388" w:type="pct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Выпуск новой карты взамен утраченной осуществляется согласно Правилам предоставления и использования кредитных карт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АО «Россельхозбанк» с льготным периодом кредитования (при наличии возможности выпуска новой карты).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соответствии с п. 2 настоящего Тарифного плана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/>
          </w:p>
        </w:tc>
        <w:tc>
          <w:tcPr>
            <w:shd w:val="clear" w:color="auto" w:fill="ffffff"/>
            <w:tcW w:w="13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(В)/Gold (М)</w:t>
            </w:r>
            <w:r/>
          </w:p>
        </w:tc>
        <w:tc>
          <w:tcPr>
            <w:shd w:val="clear" w:color="auto" w:fill="ffffff"/>
            <w:tcW w:w="1388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/>
          </w:p>
        </w:tc>
        <w:tc>
          <w:tcPr>
            <w:shd w:val="clear" w:color="auto" w:fill="ffffff"/>
            <w:tcW w:w="1388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Instant Issue</w:t>
            </w:r>
            <w:r/>
          </w:p>
        </w:tc>
        <w:tc>
          <w:tcPr>
            <w:shd w:val="clear" w:color="auto" w:fill="ffffff"/>
            <w:tcW w:w="1388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ind w:left="142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textDirection w:val="lrTb"/>
            <w:noWrap w:val="false"/>
          </w:tcPr>
          <w:p>
            <w:pPr>
              <w:spacing w:before="40" w:after="40" w:line="240" w:lineRule="auto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/>
          </w:p>
        </w:tc>
        <w:tc>
          <w:tcPr>
            <w:shd w:val="clear" w:color="auto" w:fill="ffffff"/>
            <w:tcW w:w="1388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</w:pPr>
            <w:r/>
            <w:r/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contextualSpacing w:val="0"/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W w:w="2644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44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Плата взимается при подключении услуги, далее - ежемесячно. Порядок предоставления услуги «Уведомления» определяется Условиями предоставления услуги «Уведомления» в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АО «Россельхозбанк»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6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пределах одного подключенного к услуге номера мобильного телефона - комиссия не взимается; за каждый следующий подключенный к услуге номер мобильного телефона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Данная услуга предоставляется по желанию держателя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6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both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Данная услуга предоставляется по желанию держателя/держателя дополнительной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shd w:val="clear" w:color="auto" w:fill="ffffff"/>
            <w:tcW w:w="336" w:type="pct"/>
            <w:vAlign w:val="center"/>
            <w:vMerge w:val="restart"/>
            <w:textDirection w:val="lrTb"/>
            <w:noWrap w:val="false"/>
          </w:tcPr>
          <w:p>
            <w:pPr>
              <w:pStyle w:val="1121"/>
              <w:numPr>
                <w:ilvl w:val="0"/>
                <w:numId w:val="2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vMerge w:val="restart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Выдача справки об остатке денежных средств на счете</w:t>
            </w:r>
            <w:r>
              <w:rPr>
                <w:rStyle w:val="1124"/>
                <w:rFonts w:ascii="Times New Roman" w:hAnsi="Times New Roman"/>
                <w:b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подразделении Банка, выдавшем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наличии действующего Договора по Пакету услуг - комиссия не взимается;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restart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shd w:val="clear" w:color="auto" w:fill="ffffff"/>
            <w:tcW w:w="336" w:type="pct"/>
            <w:vAlign w:val="center"/>
            <w:vMerge w:val="continue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vMerge w:val="continue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отсутствии действующего Договора по Пакету услуг - 150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vMerge w:val="continue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выписки по счету, в подразделении Банка, выдавшем карту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мини-выписки по карте в банкоматах Банка (9 последних операций)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5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7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 банкоматах Банка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textDirection w:val="lrTb"/>
            <w:noWrap w:val="false"/>
          </w:tcPr>
          <w:p>
            <w:pPr>
              <w:pStyle w:val="1121"/>
              <w:numPr>
                <w:ilvl w:val="0"/>
                <w:numId w:val="27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664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8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8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44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Смена ПИН-кода в подразделении Банка в связи с его утратой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9"/>
              </w:num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(М)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388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Операция не производится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9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 (В) / Gold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restart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9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9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/>
            <w:tcW w:w="336" w:type="pct"/>
            <w:vAlign w:val="center"/>
            <w:textDirection w:val="lrTb"/>
            <w:noWrap w:val="false"/>
          </w:tcPr>
          <w:p>
            <w:pPr>
              <w:pStyle w:val="1121"/>
              <w:numPr>
                <w:ilvl w:val="0"/>
                <w:numId w:val="29"/>
              </w:numPr>
              <w:contextualSpacing w:val="0"/>
              <w:ind w:left="0" w:firstLine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1256" w:type="pct"/>
            <w:vAlign w:val="center"/>
            <w:textDirection w:val="lrTb"/>
            <w:noWrap w:val="false"/>
          </w:tcPr>
          <w:p>
            <w:pPr>
              <w:pStyle w:val="1121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388" w:type="pct"/>
            <w:vAlign w:val="center"/>
            <w:vMerge w:val="continue"/>
            <w:textDirection w:val="lrTb"/>
            <w:noWrap w:val="false"/>
          </w:tcPr>
          <w:p>
            <w:pPr>
              <w:pStyle w:val="1121"/>
              <w:ind w:left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W w:w="2020" w:type="pct"/>
            <w:vAlign w:val="center"/>
            <w:textDirection w:val="lrTb"/>
            <w:noWrap w:val="false"/>
          </w:tcPr>
          <w:p>
            <w:pPr>
              <w:pStyle w:val="1121"/>
              <w:ind w:left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sectPr>
      <w:headerReference w:type="default" r:id="rId9"/>
      <w:footnotePr/>
      <w:endnotePr/>
      <w:type w:val="nextPage"/>
      <w:pgSz w:w="16838" w:h="11906" w:orient="landscape"/>
      <w:pgMar w:top="993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terburg">
    <w:panose1 w:val="02000603000000000000"/>
  </w:font>
  <w:font w:name="Tahoma">
    <w:panose1 w:val="020B0604030504040204"/>
  </w:font>
  <w:font w:name="NKOJCK+TimesNewRoman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22"/>
        <w:jc w:val="both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В рамках Тарифного плана «Кредитная карта Премиум» выпускаются только карты категории Instant Issue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 xml:space="preserve">M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) </w:t>
      </w:r>
      <w:r>
        <w:rPr>
          <w:rFonts w:ascii="Times New Roman" w:hAnsi="Times New Roman"/>
          <w:color w:val="000000"/>
          <w:sz w:val="18"/>
          <w:szCs w:val="18"/>
        </w:rPr>
        <w:t xml:space="preserve">в виде форм-фактора/ Карта МИР Моментального выпуска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в виде форм-фактора/ Gold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(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 xml:space="preserve">B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)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/ Gold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(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 xml:space="preserve">M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)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/Премиальная карта МИР/ UnionPay Instant Issue/UnionPay Classic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. Выпуск карт других категорий не предусмотрен.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</w:footnote>
  <w:footnote w:id="3">
    <w:p>
      <w:pPr>
        <w:pStyle w:val="1122"/>
        <w:jc w:val="both"/>
        <w:tabs>
          <w:tab w:val="left" w:pos="1134" w:leader="none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Карты категории Instant Issue (М)/ Карта МИР Моментального выпуска оформляются только в виде форм-фактора, приобретенного в Торговой организации, с привязкой к счету, к которому имеется действующая карта: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1122"/>
        <w:jc w:val="both"/>
        <w:tabs>
          <w:tab w:val="left" w:pos="1134" w:leader="none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на имя Клиента при оформлении Анкеты-заявления на получение карты и установление кредитного лимита;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1122"/>
        <w:jc w:val="both"/>
        <w:tabs>
          <w:tab w:val="left" w:pos="1134" w:leader="none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на имя представителя Клиента при оформлении Заявления на получение дополнительной карты АО «Россельхозбанк».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1122"/>
        <w:jc w:val="both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Безналичные операции, операции выдачи наличных денежных</w:t>
      </w:r>
      <w:r>
        <w:rPr>
          <w:rFonts w:ascii="Times New Roman" w:hAnsi="Times New Roman"/>
          <w:sz w:val="18"/>
          <w:szCs w:val="18"/>
        </w:rPr>
        <w:t xml:space="preserve"> средств, пополнения счета по картам категории Instant Issue (М) в виде форм-фактора/ Карта МИР Моментального выпуска в виде форм-фактора осуществляются в банкоматах /информационно-платежных терминалах /электронных терминалах с бесконтактным обслуживанием.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</w:footnote>
  <w:footnote w:id="4">
    <w:p>
      <w:pPr>
        <w:pStyle w:val="1122"/>
        <w:jc w:val="both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дополнительные офисы АО «Россельхозбанк».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5">
    <w:p>
      <w:pPr>
        <w:pStyle w:val="1122"/>
        <w:jc w:val="both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Размеры комиссий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,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указанных в пунктах 2, 14</w:t>
      </w:r>
      <w:r>
        <w:rPr>
          <w:rFonts w:ascii="Times New Roman" w:hAnsi="Times New Roman"/>
          <w:sz w:val="18"/>
          <w:szCs w:val="18"/>
        </w:rPr>
        <w:t xml:space="preserve">,</w:t>
      </w:r>
      <w:r>
        <w:rPr>
          <w:rFonts w:ascii="Times New Roman" w:hAnsi="Times New Roman"/>
          <w:sz w:val="18"/>
          <w:szCs w:val="18"/>
        </w:rPr>
        <w:t xml:space="preserve"> могут отличаться от установленных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, в случае проведения АО «Россельхозбанк» маркетинговых акций. </w:t>
      </w:r>
      <w:r>
        <w:rPr>
          <w:rFonts w:ascii="Times New Roman" w:hAnsi="Times New Roman"/>
          <w:sz w:val="18"/>
          <w:szCs w:val="18"/>
        </w:rPr>
        <w:t xml:space="preserve">Размер комиссии по указанным пунктам устанавливается правилами проведения маркетинговой акции.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6">
    <w:p>
      <w:pPr>
        <w:pStyle w:val="1122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Пополнение счета производится только в валюте Российской Федерации на счет карты, открытый в валюте Российской Федерации.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7">
    <w:p>
      <w:pPr>
        <w:pStyle w:val="1122"/>
        <w:jc w:val="both"/>
        <w:rPr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Размеры вознаграждений, указанных в пункте 7</w:t>
      </w:r>
      <w:r>
        <w:rPr>
          <w:rFonts w:ascii="Times New Roman" w:hAnsi="Times New Roman"/>
          <w:sz w:val="18"/>
          <w:szCs w:val="18"/>
        </w:rPr>
        <w:t xml:space="preserve">,</w:t>
      </w:r>
      <w:r>
        <w:rPr>
          <w:rFonts w:ascii="Times New Roman" w:hAnsi="Times New Roman"/>
          <w:sz w:val="18"/>
          <w:szCs w:val="18"/>
        </w:rPr>
        <w:t xml:space="preserve"> могут отличаться от установленных, в случае проведения АО «Россельхозбанк» маркетинговых акций. Размер вознаграждений по указанному пункту устанавливается правилами проведения маркетинговой акции.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8">
    <w:p>
      <w:pPr>
        <w:pStyle w:val="1122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случаях, предусмотренных Договором о предоставлении и обслуживании кредитной карты с льготным периодом кредитования.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9">
    <w:p>
      <w:pPr>
        <w:pStyle w:val="1122"/>
        <w:jc w:val="both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Информация размещается на web-сайте Банка: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www.rshb.ru, в пунктах выдачи наличных и банкоматах Банка.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0">
    <w:p>
      <w:pPr>
        <w:pStyle w:val="1122"/>
        <w:jc w:val="both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Информация размещается на web-сайте Банка: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www.rshb.ru</w:t>
      </w:r>
      <w:r>
        <w:rPr>
          <w:rFonts w:ascii="Times New Roman" w:hAnsi="Times New Roman"/>
          <w:sz w:val="18"/>
          <w:szCs w:val="18"/>
        </w:rPr>
        <w:t xml:space="preserve">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1">
    <w:p>
      <w:pPr>
        <w:pStyle w:val="1122"/>
        <w:jc w:val="both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Операции сня</w:t>
      </w:r>
      <w:r>
        <w:rPr>
          <w:rFonts w:ascii="Times New Roman" w:hAnsi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2">
    <w:p>
      <w:pPr>
        <w:pStyle w:val="1122"/>
        <w:jc w:val="both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3">
    <w:p>
      <w:pPr>
        <w:pStyle w:val="1122"/>
        <w:jc w:val="both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</w:t>
      </w:r>
      <w:r>
        <w:rPr>
          <w:rFonts w:ascii="Times New Roman" w:hAnsi="Times New Roman"/>
          <w:sz w:val="18"/>
          <w:szCs w:val="18"/>
        </w:rPr>
        <w:t xml:space="preserve"> </w:t>
      </w:r>
      <w:r>
        <w:rPr>
          <w:rFonts w:ascii="Times New Roman" w:hAnsi="Times New Roman"/>
          <w:sz w:val="18"/>
          <w:szCs w:val="18"/>
        </w:rPr>
        <w:t xml:space="preserve">«Россельхозбанк» с использованием системы «Интернет-банк» и «Мобильный банк».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4">
    <w:p>
      <w:pPr>
        <w:pStyle w:val="1122"/>
        <w:rPr>
          <w:rFonts w:ascii="Times New Roman" w:hAnsi="Times New Roman"/>
          <w:sz w:val="18"/>
          <w:szCs w:val="18"/>
        </w:rPr>
      </w:pPr>
      <w:r>
        <w:rPr>
          <w:rStyle w:val="112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Банка либо списанием суммы комиссии со счета. 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9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11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5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107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4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501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5.3.%1.1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4.5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4.%1."/>
      <w:lvlJc w:val="left"/>
      <w:pPr>
        <w:ind w:left="927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14.1.%1."/>
      <w:lvlJc w:val="left"/>
      <w:pPr>
        <w:ind w:left="1211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5.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7.1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5.3.%1.2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15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211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9"/>
  </w:num>
  <w:num w:numId="5">
    <w:abstractNumId w:val="29"/>
  </w:num>
  <w:num w:numId="6">
    <w:abstractNumId w:val="7"/>
  </w:num>
  <w:num w:numId="7">
    <w:abstractNumId w:val="24"/>
  </w:num>
  <w:num w:numId="8">
    <w:abstractNumId w:val="13"/>
  </w:num>
  <w:num w:numId="9">
    <w:abstractNumId w:val="15"/>
  </w:num>
  <w:num w:numId="10">
    <w:abstractNumId w:val="22"/>
  </w:num>
  <w:num w:numId="11">
    <w:abstractNumId w:val="16"/>
  </w:num>
  <w:num w:numId="12">
    <w:abstractNumId w:val="26"/>
  </w:num>
  <w:num w:numId="13">
    <w:abstractNumId w:val="9"/>
  </w:num>
  <w:num w:numId="14">
    <w:abstractNumId w:val="14"/>
  </w:num>
  <w:num w:numId="15">
    <w:abstractNumId w:val="2"/>
  </w:num>
  <w:num w:numId="16">
    <w:abstractNumId w:val="28"/>
  </w:num>
  <w:num w:numId="17">
    <w:abstractNumId w:val="17"/>
  </w:num>
  <w:num w:numId="18">
    <w:abstractNumId w:val="20"/>
  </w:num>
  <w:num w:numId="19">
    <w:abstractNumId w:val="5"/>
  </w:num>
  <w:num w:numId="20">
    <w:abstractNumId w:val="8"/>
  </w:num>
  <w:num w:numId="21">
    <w:abstractNumId w:val="4"/>
  </w:num>
  <w:num w:numId="22">
    <w:abstractNumId w:val="12"/>
  </w:num>
  <w:num w:numId="23">
    <w:abstractNumId w:val="3"/>
  </w:num>
  <w:num w:numId="24">
    <w:abstractNumId w:val="25"/>
  </w:num>
  <w:num w:numId="25">
    <w:abstractNumId w:val="10"/>
  </w:num>
  <w:num w:numId="26">
    <w:abstractNumId w:val="21"/>
  </w:num>
  <w:num w:numId="27">
    <w:abstractNumId w:val="18"/>
  </w:num>
  <w:num w:numId="28">
    <w:abstractNumId w:val="27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46">
    <w:name w:val="Heading 1"/>
    <w:basedOn w:val="1115"/>
    <w:next w:val="1115"/>
    <w:link w:val="9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47">
    <w:name w:val="Heading 1 Char"/>
    <w:basedOn w:val="1116"/>
    <w:link w:val="946"/>
    <w:uiPriority w:val="9"/>
    <w:rPr>
      <w:rFonts w:ascii="Arial" w:hAnsi="Arial" w:eastAsia="Arial" w:cs="Arial"/>
      <w:sz w:val="40"/>
      <w:szCs w:val="40"/>
    </w:rPr>
  </w:style>
  <w:style w:type="paragraph" w:styleId="948">
    <w:name w:val="Heading 2"/>
    <w:basedOn w:val="1115"/>
    <w:next w:val="1115"/>
    <w:link w:val="9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49">
    <w:name w:val="Heading 2 Char"/>
    <w:basedOn w:val="1116"/>
    <w:link w:val="948"/>
    <w:uiPriority w:val="9"/>
    <w:rPr>
      <w:rFonts w:ascii="Arial" w:hAnsi="Arial" w:eastAsia="Arial" w:cs="Arial"/>
      <w:sz w:val="34"/>
    </w:rPr>
  </w:style>
  <w:style w:type="paragraph" w:styleId="950">
    <w:name w:val="Heading 3"/>
    <w:basedOn w:val="1115"/>
    <w:next w:val="1115"/>
    <w:link w:val="9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1">
    <w:name w:val="Heading 3 Char"/>
    <w:basedOn w:val="1116"/>
    <w:link w:val="950"/>
    <w:uiPriority w:val="9"/>
    <w:rPr>
      <w:rFonts w:ascii="Arial" w:hAnsi="Arial" w:eastAsia="Arial" w:cs="Arial"/>
      <w:sz w:val="30"/>
      <w:szCs w:val="30"/>
    </w:rPr>
  </w:style>
  <w:style w:type="paragraph" w:styleId="952">
    <w:name w:val="Heading 4"/>
    <w:basedOn w:val="1115"/>
    <w:next w:val="1115"/>
    <w:link w:val="9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53">
    <w:name w:val="Heading 4 Char"/>
    <w:basedOn w:val="1116"/>
    <w:link w:val="952"/>
    <w:uiPriority w:val="9"/>
    <w:rPr>
      <w:rFonts w:ascii="Arial" w:hAnsi="Arial" w:eastAsia="Arial" w:cs="Arial"/>
      <w:b/>
      <w:bCs/>
      <w:sz w:val="26"/>
      <w:szCs w:val="26"/>
    </w:rPr>
  </w:style>
  <w:style w:type="paragraph" w:styleId="954">
    <w:name w:val="Heading 5"/>
    <w:basedOn w:val="1115"/>
    <w:next w:val="1115"/>
    <w:link w:val="9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55">
    <w:name w:val="Heading 5 Char"/>
    <w:basedOn w:val="1116"/>
    <w:link w:val="954"/>
    <w:uiPriority w:val="9"/>
    <w:rPr>
      <w:rFonts w:ascii="Arial" w:hAnsi="Arial" w:eastAsia="Arial" w:cs="Arial"/>
      <w:b/>
      <w:bCs/>
      <w:sz w:val="24"/>
      <w:szCs w:val="24"/>
    </w:rPr>
  </w:style>
  <w:style w:type="paragraph" w:styleId="956">
    <w:name w:val="Heading 6"/>
    <w:basedOn w:val="1115"/>
    <w:next w:val="1115"/>
    <w:link w:val="9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57">
    <w:name w:val="Heading 6 Char"/>
    <w:basedOn w:val="1116"/>
    <w:link w:val="956"/>
    <w:uiPriority w:val="9"/>
    <w:rPr>
      <w:rFonts w:ascii="Arial" w:hAnsi="Arial" w:eastAsia="Arial" w:cs="Arial"/>
      <w:b/>
      <w:bCs/>
      <w:sz w:val="22"/>
      <w:szCs w:val="22"/>
    </w:rPr>
  </w:style>
  <w:style w:type="paragraph" w:styleId="958">
    <w:name w:val="Heading 7"/>
    <w:basedOn w:val="1115"/>
    <w:next w:val="1115"/>
    <w:link w:val="9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59">
    <w:name w:val="Heading 7 Char"/>
    <w:basedOn w:val="1116"/>
    <w:link w:val="9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0">
    <w:name w:val="Heading 8"/>
    <w:basedOn w:val="1115"/>
    <w:next w:val="1115"/>
    <w:link w:val="9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1">
    <w:name w:val="Heading 8 Char"/>
    <w:basedOn w:val="1116"/>
    <w:link w:val="960"/>
    <w:uiPriority w:val="9"/>
    <w:rPr>
      <w:rFonts w:ascii="Arial" w:hAnsi="Arial" w:eastAsia="Arial" w:cs="Arial"/>
      <w:i/>
      <w:iCs/>
      <w:sz w:val="22"/>
      <w:szCs w:val="22"/>
    </w:rPr>
  </w:style>
  <w:style w:type="paragraph" w:styleId="962">
    <w:name w:val="Heading 9"/>
    <w:basedOn w:val="1115"/>
    <w:next w:val="1115"/>
    <w:link w:val="9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3">
    <w:name w:val="Heading 9 Char"/>
    <w:basedOn w:val="1116"/>
    <w:link w:val="962"/>
    <w:uiPriority w:val="9"/>
    <w:rPr>
      <w:rFonts w:ascii="Arial" w:hAnsi="Arial" w:eastAsia="Arial" w:cs="Arial"/>
      <w:i/>
      <w:iCs/>
      <w:sz w:val="21"/>
      <w:szCs w:val="21"/>
    </w:rPr>
  </w:style>
  <w:style w:type="paragraph" w:styleId="964">
    <w:name w:val="No Spacing"/>
    <w:uiPriority w:val="1"/>
    <w:qFormat/>
    <w:pPr>
      <w:spacing w:before="0" w:after="0" w:line="240" w:lineRule="auto"/>
    </w:pPr>
  </w:style>
  <w:style w:type="paragraph" w:styleId="965">
    <w:name w:val="Title"/>
    <w:basedOn w:val="1115"/>
    <w:next w:val="1115"/>
    <w:link w:val="9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6">
    <w:name w:val="Title Char"/>
    <w:basedOn w:val="1116"/>
    <w:link w:val="965"/>
    <w:uiPriority w:val="10"/>
    <w:rPr>
      <w:sz w:val="48"/>
      <w:szCs w:val="48"/>
    </w:rPr>
  </w:style>
  <w:style w:type="paragraph" w:styleId="967">
    <w:name w:val="Subtitle"/>
    <w:basedOn w:val="1115"/>
    <w:next w:val="1115"/>
    <w:link w:val="968"/>
    <w:uiPriority w:val="11"/>
    <w:qFormat/>
    <w:pPr>
      <w:spacing w:before="200" w:after="200"/>
    </w:pPr>
    <w:rPr>
      <w:sz w:val="24"/>
      <w:szCs w:val="24"/>
    </w:rPr>
  </w:style>
  <w:style w:type="character" w:styleId="968">
    <w:name w:val="Subtitle Char"/>
    <w:basedOn w:val="1116"/>
    <w:link w:val="967"/>
    <w:uiPriority w:val="11"/>
    <w:rPr>
      <w:sz w:val="24"/>
      <w:szCs w:val="24"/>
    </w:rPr>
  </w:style>
  <w:style w:type="paragraph" w:styleId="969">
    <w:name w:val="Quote"/>
    <w:basedOn w:val="1115"/>
    <w:next w:val="1115"/>
    <w:link w:val="970"/>
    <w:uiPriority w:val="29"/>
    <w:qFormat/>
    <w:pPr>
      <w:ind w:left="720" w:right="720"/>
    </w:pPr>
    <w:rPr>
      <w:i/>
    </w:rPr>
  </w:style>
  <w:style w:type="character" w:styleId="970">
    <w:name w:val="Quote Char"/>
    <w:link w:val="969"/>
    <w:uiPriority w:val="29"/>
    <w:rPr>
      <w:i/>
    </w:rPr>
  </w:style>
  <w:style w:type="paragraph" w:styleId="971">
    <w:name w:val="Intense Quote"/>
    <w:basedOn w:val="1115"/>
    <w:next w:val="1115"/>
    <w:link w:val="9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2">
    <w:name w:val="Intense Quote Char"/>
    <w:link w:val="971"/>
    <w:uiPriority w:val="30"/>
    <w:rPr>
      <w:i/>
    </w:rPr>
  </w:style>
  <w:style w:type="character" w:styleId="973">
    <w:name w:val="Header Char"/>
    <w:basedOn w:val="1116"/>
    <w:link w:val="1136"/>
    <w:uiPriority w:val="99"/>
  </w:style>
  <w:style w:type="character" w:styleId="974">
    <w:name w:val="Footer Char"/>
    <w:basedOn w:val="1116"/>
    <w:link w:val="1138"/>
    <w:uiPriority w:val="99"/>
  </w:style>
  <w:style w:type="paragraph" w:styleId="975">
    <w:name w:val="Caption"/>
    <w:basedOn w:val="1115"/>
    <w:next w:val="11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76">
    <w:name w:val="Caption Char"/>
    <w:basedOn w:val="975"/>
    <w:link w:val="1138"/>
    <w:uiPriority w:val="99"/>
  </w:style>
  <w:style w:type="table" w:styleId="977">
    <w:name w:val="Table Grid Light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>
    <w:name w:val="Plain Table 1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9">
    <w:name w:val="Plain Table 2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0">
    <w:name w:val="Plain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1">
    <w:name w:val="Plain Table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Plain Table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3">
    <w:name w:val="Grid Table 1 Light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4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5">
    <w:name w:val="Grid Table 4 - Accent 1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06">
    <w:name w:val="Grid Table 4 - Accent 2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7">
    <w:name w:val="Grid Table 4 - Accent 3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08">
    <w:name w:val="Grid Table 4 - Accent 4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9">
    <w:name w:val="Grid Table 4 - Accent 5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0">
    <w:name w:val="Grid Table 4 - Accent 6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1">
    <w:name w:val="Grid Table 5 Dark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12">
    <w:name w:val="Grid Table 5 Dark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14">
    <w:name w:val="Grid Table 5 Dark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15">
    <w:name w:val="Grid Table 5 Dark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16">
    <w:name w:val="Grid Table 5 Dark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17">
    <w:name w:val="Grid Table 5 Dark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18">
    <w:name w:val="Grid Table 6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19">
    <w:name w:val="Grid Table 6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0">
    <w:name w:val="Grid Table 6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1">
    <w:name w:val="Grid Table 6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2">
    <w:name w:val="Grid Table 6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3">
    <w:name w:val="Grid Table 6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4">
    <w:name w:val="Grid Table 6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5">
    <w:name w:val="Grid Table 7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0">
    <w:name w:val="List Table 2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1">
    <w:name w:val="List Table 2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2">
    <w:name w:val="List Table 2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3">
    <w:name w:val="List Table 2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44">
    <w:name w:val="List Table 2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45">
    <w:name w:val="List Table 2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46">
    <w:name w:val="List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5 Dark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1">
    <w:name w:val="List Table 5 Dark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2">
    <w:name w:val="List Table 5 Dark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3">
    <w:name w:val="List Table 5 Dark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4">
    <w:name w:val="List Table 5 Dark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5">
    <w:name w:val="List Table 5 Dark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6">
    <w:name w:val="List Table 5 Dark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7">
    <w:name w:val="List Table 6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68">
    <w:name w:val="List Table 6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9">
    <w:name w:val="List Table 6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0">
    <w:name w:val="List Table 6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1">
    <w:name w:val="List Table 6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2">
    <w:name w:val="List Table 6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3">
    <w:name w:val="List Table 6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74">
    <w:name w:val="List Table 7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75">
    <w:name w:val="List Table 7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76">
    <w:name w:val="List Table 7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77">
    <w:name w:val="List Table 7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78">
    <w:name w:val="List Table 7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79">
    <w:name w:val="List Table 7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80">
    <w:name w:val="List Table 7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81">
    <w:name w:val="Lined - Accent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2">
    <w:name w:val="Lined - Accent 1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83">
    <w:name w:val="Lined - Accent 2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84">
    <w:name w:val="Lined - Accent 3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85">
    <w:name w:val="Lined - Accent 4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86">
    <w:name w:val="Lined - Accent 5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7">
    <w:name w:val="Lined - Accent 6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8">
    <w:name w:val="Bordered &amp; Lined - Accent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9">
    <w:name w:val="Bordered &amp; Lined - Accent 1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0">
    <w:name w:val="Bordered &amp; Lined - Accent 2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1">
    <w:name w:val="Bordered &amp; Lined - Accent 3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2">
    <w:name w:val="Bordered &amp; Lined - Accent 4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3">
    <w:name w:val="Bordered &amp; Lined - Accent 5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4">
    <w:name w:val="Bordered &amp; Lined - Accent 6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5">
    <w:name w:val="Bordered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96">
    <w:name w:val="Bordered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7">
    <w:name w:val="Bordered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98">
    <w:name w:val="Bordered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99">
    <w:name w:val="Bordered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0">
    <w:name w:val="Bordered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1">
    <w:name w:val="Bordered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02">
    <w:name w:val="Footnote Text Char"/>
    <w:link w:val="1122"/>
    <w:uiPriority w:val="99"/>
    <w:rPr>
      <w:sz w:val="18"/>
    </w:rPr>
  </w:style>
  <w:style w:type="character" w:styleId="1103">
    <w:name w:val="Endnote Text Char"/>
    <w:link w:val="1132"/>
    <w:uiPriority w:val="99"/>
    <w:rPr>
      <w:sz w:val="20"/>
    </w:rPr>
  </w:style>
  <w:style w:type="paragraph" w:styleId="1104">
    <w:name w:val="toc 1"/>
    <w:basedOn w:val="1115"/>
    <w:next w:val="1115"/>
    <w:uiPriority w:val="39"/>
    <w:unhideWhenUsed/>
    <w:pPr>
      <w:ind w:left="0" w:right="0" w:firstLine="0"/>
      <w:spacing w:after="57"/>
    </w:pPr>
  </w:style>
  <w:style w:type="paragraph" w:styleId="1105">
    <w:name w:val="toc 2"/>
    <w:basedOn w:val="1115"/>
    <w:next w:val="1115"/>
    <w:uiPriority w:val="39"/>
    <w:unhideWhenUsed/>
    <w:pPr>
      <w:ind w:left="283" w:right="0" w:firstLine="0"/>
      <w:spacing w:after="57"/>
    </w:pPr>
  </w:style>
  <w:style w:type="paragraph" w:styleId="1106">
    <w:name w:val="toc 3"/>
    <w:basedOn w:val="1115"/>
    <w:next w:val="1115"/>
    <w:uiPriority w:val="39"/>
    <w:unhideWhenUsed/>
    <w:pPr>
      <w:ind w:left="567" w:right="0" w:firstLine="0"/>
      <w:spacing w:after="57"/>
    </w:pPr>
  </w:style>
  <w:style w:type="paragraph" w:styleId="1107">
    <w:name w:val="toc 4"/>
    <w:basedOn w:val="1115"/>
    <w:next w:val="1115"/>
    <w:uiPriority w:val="39"/>
    <w:unhideWhenUsed/>
    <w:pPr>
      <w:ind w:left="850" w:right="0" w:firstLine="0"/>
      <w:spacing w:after="57"/>
    </w:pPr>
  </w:style>
  <w:style w:type="paragraph" w:styleId="1108">
    <w:name w:val="toc 5"/>
    <w:basedOn w:val="1115"/>
    <w:next w:val="1115"/>
    <w:uiPriority w:val="39"/>
    <w:unhideWhenUsed/>
    <w:pPr>
      <w:ind w:left="1134" w:right="0" w:firstLine="0"/>
      <w:spacing w:after="57"/>
    </w:pPr>
  </w:style>
  <w:style w:type="paragraph" w:styleId="1109">
    <w:name w:val="toc 6"/>
    <w:basedOn w:val="1115"/>
    <w:next w:val="1115"/>
    <w:uiPriority w:val="39"/>
    <w:unhideWhenUsed/>
    <w:pPr>
      <w:ind w:left="1417" w:right="0" w:firstLine="0"/>
      <w:spacing w:after="57"/>
    </w:pPr>
  </w:style>
  <w:style w:type="paragraph" w:styleId="1110">
    <w:name w:val="toc 7"/>
    <w:basedOn w:val="1115"/>
    <w:next w:val="1115"/>
    <w:uiPriority w:val="39"/>
    <w:unhideWhenUsed/>
    <w:pPr>
      <w:ind w:left="1701" w:right="0" w:firstLine="0"/>
      <w:spacing w:after="57"/>
    </w:pPr>
  </w:style>
  <w:style w:type="paragraph" w:styleId="1111">
    <w:name w:val="toc 8"/>
    <w:basedOn w:val="1115"/>
    <w:next w:val="1115"/>
    <w:uiPriority w:val="39"/>
    <w:unhideWhenUsed/>
    <w:pPr>
      <w:ind w:left="1984" w:right="0" w:firstLine="0"/>
      <w:spacing w:after="57"/>
    </w:pPr>
  </w:style>
  <w:style w:type="paragraph" w:styleId="1112">
    <w:name w:val="toc 9"/>
    <w:basedOn w:val="1115"/>
    <w:next w:val="1115"/>
    <w:uiPriority w:val="39"/>
    <w:unhideWhenUsed/>
    <w:pPr>
      <w:ind w:left="2268" w:right="0" w:firstLine="0"/>
      <w:spacing w:after="57"/>
    </w:pPr>
  </w:style>
  <w:style w:type="paragraph" w:styleId="1113">
    <w:name w:val="TOC Heading"/>
    <w:uiPriority w:val="39"/>
    <w:unhideWhenUsed/>
  </w:style>
  <w:style w:type="paragraph" w:styleId="1114">
    <w:name w:val="table of figures"/>
    <w:basedOn w:val="1115"/>
    <w:next w:val="1115"/>
    <w:uiPriority w:val="99"/>
    <w:unhideWhenUsed/>
    <w:pPr>
      <w:spacing w:after="0" w:afterAutospacing="0"/>
    </w:pPr>
  </w:style>
  <w:style w:type="paragraph" w:styleId="111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1116" w:default="1">
    <w:name w:val="Default Paragraph Font"/>
    <w:uiPriority w:val="1"/>
    <w:semiHidden/>
    <w:unhideWhenUsed/>
  </w:style>
  <w:style w:type="table" w:styleId="11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8" w:default="1">
    <w:name w:val="No List"/>
    <w:uiPriority w:val="99"/>
    <w:semiHidden/>
    <w:unhideWhenUsed/>
  </w:style>
  <w:style w:type="paragraph" w:styleId="1119" w:customStyle="1">
    <w:name w:val="Default"/>
    <w:qFormat/>
    <w:rPr>
      <w:rFonts w:ascii="Times New Roman" w:hAnsi="Times New Roman" w:eastAsia="Times New Roman" w:cs="NKOJCK+TimesNewRoman"/>
      <w:color w:val="000000"/>
      <w:sz w:val="24"/>
      <w:szCs w:val="24"/>
    </w:rPr>
  </w:style>
  <w:style w:type="table" w:styleId="1120">
    <w:name w:val="Table Grid"/>
    <w:basedOn w:val="11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1">
    <w:name w:val="List Paragraph"/>
    <w:basedOn w:val="1115"/>
    <w:uiPriority w:val="34"/>
    <w:qFormat/>
    <w:pPr>
      <w:contextualSpacing/>
      <w:ind w:left="720"/>
    </w:pPr>
  </w:style>
  <w:style w:type="paragraph" w:styleId="1122">
    <w:name w:val="footnote text"/>
    <w:basedOn w:val="1115"/>
    <w:link w:val="1123"/>
    <w:unhideWhenUsed/>
    <w:qFormat/>
    <w:pPr>
      <w:spacing w:after="0" w:line="240" w:lineRule="auto"/>
    </w:pPr>
    <w:rPr>
      <w:sz w:val="20"/>
      <w:szCs w:val="20"/>
    </w:rPr>
  </w:style>
  <w:style w:type="character" w:styleId="1123" w:customStyle="1">
    <w:name w:val="Текст сноски Знак"/>
    <w:link w:val="1122"/>
    <w:qFormat/>
    <w:rPr>
      <w:sz w:val="20"/>
      <w:szCs w:val="20"/>
    </w:rPr>
  </w:style>
  <w:style w:type="character" w:styleId="1124">
    <w:name w:val="footnote reference"/>
    <w:uiPriority w:val="99"/>
    <w:unhideWhenUsed/>
    <w:qFormat/>
    <w:rPr>
      <w:vertAlign w:val="superscript"/>
    </w:rPr>
  </w:style>
  <w:style w:type="character" w:styleId="1125">
    <w:name w:val="annotation reference"/>
    <w:uiPriority w:val="99"/>
    <w:semiHidden/>
    <w:unhideWhenUsed/>
    <w:rPr>
      <w:sz w:val="16"/>
      <w:szCs w:val="16"/>
    </w:rPr>
  </w:style>
  <w:style w:type="paragraph" w:styleId="1126">
    <w:name w:val="annotation text"/>
    <w:basedOn w:val="1115"/>
    <w:link w:val="112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27" w:customStyle="1">
    <w:name w:val="Текст примечания Знак"/>
    <w:link w:val="1126"/>
    <w:uiPriority w:val="99"/>
    <w:semiHidden/>
    <w:rPr>
      <w:sz w:val="20"/>
      <w:szCs w:val="20"/>
    </w:rPr>
  </w:style>
  <w:style w:type="paragraph" w:styleId="1128">
    <w:name w:val="annotation subject"/>
    <w:basedOn w:val="1126"/>
    <w:next w:val="1126"/>
    <w:link w:val="1129"/>
    <w:uiPriority w:val="99"/>
    <w:semiHidden/>
    <w:unhideWhenUsed/>
    <w:rPr>
      <w:b/>
      <w:bCs/>
    </w:rPr>
  </w:style>
  <w:style w:type="character" w:styleId="1129" w:customStyle="1">
    <w:name w:val="Тема примечания Знак"/>
    <w:link w:val="1128"/>
    <w:uiPriority w:val="99"/>
    <w:semiHidden/>
    <w:rPr>
      <w:b/>
      <w:bCs/>
      <w:sz w:val="20"/>
      <w:szCs w:val="20"/>
    </w:rPr>
  </w:style>
  <w:style w:type="paragraph" w:styleId="1130">
    <w:name w:val="Balloon Text"/>
    <w:basedOn w:val="1115"/>
    <w:link w:val="11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31" w:customStyle="1">
    <w:name w:val="Текст выноски Знак"/>
    <w:link w:val="1130"/>
    <w:uiPriority w:val="99"/>
    <w:semiHidden/>
    <w:rPr>
      <w:rFonts w:ascii="Tahoma" w:hAnsi="Tahoma" w:cs="Tahoma"/>
      <w:sz w:val="16"/>
      <w:szCs w:val="16"/>
    </w:rPr>
  </w:style>
  <w:style w:type="paragraph" w:styleId="1132">
    <w:name w:val="endnote text"/>
    <w:basedOn w:val="1115"/>
    <w:link w:val="113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33" w:customStyle="1">
    <w:name w:val="Текст концевой сноски Знак"/>
    <w:link w:val="1132"/>
    <w:uiPriority w:val="99"/>
    <w:semiHidden/>
    <w:rPr>
      <w:sz w:val="20"/>
      <w:szCs w:val="20"/>
    </w:rPr>
  </w:style>
  <w:style w:type="character" w:styleId="1134">
    <w:name w:val="endnote reference"/>
    <w:uiPriority w:val="99"/>
    <w:semiHidden/>
    <w:unhideWhenUsed/>
    <w:rPr>
      <w:vertAlign w:val="superscript"/>
    </w:rPr>
  </w:style>
  <w:style w:type="character" w:styleId="1135">
    <w:name w:val="Hyperlink"/>
    <w:uiPriority w:val="99"/>
    <w:unhideWhenUsed/>
    <w:rPr>
      <w:color w:val="0000ff"/>
      <w:u w:val="single"/>
    </w:rPr>
  </w:style>
  <w:style w:type="paragraph" w:styleId="1136">
    <w:name w:val="Header"/>
    <w:basedOn w:val="1115"/>
    <w:link w:val="11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37" w:customStyle="1">
    <w:name w:val="Верхний колонтитул Знак"/>
    <w:basedOn w:val="1116"/>
    <w:link w:val="1136"/>
    <w:uiPriority w:val="99"/>
  </w:style>
  <w:style w:type="paragraph" w:styleId="1138">
    <w:name w:val="Footer"/>
    <w:basedOn w:val="1115"/>
    <w:link w:val="11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39" w:customStyle="1">
    <w:name w:val="Нижний колонтитул Знак"/>
    <w:basedOn w:val="1116"/>
    <w:link w:val="1138"/>
    <w:uiPriority w:val="99"/>
  </w:style>
  <w:style w:type="paragraph" w:styleId="1140" w:customStyle="1">
    <w:name w:val="Noeeu1"/>
    <w:basedOn w:val="1115"/>
    <w:pPr>
      <w:ind w:firstLine="709"/>
      <w:jc w:val="both"/>
      <w:spacing w:after="0" w:line="240" w:lineRule="auto"/>
    </w:pPr>
    <w:rPr>
      <w:rFonts w:ascii="Peterburg" w:hAnsi="Peterburg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9C2C-6E8C-4831-8EED-6259F711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Андрусенко Татьяна Сергеевна</dc:creator>
  <cp:keywords/>
  <cp:revision>10</cp:revision>
  <dcterms:created xsi:type="dcterms:W3CDTF">2023-12-21T13:03:00Z</dcterms:created>
  <dcterms:modified xsi:type="dcterms:W3CDTF">2025-04-11T07:27:25Z</dcterms:modified>
</cp:coreProperties>
</file>