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04"/>
        <w:ind w:left="0"/>
        <w:jc w:val="center"/>
        <w:spacing w:after="0" w:line="240" w:lineRule="auto"/>
        <w:rPr>
          <w:rFonts w:ascii="Times New Roman" w:hAnsi="Times New Roman"/>
          <w:sz w:val="20"/>
          <w:szCs w:val="20"/>
        </w:rPr>
      </w:pPr>
      <w:r>
        <w:rPr>
          <w:rFonts w:ascii="Times New Roman" w:hAnsi="Times New Roman"/>
          <w:b/>
          <w:sz w:val="24"/>
          <w:szCs w:val="24"/>
        </w:rPr>
        <w:t xml:space="preserve">Правила проведения </w:t>
      </w:r>
      <w:r>
        <w:rPr>
          <w:rFonts w:ascii="Times New Roman" w:hAnsi="Times New Roman"/>
          <w:b/>
          <w:sz w:val="24"/>
          <w:szCs w:val="24"/>
        </w:rPr>
        <w:t xml:space="preserve">маркетинговой </w:t>
      </w:r>
      <w:r>
        <w:rPr>
          <w:rFonts w:ascii="Times New Roman" w:hAnsi="Times New Roman"/>
          <w:b/>
          <w:sz w:val="24"/>
          <w:szCs w:val="24"/>
        </w:rPr>
        <w:t xml:space="preserve">акции</w:t>
      </w:r>
      <w:r>
        <w:rPr>
          <w:rFonts w:ascii="Times New Roman" w:hAnsi="Times New Roman"/>
          <w:b/>
          <w:sz w:val="24"/>
          <w:szCs w:val="24"/>
        </w:rPr>
        <w:t xml:space="preserve"> </w:t>
      </w:r>
      <w:r>
        <w:rPr>
          <w:rFonts w:ascii="Times New Roman" w:hAnsi="Times New Roman"/>
          <w:b/>
          <w:sz w:val="24"/>
          <w:szCs w:val="24"/>
        </w:rPr>
        <w:t xml:space="preserve">для физических лиц</w:t>
      </w:r>
      <w:r>
        <w:rPr>
          <w:rFonts w:ascii="Times New Roman" w:hAnsi="Times New Roman"/>
          <w:b/>
          <w:sz w:val="24"/>
          <w:szCs w:val="24"/>
        </w:rPr>
      </w:r>
      <w:r>
        <w:rPr>
          <w:rFonts w:ascii="Times New Roman" w:hAnsi="Times New Roman"/>
          <w:b/>
          <w:sz w:val="24"/>
          <w:szCs w:val="24"/>
        </w:rPr>
      </w:r>
      <w:r>
        <w:rPr>
          <w:rFonts w:ascii="Times New Roman" w:hAnsi="Times New Roman"/>
          <w:sz w:val="20"/>
          <w:szCs w:val="20"/>
        </w:rPr>
      </w:r>
    </w:p>
    <w:p>
      <w:pPr>
        <w:pStyle w:val="900"/>
        <w:jc w:val="center"/>
        <w:spacing w:after="0" w:line="240" w:lineRule="auto"/>
        <w:rPr>
          <w:rFonts w:ascii="Times New Roman" w:hAnsi="Times New Roman"/>
          <w:b/>
          <w:sz w:val="24"/>
          <w:szCs w:val="24"/>
        </w:rPr>
      </w:pPr>
      <w:r>
        <w:rPr>
          <w:rFonts w:ascii="Times New Roman" w:hAnsi="Times New Roman"/>
          <w:b/>
          <w:sz w:val="24"/>
          <w:szCs w:val="24"/>
        </w:rPr>
        <w:t xml:space="preserve">«</w:t>
      </w:r>
      <w:r>
        <w:rPr>
          <w:rFonts w:ascii="Times New Roman" w:hAnsi="Times New Roman"/>
          <w:b/>
          <w:sz w:val="24"/>
          <w:szCs w:val="24"/>
        </w:rPr>
        <w:t xml:space="preserve">Специальные условия </w:t>
      </w:r>
      <w:r>
        <w:rPr>
          <w:rFonts w:ascii="Times New Roman" w:hAnsi="Times New Roman"/>
          <w:b/>
          <w:sz w:val="24"/>
          <w:szCs w:val="24"/>
        </w:rPr>
        <w:t xml:space="preserve">по размену монет Банка России на банкноты </w:t>
      </w:r>
      <w:r>
        <w:rPr>
          <w:rFonts w:ascii="Times New Roman" w:hAnsi="Times New Roman"/>
          <w:b/>
          <w:sz w:val="24"/>
          <w:szCs w:val="24"/>
        </w:rPr>
        <w:br w:type="textWrapping" w:clear="all"/>
      </w:r>
      <w:r>
        <w:rPr>
          <w:rFonts w:ascii="Times New Roman" w:hAnsi="Times New Roman"/>
          <w:b/>
          <w:sz w:val="24"/>
          <w:szCs w:val="24"/>
        </w:rPr>
        <w:t xml:space="preserve">Банка России</w:t>
      </w:r>
      <w:r>
        <w:rPr>
          <w:rFonts w:ascii="Times New Roman" w:hAnsi="Times New Roman"/>
          <w:b/>
          <w:sz w:val="24"/>
          <w:szCs w:val="24"/>
        </w:rPr>
        <w:t xml:space="preserve">/монету Банка России </w:t>
      </w:r>
      <w:r>
        <w:rPr>
          <w:rFonts w:ascii="Times New Roman" w:hAnsi="Times New Roman"/>
          <w:b/>
          <w:sz w:val="24"/>
          <w:szCs w:val="24"/>
        </w:rPr>
        <w:t xml:space="preserve">в</w:t>
      </w:r>
      <w:r>
        <w:rPr>
          <w:rFonts w:ascii="Times New Roman" w:hAnsi="Times New Roman"/>
          <w:b/>
          <w:sz w:val="24"/>
          <w:szCs w:val="24"/>
        </w:rPr>
        <w:t xml:space="preserve"> </w:t>
      </w:r>
      <w:r>
        <w:rPr>
          <w:rFonts w:ascii="Times New Roman" w:hAnsi="Times New Roman"/>
          <w:b/>
          <w:sz w:val="24"/>
          <w:szCs w:val="24"/>
        </w:rPr>
        <w:t xml:space="preserve">АО «Россельхозбанк</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b/>
          <w:sz w:val="24"/>
          <w:szCs w:val="24"/>
        </w:rPr>
      </w:r>
      <w:r>
        <w:rPr>
          <w:rFonts w:ascii="Times New Roman" w:hAnsi="Times New Roman"/>
          <w:b/>
          <w:sz w:val="24"/>
          <w:szCs w:val="24"/>
        </w:rPr>
      </w:r>
    </w:p>
    <w:p>
      <w:pPr>
        <w:pStyle w:val="900"/>
        <w:ind w:firstLine="709"/>
        <w:jc w:val="center"/>
        <w:spacing w:after="0" w:line="240" w:lineRule="auto"/>
        <w:rPr>
          <w:rFonts w:ascii="Times New Roman" w:hAnsi="Times New Roman"/>
          <w:b/>
          <w:sz w:val="24"/>
          <w:szCs w:val="24"/>
        </w:rPr>
      </w:pPr>
      <w:r>
        <w:rPr>
          <w:rFonts w:ascii="Times New Roman" w:hAnsi="Times New Roman"/>
          <w:b/>
          <w:sz w:val="24"/>
          <w:szCs w:val="24"/>
        </w:rPr>
        <w:t xml:space="preserve">(далее – Правила проведения Акции)</w:t>
      </w:r>
      <w:r>
        <w:rPr>
          <w:rFonts w:ascii="Times New Roman" w:hAnsi="Times New Roman"/>
          <w:b/>
          <w:sz w:val="24"/>
          <w:szCs w:val="24"/>
        </w:rPr>
      </w:r>
      <w:r>
        <w:rPr>
          <w:rFonts w:ascii="Times New Roman" w:hAnsi="Times New Roman"/>
          <w:b/>
          <w:sz w:val="24"/>
          <w:szCs w:val="24"/>
        </w:rPr>
      </w:r>
    </w:p>
    <w:p>
      <w:pPr>
        <w:pStyle w:val="900"/>
        <w:jc w:val="center"/>
        <w:spacing w:after="0" w:line="240" w:lineRule="auto"/>
        <w:tabs>
          <w:tab w:val="left" w:pos="1134"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900"/>
        <w:jc w:val="center"/>
        <w:spacing w:after="0" w:line="240" w:lineRule="auto"/>
        <w:tabs>
          <w:tab w:val="left" w:pos="1134"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900"/>
        <w:numPr>
          <w:ilvl w:val="0"/>
          <w:numId w:val="2"/>
        </w:numPr>
        <w:ind w:left="0" w:right="0" w:firstLine="709"/>
        <w:jc w:val="both"/>
        <w:spacing w:after="0" w:line="240" w:lineRule="auto"/>
        <w:tabs>
          <w:tab w:val="left" w:pos="1134" w:leader="none"/>
        </w:tabs>
        <w:rPr>
          <w:rFonts w:ascii="Times New Roman" w:hAnsi="Times New Roman"/>
          <w:sz w:val="24"/>
          <w:szCs w:val="24"/>
        </w:rPr>
      </w:pPr>
      <w:r>
        <w:rPr>
          <w:rFonts w:ascii="Times New Roman" w:hAnsi="Times New Roman"/>
          <w:b/>
          <w:sz w:val="24"/>
          <w:szCs w:val="24"/>
        </w:rPr>
        <w:t xml:space="preserve">Основная цель</w:t>
      </w:r>
      <w:r>
        <w:rPr>
          <w:rFonts w:ascii="Times New Roman" w:hAnsi="Times New Roman"/>
          <w:sz w:val="24"/>
          <w:szCs w:val="24"/>
        </w:rPr>
        <w:t xml:space="preserve"> </w:t>
      </w:r>
      <w:r>
        <w:rPr>
          <w:rFonts w:ascii="Times New Roman" w:hAnsi="Times New Roman"/>
          <w:sz w:val="24"/>
          <w:szCs w:val="24"/>
        </w:rPr>
        <w:t xml:space="preserve">проведения маркетинговой акции для физических </w:t>
      </w:r>
      <w:r>
        <w:rPr>
          <w:rFonts w:ascii="Times New Roman" w:hAnsi="Times New Roman"/>
          <w:sz w:val="24"/>
          <w:szCs w:val="24"/>
        </w:rPr>
        <w:t xml:space="preserve">лиц </w:t>
      </w:r>
      <w:r>
        <w:rPr>
          <w:rFonts w:ascii="Times New Roman" w:hAnsi="Times New Roman"/>
          <w:sz w:val="24"/>
          <w:szCs w:val="24"/>
        </w:rPr>
        <w:t xml:space="preserve">«Специальные условия по размену монет Банка России на банкноты Банка России/монету Банка России в</w:t>
      </w:r>
      <w:r>
        <w:rPr>
          <w:rFonts w:ascii="Times New Roman" w:hAnsi="Times New Roman"/>
          <w:sz w:val="24"/>
          <w:szCs w:val="24"/>
        </w:rPr>
        <w:t xml:space="preserve"> </w:t>
      </w:r>
      <w:r>
        <w:rPr>
          <w:rFonts w:ascii="Times New Roman" w:hAnsi="Times New Roman"/>
          <w:sz w:val="24"/>
          <w:szCs w:val="24"/>
        </w:rPr>
        <w:t xml:space="preserve">АО «Россельхозбанк»</w:t>
      </w:r>
      <w:r>
        <w:rPr>
          <w:rFonts w:ascii="Times New Roman" w:hAnsi="Times New Roman"/>
          <w:sz w:val="24"/>
          <w:szCs w:val="24"/>
        </w:rPr>
        <w:t xml:space="preserve"> </w:t>
      </w:r>
      <w:r>
        <w:rPr>
          <w:rFonts w:ascii="Times New Roman" w:hAnsi="Times New Roman"/>
          <w:sz w:val="24"/>
          <w:szCs w:val="24"/>
        </w:rPr>
        <w:t xml:space="preserve">(далее – Акция) – </w:t>
      </w:r>
      <w:r>
        <w:rPr>
          <w:rFonts w:ascii="Times New Roman" w:hAnsi="Times New Roman"/>
          <w:sz w:val="24"/>
          <w:szCs w:val="24"/>
        </w:rPr>
        <w:t xml:space="preserve">участи</w:t>
      </w:r>
      <w:r>
        <w:rPr>
          <w:rFonts w:ascii="Times New Roman" w:hAnsi="Times New Roman"/>
          <w:sz w:val="24"/>
          <w:szCs w:val="24"/>
        </w:rPr>
        <w:t xml:space="preserve">е</w:t>
      </w:r>
      <w:r>
        <w:rPr>
          <w:rFonts w:ascii="Times New Roman" w:hAnsi="Times New Roman"/>
          <w:sz w:val="24"/>
          <w:szCs w:val="24"/>
        </w:rPr>
        <w:t xml:space="preserve"> </w:t>
      </w:r>
      <w:r>
        <w:rPr>
          <w:rFonts w:ascii="Times New Roman" w:hAnsi="Times New Roman"/>
          <w:sz w:val="24"/>
          <w:szCs w:val="24"/>
        </w:rPr>
        <w:t xml:space="preserve">АО «Россельхозбанк»</w:t>
      </w:r>
      <w:r>
        <w:rPr>
          <w:rFonts w:ascii="Times New Roman" w:hAnsi="Times New Roman"/>
          <w:sz w:val="24"/>
          <w:szCs w:val="24"/>
        </w:rPr>
        <w:t xml:space="preserve"> </w:t>
      </w:r>
      <w:r>
        <w:rPr>
          <w:rFonts w:ascii="Times New Roman" w:hAnsi="Times New Roman"/>
          <w:sz w:val="24"/>
          <w:szCs w:val="24"/>
        </w:rPr>
        <w:t xml:space="preserve">во всероссийской акции «Монетная неделя», осуществляемой Банком России </w:t>
      </w:r>
      <w:r>
        <w:rPr>
          <w:rFonts w:ascii="Times New Roman" w:hAnsi="Times New Roman"/>
          <w:sz w:val="24"/>
          <w:szCs w:val="24"/>
        </w:rPr>
        <w:t xml:space="preserve">с целью </w:t>
      </w:r>
      <w:r>
        <w:rPr>
          <w:rFonts w:ascii="Times New Roman" w:hAnsi="Times New Roman"/>
          <w:sz w:val="24"/>
          <w:szCs w:val="24"/>
        </w:rPr>
        <w:t xml:space="preserve">привлечени</w:t>
      </w:r>
      <w:r>
        <w:rPr>
          <w:rFonts w:ascii="Times New Roman" w:hAnsi="Times New Roman"/>
          <w:sz w:val="24"/>
          <w:szCs w:val="24"/>
        </w:rPr>
        <w:t xml:space="preserve">я</w:t>
      </w:r>
      <w:r>
        <w:rPr>
          <w:rFonts w:ascii="Times New Roman" w:hAnsi="Times New Roman"/>
          <w:sz w:val="24"/>
          <w:szCs w:val="24"/>
        </w:rPr>
        <w:t xml:space="preserve"> монет от населения для возврата в налично-денежный оборот.</w:t>
      </w:r>
      <w:r>
        <w:rPr>
          <w:rFonts w:ascii="Times New Roman" w:hAnsi="Times New Roman"/>
          <w:b/>
          <w:sz w:val="24"/>
          <w:szCs w:val="24"/>
        </w:rPr>
        <w:t xml:space="preserve"> </w:t>
      </w:r>
      <w:r>
        <w:rPr>
          <w:rFonts w:ascii="Times New Roman" w:hAnsi="Times New Roman"/>
          <w:sz w:val="24"/>
          <w:szCs w:val="24"/>
        </w:rPr>
      </w:r>
      <w:r>
        <w:rPr>
          <w:rFonts w:ascii="Times New Roman" w:hAnsi="Times New Roman"/>
          <w:sz w:val="24"/>
          <w:szCs w:val="24"/>
        </w:rPr>
      </w:r>
    </w:p>
    <w:p>
      <w:pPr>
        <w:pStyle w:val="900"/>
        <w:numPr>
          <w:ilvl w:val="0"/>
          <w:numId w:val="2"/>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b/>
          <w:sz w:val="24"/>
          <w:szCs w:val="24"/>
        </w:rPr>
        <w:t xml:space="preserve">Задачи, решаемые в рамках проведения Акции – </w:t>
      </w:r>
      <w:r>
        <w:rPr>
          <w:rFonts w:ascii="Times New Roman" w:hAnsi="Times New Roman"/>
          <w:sz w:val="24"/>
          <w:szCs w:val="24"/>
        </w:rPr>
        <w:t xml:space="preserve">продвижение продуктов и услуг АО «Россельхозбанк»</w:t>
      </w:r>
      <w:r>
        <w:rPr>
          <w:rFonts w:ascii="Times New Roman" w:hAnsi="Times New Roman"/>
          <w:sz w:val="24"/>
          <w:szCs w:val="24"/>
        </w:rPr>
        <w:t xml:space="preserve"> (далее – Банк)</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0"/>
        <w:numPr>
          <w:ilvl w:val="0"/>
          <w:numId w:val="2"/>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b/>
          <w:sz w:val="24"/>
          <w:szCs w:val="24"/>
        </w:rPr>
        <w:t xml:space="preserve">Место проведения Акции</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внутренние структурные подразделения Банк</w:t>
      </w:r>
      <w:r>
        <w:rPr>
          <w:rFonts w:ascii="Times New Roman" w:hAnsi="Times New Roman"/>
          <w:sz w:val="24"/>
          <w:szCs w:val="24"/>
        </w:rPr>
        <w:t xml:space="preserve">а, </w:t>
      </w:r>
      <w:r>
        <w:rPr>
          <w:rFonts w:ascii="Times New Roman" w:hAnsi="Times New Roman"/>
          <w:sz w:val="24"/>
          <w:szCs w:val="24"/>
        </w:rPr>
        <w:t xml:space="preserve">р</w:t>
      </w:r>
      <w:r>
        <w:rPr>
          <w:rFonts w:ascii="Times New Roman" w:hAnsi="Times New Roman"/>
          <w:sz w:val="24"/>
          <w:szCs w:val="24"/>
        </w:rPr>
        <w:t xml:space="preserve">егиональные филиалы </w:t>
      </w:r>
      <w:r>
        <w:rPr>
          <w:rFonts w:ascii="Times New Roman" w:hAnsi="Times New Roman"/>
          <w:sz w:val="24"/>
          <w:szCs w:val="24"/>
        </w:rPr>
        <w:t xml:space="preserve">Банка </w:t>
      </w:r>
      <w:r>
        <w:rPr>
          <w:rFonts w:ascii="Times New Roman" w:hAnsi="Times New Roman"/>
          <w:sz w:val="24"/>
          <w:szCs w:val="24"/>
        </w:rPr>
        <w:t xml:space="preserve">и их внутренние структурные подразделения</w:t>
      </w:r>
      <w:r>
        <w:rPr>
          <w:rFonts w:ascii="Times New Roman" w:hAnsi="Times New Roman"/>
          <w:sz w:val="24"/>
          <w:szCs w:val="24"/>
        </w:rPr>
        <w:t xml:space="preserve"> </w:t>
      </w:r>
      <w:r>
        <w:rPr>
          <w:rFonts w:ascii="Times New Roman" w:hAnsi="Times New Roman"/>
          <w:sz w:val="24"/>
          <w:szCs w:val="24"/>
        </w:rPr>
        <w:t xml:space="preserve">согласно Приложению к настоящим Правилам проведения </w:t>
      </w:r>
      <w:r>
        <w:rPr>
          <w:rFonts w:ascii="Times New Roman" w:hAnsi="Times New Roman"/>
          <w:sz w:val="24"/>
          <w:szCs w:val="24"/>
        </w:rPr>
        <w:t xml:space="preserve">А</w:t>
      </w:r>
      <w:r>
        <w:rPr>
          <w:rFonts w:ascii="Times New Roman" w:hAnsi="Times New Roman"/>
          <w:sz w:val="24"/>
          <w:szCs w:val="24"/>
        </w:rPr>
        <w:t xml:space="preserve">кции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0"/>
        <w:numPr>
          <w:ilvl w:val="0"/>
          <w:numId w:val="2"/>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b/>
          <w:sz w:val="24"/>
          <w:szCs w:val="24"/>
        </w:rPr>
        <w:t xml:space="preserve">Период проведения Акции </w:t>
      </w:r>
      <w:r>
        <w:rPr>
          <w:rFonts w:ascii="Times New Roman" w:hAnsi="Times New Roman"/>
          <w:sz w:val="24"/>
          <w:szCs w:val="24"/>
        </w:rPr>
        <w:t xml:space="preserve">– </w:t>
      </w:r>
      <w:r>
        <w:rPr>
          <w:rFonts w:ascii="Times New Roman" w:hAnsi="Times New Roman"/>
          <w:sz w:val="24"/>
          <w:szCs w:val="24"/>
          <w:lang w:val="en-US"/>
        </w:rPr>
        <w:t xml:space="preserve">c</w:t>
      </w:r>
      <w:r>
        <w:rPr>
          <w:rFonts w:ascii="Times New Roman" w:hAnsi="Times New Roman"/>
          <w:sz w:val="24"/>
          <w:szCs w:val="24"/>
        </w:rPr>
        <w:t xml:space="preserve"> 00:00 (по московскому времени) </w:t>
      </w:r>
      <w:r>
        <w:rPr>
          <w:rFonts w:ascii="Times New Roman" w:hAnsi="Times New Roman"/>
          <w:sz w:val="24"/>
          <w:szCs w:val="24"/>
        </w:rPr>
        <w:t xml:space="preserve">0</w:t>
      </w:r>
      <w:r>
        <w:rPr>
          <w:rFonts w:ascii="Times New Roman" w:hAnsi="Times New Roman"/>
          <w:sz w:val="24"/>
          <w:szCs w:val="24"/>
        </w:rPr>
        <w:t xml:space="preserve">7</w:t>
      </w:r>
      <w:r>
        <w:rPr>
          <w:rFonts w:ascii="Times New Roman" w:hAnsi="Times New Roman"/>
          <w:sz w:val="24"/>
          <w:szCs w:val="24"/>
        </w:rPr>
        <w:t xml:space="preserve">.</w:t>
      </w:r>
      <w:r>
        <w:rPr>
          <w:rFonts w:ascii="Times New Roman" w:hAnsi="Times New Roman"/>
          <w:sz w:val="24"/>
          <w:szCs w:val="24"/>
        </w:rPr>
        <w:t xml:space="preserve">04</w:t>
      </w:r>
      <w:r>
        <w:rPr>
          <w:rFonts w:ascii="Times New Roman" w:hAnsi="Times New Roman"/>
          <w:sz w:val="24"/>
          <w:szCs w:val="24"/>
        </w:rPr>
        <w:t xml:space="preserve">.2025</w:t>
      </w:r>
      <w:r>
        <w:rPr>
          <w:rFonts w:ascii="Times New Roman" w:hAnsi="Times New Roman"/>
          <w:sz w:val="24"/>
          <w:szCs w:val="24"/>
        </w:rPr>
        <w:t xml:space="preserve"> по 23:59 (по московскому времени)</w:t>
      </w:r>
      <w:r>
        <w:rPr>
          <w:rFonts w:ascii="Times New Roman" w:hAnsi="Times New Roman"/>
          <w:sz w:val="24"/>
          <w:szCs w:val="24"/>
        </w:rPr>
        <w:t xml:space="preserve"> </w:t>
      </w:r>
      <w:r>
        <w:rPr>
          <w:rFonts w:ascii="Times New Roman" w:hAnsi="Times New Roman"/>
          <w:sz w:val="24"/>
          <w:szCs w:val="24"/>
        </w:rPr>
        <w:t xml:space="preserve">19.04</w:t>
      </w:r>
      <w:r>
        <w:rPr>
          <w:rFonts w:ascii="Times New Roman" w:hAnsi="Times New Roman"/>
          <w:sz w:val="24"/>
          <w:szCs w:val="24"/>
        </w:rPr>
        <w:t xml:space="preserve">.2025</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900"/>
        <w:numPr>
          <w:ilvl w:val="0"/>
          <w:numId w:val="2"/>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b/>
          <w:sz w:val="24"/>
          <w:szCs w:val="24"/>
        </w:rPr>
        <w:t xml:space="preserve">Участник Акции</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физическ</w:t>
      </w:r>
      <w:r>
        <w:rPr>
          <w:rFonts w:ascii="Times New Roman" w:hAnsi="Times New Roman"/>
          <w:sz w:val="24"/>
          <w:szCs w:val="24"/>
        </w:rPr>
        <w:t xml:space="preserve">о</w:t>
      </w:r>
      <w:r>
        <w:rPr>
          <w:rFonts w:ascii="Times New Roman" w:hAnsi="Times New Roman"/>
          <w:sz w:val="24"/>
          <w:szCs w:val="24"/>
        </w:rPr>
        <w:t xml:space="preserve">е лиц</w:t>
      </w:r>
      <w:r>
        <w:rPr>
          <w:rFonts w:ascii="Times New Roman" w:hAnsi="Times New Roman"/>
          <w:sz w:val="24"/>
          <w:szCs w:val="24"/>
        </w:rPr>
        <w:t xml:space="preserve">о</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0"/>
        <w:numPr>
          <w:ilvl w:val="0"/>
          <w:numId w:val="2"/>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b/>
          <w:sz w:val="24"/>
          <w:szCs w:val="24"/>
        </w:rPr>
        <w:t xml:space="preserve">Условия </w:t>
      </w:r>
      <w:r>
        <w:rPr>
          <w:rFonts w:ascii="Times New Roman" w:hAnsi="Times New Roman"/>
          <w:b/>
          <w:sz w:val="24"/>
          <w:szCs w:val="24"/>
        </w:rPr>
        <w:t xml:space="preserve">проведения </w:t>
      </w:r>
      <w:r>
        <w:rPr>
          <w:rFonts w:ascii="Times New Roman" w:hAnsi="Times New Roman"/>
          <w:b/>
          <w:sz w:val="24"/>
          <w:szCs w:val="24"/>
        </w:rPr>
        <w:t xml:space="preserve">Акции </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с Участника Акции, воспользовавшегося в Период проведения Акции по Месту проведения Акции услугой по размену монет Банка России на банкноты Банка России</w:t>
      </w:r>
      <w:r>
        <w:rPr>
          <w:rFonts w:ascii="Times New Roman" w:hAnsi="Times New Roman"/>
          <w:sz w:val="24"/>
          <w:szCs w:val="24"/>
        </w:rPr>
        <w:t xml:space="preserve">/монету Банка Ро</w:t>
      </w:r>
      <w:r>
        <w:rPr>
          <w:rFonts w:ascii="Times New Roman" w:hAnsi="Times New Roman"/>
          <w:sz w:val="24"/>
          <w:szCs w:val="24"/>
        </w:rPr>
        <w:t xml:space="preserve">ссии</w:t>
      </w:r>
      <w:r>
        <w:rPr>
          <w:rFonts w:ascii="Times New Roman" w:hAnsi="Times New Roman"/>
          <w:sz w:val="24"/>
          <w:szCs w:val="24"/>
        </w:rPr>
        <w:t xml:space="preserve">, комиссионное вознаграждение в соответствии с п.</w:t>
      </w:r>
      <w:r>
        <w:rPr>
          <w:rFonts w:ascii="Times New Roman" w:hAnsi="Times New Roman"/>
          <w:sz w:val="24"/>
          <w:szCs w:val="24"/>
        </w:rPr>
        <w:t xml:space="preserve">п.</w:t>
      </w:r>
      <w:r>
        <w:rPr>
          <w:rFonts w:ascii="Times New Roman" w:hAnsi="Times New Roman"/>
          <w:sz w:val="24"/>
          <w:szCs w:val="24"/>
        </w:rPr>
        <w:t xml:space="preserve"> 6.</w:t>
      </w:r>
      <w:r>
        <w:rPr>
          <w:rFonts w:ascii="Times New Roman" w:hAnsi="Times New Roman"/>
          <w:sz w:val="24"/>
          <w:szCs w:val="24"/>
        </w:rPr>
        <w:t xml:space="preserve">5</w:t>
      </w:r>
      <w:r>
        <w:rPr>
          <w:rFonts w:ascii="Times New Roman" w:hAnsi="Times New Roman"/>
          <w:sz w:val="24"/>
          <w:szCs w:val="24"/>
        </w:rPr>
        <w:t xml:space="preserve">.3 </w:t>
      </w:r>
      <w:r>
        <w:rPr>
          <w:rFonts w:ascii="Times New Roman" w:hAnsi="Times New Roman"/>
          <w:sz w:val="24"/>
          <w:szCs w:val="24"/>
        </w:rPr>
        <w:t xml:space="preserve">и 6.5.4 </w:t>
      </w:r>
      <w:r>
        <w:rPr>
          <w:rFonts w:ascii="Times New Roman" w:hAnsi="Times New Roman"/>
          <w:sz w:val="24"/>
          <w:szCs w:val="24"/>
        </w:rPr>
        <w:t xml:space="preserve">Тарифов комиссионного вознаграждения на услуги АО «Россельхозбанк» физическим лицам (далее – тарифы) не взимается. </w:t>
      </w:r>
      <w:r>
        <w:rPr>
          <w:rFonts w:ascii="Times New Roman" w:hAnsi="Times New Roman"/>
          <w:sz w:val="24"/>
          <w:szCs w:val="24"/>
        </w:rPr>
        <w:t xml:space="preserve">Тарифы размещены на </w:t>
      </w:r>
      <w:r>
        <w:rPr>
          <w:rFonts w:ascii="Times New Roman" w:hAnsi="Times New Roman"/>
          <w:sz w:val="24"/>
          <w:szCs w:val="24"/>
        </w:rPr>
        <w:t xml:space="preserve">официальном </w:t>
      </w:r>
      <w:r>
        <w:rPr>
          <w:rFonts w:ascii="Times New Roman" w:hAnsi="Times New Roman"/>
          <w:sz w:val="24"/>
          <w:szCs w:val="24"/>
        </w:rPr>
        <w:t xml:space="preserve">сайте</w:t>
      </w:r>
      <w:r>
        <w:rPr>
          <w:rFonts w:ascii="Times New Roman" w:hAnsi="Times New Roman"/>
          <w:sz w:val="24"/>
          <w:szCs w:val="24"/>
        </w:rPr>
        <w:t xml:space="preserve"> </w:t>
      </w:r>
      <w:r>
        <w:rPr>
          <w:rFonts w:ascii="Times New Roman" w:hAnsi="Times New Roman"/>
          <w:sz w:val="24"/>
          <w:szCs w:val="24"/>
        </w:rPr>
        <w:t xml:space="preserve">Банка</w:t>
      </w:r>
      <w:r>
        <w:rPr>
          <w:rFonts w:ascii="Times New Roman" w:hAnsi="Times New Roman"/>
          <w:sz w:val="24"/>
          <w:szCs w:val="24"/>
        </w:rPr>
        <w:t xml:space="preserve"> в сети Интернет</w:t>
      </w:r>
      <w:r>
        <w:rPr>
          <w:rFonts w:ascii="Times New Roman" w:hAnsi="Times New Roman"/>
          <w:sz w:val="24"/>
          <w:szCs w:val="24"/>
        </w:rPr>
        <w:t xml:space="preserve"> по адресу:</w:t>
      </w:r>
      <w:r>
        <w:rPr>
          <w:rFonts w:ascii="Times New Roman" w:hAnsi="Times New Roman"/>
          <w:sz w:val="24"/>
          <w:szCs w:val="24"/>
        </w:rPr>
        <w:t xml:space="preserve"> </w:t>
      </w:r>
      <w:r>
        <w:fldChar w:fldCharType="begin"/>
      </w:r>
      <w:r>
        <w:instrText xml:space="preserve"> HYPERLINK "http://www.rshb.ru" </w:instrText>
      </w:r>
      <w:r>
        <w:fldChar w:fldCharType="separate"/>
      </w:r>
      <w:r>
        <w:rPr>
          <w:rStyle w:val="924"/>
          <w:rFonts w:ascii="Times New Roman" w:hAnsi="Times New Roman"/>
          <w:sz w:val="24"/>
          <w:szCs w:val="24"/>
          <w:lang w:val="en-US"/>
        </w:rPr>
        <w:t xml:space="preserve">www</w:t>
      </w:r>
      <w:r>
        <w:rPr>
          <w:rStyle w:val="924"/>
          <w:rFonts w:ascii="Times New Roman" w:hAnsi="Times New Roman"/>
          <w:sz w:val="24"/>
          <w:szCs w:val="24"/>
        </w:rPr>
        <w:t xml:space="preserve">.</w:t>
      </w:r>
      <w:r>
        <w:rPr>
          <w:rStyle w:val="924"/>
          <w:rFonts w:ascii="Times New Roman" w:hAnsi="Times New Roman"/>
          <w:sz w:val="24"/>
          <w:szCs w:val="24"/>
          <w:lang w:val="en-US"/>
        </w:rPr>
        <w:t xml:space="preserve">rshb</w:t>
      </w:r>
      <w:r>
        <w:rPr>
          <w:rStyle w:val="924"/>
          <w:rFonts w:ascii="Times New Roman" w:hAnsi="Times New Roman"/>
          <w:sz w:val="24"/>
          <w:szCs w:val="24"/>
        </w:rPr>
        <w:t xml:space="preserve">.</w:t>
      </w:r>
      <w:r>
        <w:rPr>
          <w:rStyle w:val="924"/>
          <w:rFonts w:ascii="Times New Roman" w:hAnsi="Times New Roman"/>
          <w:sz w:val="24"/>
          <w:szCs w:val="24"/>
          <w:lang w:val="en-US"/>
        </w:rPr>
        <w:t xml:space="preserve">ru</w:t>
      </w:r>
      <w:r>
        <w:rPr>
          <w:rStyle w:val="924"/>
          <w:rFonts w:ascii="Times New Roman" w:hAnsi="Times New Roman"/>
          <w:sz w:val="24"/>
          <w:szCs w:val="24"/>
          <w:lang w:val="en-US"/>
        </w:rPr>
        <w:fldChar w:fldCharType="end"/>
      </w:r>
      <w:r>
        <w:rPr>
          <w:rStyle w:val="924"/>
          <w:rFonts w:ascii="Times New Roman" w:hAnsi="Times New Roman"/>
          <w:sz w:val="24"/>
          <w:szCs w:val="24"/>
        </w:rPr>
        <w:t xml:space="preserve"> </w:t>
      </w:r>
      <w:r>
        <w:rPr>
          <w:rFonts w:ascii="Times New Roman" w:hAnsi="Times New Roman"/>
          <w:sz w:val="24"/>
          <w:szCs w:val="24"/>
        </w:rPr>
        <w:t xml:space="preserve">в разделе «Тарифы на услуги физическим лицам». </w:t>
      </w:r>
      <w:r>
        <w:rPr>
          <w:rFonts w:ascii="Times New Roman" w:hAnsi="Times New Roman"/>
          <w:sz w:val="24"/>
          <w:szCs w:val="24"/>
        </w:rPr>
      </w:r>
      <w:r>
        <w:rPr>
          <w:rFonts w:ascii="Times New Roman" w:hAnsi="Times New Roman"/>
          <w:sz w:val="24"/>
          <w:szCs w:val="24"/>
        </w:rPr>
      </w:r>
    </w:p>
    <w:p>
      <w:pPr>
        <w:pStyle w:val="900"/>
        <w:numPr>
          <w:ilvl w:val="0"/>
          <w:numId w:val="2"/>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b/>
          <w:sz w:val="24"/>
          <w:szCs w:val="24"/>
        </w:rPr>
        <w:t xml:space="preserve">Организатор Акции</w:t>
      </w:r>
      <w:r>
        <w:rPr>
          <w:rFonts w:ascii="Times New Roman" w:hAnsi="Times New Roman"/>
          <w:sz w:val="24"/>
          <w:szCs w:val="24"/>
        </w:rPr>
        <w:t xml:space="preserve"> – АО «Россельхозбанк» (Генеральная лицензия Банка России </w:t>
      </w:r>
      <w:r>
        <w:rPr>
          <w:rFonts w:ascii="Times New Roman" w:hAnsi="Times New Roman"/>
          <w:sz w:val="24"/>
          <w:szCs w:val="24"/>
        </w:rPr>
        <w:br w:type="textWrapping" w:clear="all"/>
      </w:r>
      <w:r>
        <w:rPr>
          <w:rFonts w:ascii="Times New Roman" w:hAnsi="Times New Roman"/>
          <w:sz w:val="24"/>
          <w:szCs w:val="24"/>
        </w:rPr>
        <w:t xml:space="preserve">№ 3349 от 12.08.2015, место нахождения: </w:t>
      </w:r>
      <w:r>
        <w:rPr>
          <w:rFonts w:ascii="Times New Roman" w:hAnsi="Times New Roman"/>
          <w:sz w:val="24"/>
          <w:szCs w:val="24"/>
        </w:rPr>
        <w:t xml:space="preserve">119034,</w:t>
      </w:r>
      <w:r>
        <w:rPr>
          <w:rFonts w:ascii="Times New Roman" w:hAnsi="Times New Roman"/>
          <w:sz w:val="24"/>
          <w:szCs w:val="24"/>
        </w:rPr>
        <w:t xml:space="preserve"> </w:t>
      </w:r>
      <w:r>
        <w:rPr>
          <w:rFonts w:ascii="Times New Roman" w:hAnsi="Times New Roman"/>
          <w:sz w:val="24"/>
          <w:szCs w:val="24"/>
        </w:rPr>
        <w:t xml:space="preserve">Российская Федерация, г. Москва, Гагаринский пер., д. 3).</w:t>
      </w:r>
      <w:r>
        <w:rPr>
          <w:rFonts w:ascii="Times New Roman" w:hAnsi="Times New Roman"/>
          <w:sz w:val="24"/>
          <w:szCs w:val="24"/>
        </w:rPr>
      </w:r>
      <w:r>
        <w:rPr>
          <w:rFonts w:ascii="Times New Roman" w:hAnsi="Times New Roman"/>
          <w:sz w:val="24"/>
          <w:szCs w:val="24"/>
        </w:rPr>
      </w:r>
    </w:p>
    <w:p>
      <w:pPr>
        <w:pStyle w:val="900"/>
        <w:ind w:left="709" w:firstLine="0"/>
        <w:jc w:val="both"/>
        <w:spacing w:after="0" w:line="240" w:lineRule="auto"/>
        <w:tabs>
          <w:tab w:val="left" w:pos="1134" w:leader="none"/>
        </w:tabs>
        <w:rPr>
          <w:rFonts w:ascii="Times New Roman" w:hAnsi="Times New Roman"/>
          <w:b/>
          <w:sz w:val="24"/>
          <w:szCs w:val="24"/>
        </w:rPr>
      </w:pPr>
      <w:r>
        <w:rPr>
          <w:rFonts w:ascii="Times New Roman" w:hAnsi="Times New Roman"/>
          <w:b w:val="0"/>
          <w:bCs w:val="0"/>
          <w:sz w:val="24"/>
          <w:szCs w:val="24"/>
        </w:rPr>
        <w:t xml:space="preserve">8.</w:t>
      </w:r>
      <w:r>
        <w:rPr>
          <w:rFonts w:ascii="Times New Roman" w:hAnsi="Times New Roman"/>
          <w:b/>
          <w:sz w:val="24"/>
          <w:szCs w:val="24"/>
        </w:rPr>
        <w:t xml:space="preserve"> Порядок информирования об Условиях проведения </w:t>
      </w:r>
      <w:r>
        <w:rPr>
          <w:rFonts w:ascii="Times New Roman" w:hAnsi="Times New Roman"/>
          <w:b/>
          <w:sz w:val="24"/>
          <w:szCs w:val="24"/>
        </w:rPr>
        <w:t xml:space="preserve">Акции:</w:t>
      </w:r>
      <w:r>
        <w:rPr>
          <w:rFonts w:ascii="Times New Roman" w:hAnsi="Times New Roman"/>
          <w:b/>
          <w:sz w:val="24"/>
          <w:szCs w:val="24"/>
        </w:rPr>
      </w:r>
      <w:r>
        <w:rPr>
          <w:rFonts w:ascii="Times New Roman" w:hAnsi="Times New Roman"/>
          <w:b/>
          <w:sz w:val="24"/>
          <w:szCs w:val="24"/>
        </w:rPr>
      </w:r>
    </w:p>
    <w:p>
      <w:pPr>
        <w:pStyle w:val="904"/>
        <w:numPr>
          <w:ilvl w:val="0"/>
          <w:numId w:val="12"/>
        </w:numPr>
        <w:ind w:left="0" w:firstLine="709"/>
        <w:jc w:val="both"/>
        <w:spacing w:after="0" w:line="240" w:lineRule="auto"/>
        <w:tabs>
          <w:tab w:val="left" w:pos="993" w:leader="none"/>
        </w:tabs>
        <w:rPr>
          <w:rStyle w:val="924"/>
          <w:rFonts w:ascii="Times New Roman" w:hAnsi="Times New Roman"/>
          <w:color w:val="000000"/>
          <w:sz w:val="24"/>
          <w:szCs w:val="24"/>
          <w:u w:val="none"/>
        </w:rPr>
      </w:pPr>
      <w:r>
        <w:rPr>
          <w:rFonts w:ascii="Times New Roman" w:hAnsi="Times New Roman"/>
          <w:sz w:val="24"/>
          <w:szCs w:val="24"/>
        </w:rPr>
        <w:t xml:space="preserve">размещение информации на </w:t>
      </w:r>
      <w:r>
        <w:rPr>
          <w:rFonts w:ascii="Times New Roman" w:hAnsi="Times New Roman"/>
          <w:sz w:val="24"/>
          <w:szCs w:val="24"/>
        </w:rPr>
        <w:t xml:space="preserve">официальном </w:t>
      </w:r>
      <w:r>
        <w:rPr>
          <w:rFonts w:ascii="Times New Roman" w:hAnsi="Times New Roman"/>
          <w:sz w:val="24"/>
          <w:szCs w:val="24"/>
        </w:rPr>
        <w:t xml:space="preserve">сайте </w:t>
      </w:r>
      <w:r>
        <w:rPr>
          <w:rFonts w:ascii="Times New Roman" w:hAnsi="Times New Roman"/>
          <w:sz w:val="24"/>
          <w:szCs w:val="24"/>
        </w:rPr>
        <w:t xml:space="preserve">Банка</w:t>
      </w:r>
      <w:r>
        <w:rPr>
          <w:rFonts w:ascii="Times New Roman" w:hAnsi="Times New Roman"/>
          <w:sz w:val="24"/>
          <w:szCs w:val="24"/>
        </w:rPr>
        <w:t xml:space="preserve"> в сети Интернет по адресу: </w:t>
      </w:r>
      <w:r>
        <w:fldChar w:fldCharType="begin"/>
      </w:r>
      <w:r>
        <w:instrText xml:space="preserve"> HYPERLINK "http://www.rshb.ru" </w:instrText>
      </w:r>
      <w:r>
        <w:fldChar w:fldCharType="separate"/>
      </w:r>
      <w:r>
        <w:rPr>
          <w:rStyle w:val="924"/>
          <w:rFonts w:ascii="Times New Roman" w:hAnsi="Times New Roman"/>
          <w:sz w:val="24"/>
          <w:szCs w:val="24"/>
          <w:lang w:val="en-US"/>
        </w:rPr>
        <w:t xml:space="preserve">www</w:t>
      </w:r>
      <w:r>
        <w:rPr>
          <w:rStyle w:val="924"/>
          <w:rFonts w:ascii="Times New Roman" w:hAnsi="Times New Roman"/>
          <w:sz w:val="24"/>
          <w:szCs w:val="24"/>
        </w:rPr>
        <w:t xml:space="preserve">.</w:t>
      </w:r>
      <w:r>
        <w:rPr>
          <w:rStyle w:val="924"/>
          <w:rFonts w:ascii="Times New Roman" w:hAnsi="Times New Roman"/>
          <w:sz w:val="24"/>
          <w:szCs w:val="24"/>
          <w:lang w:val="en-US"/>
        </w:rPr>
        <w:t xml:space="preserve">rshb</w:t>
      </w:r>
      <w:r>
        <w:rPr>
          <w:rStyle w:val="924"/>
          <w:rFonts w:ascii="Times New Roman" w:hAnsi="Times New Roman"/>
          <w:sz w:val="24"/>
          <w:szCs w:val="24"/>
        </w:rPr>
        <w:t xml:space="preserve">.</w:t>
      </w:r>
      <w:r>
        <w:rPr>
          <w:rStyle w:val="924"/>
          <w:rFonts w:ascii="Times New Roman" w:hAnsi="Times New Roman"/>
          <w:sz w:val="24"/>
          <w:szCs w:val="24"/>
          <w:lang w:val="en-US"/>
        </w:rPr>
        <w:t xml:space="preserve">ru</w:t>
      </w:r>
      <w:r>
        <w:rPr>
          <w:rStyle w:val="924"/>
          <w:rFonts w:ascii="Times New Roman" w:hAnsi="Times New Roman"/>
          <w:sz w:val="24"/>
          <w:szCs w:val="24"/>
          <w:lang w:val="en-US"/>
        </w:rPr>
        <w:fldChar w:fldCharType="end"/>
      </w:r>
      <w:r>
        <w:rPr>
          <w:rStyle w:val="924"/>
          <w:rFonts w:ascii="Times New Roman" w:hAnsi="Times New Roman"/>
          <w:sz w:val="24"/>
          <w:szCs w:val="24"/>
        </w:rPr>
        <w:t xml:space="preserve">;</w:t>
      </w:r>
      <w:r>
        <w:rPr>
          <w:rStyle w:val="924"/>
          <w:rFonts w:ascii="Times New Roman" w:hAnsi="Times New Roman"/>
          <w:color w:val="000000"/>
          <w:sz w:val="24"/>
          <w:szCs w:val="24"/>
          <w:u w:val="none"/>
        </w:rPr>
      </w:r>
      <w:r>
        <w:rPr>
          <w:rStyle w:val="924"/>
          <w:rFonts w:ascii="Times New Roman" w:hAnsi="Times New Roman"/>
          <w:color w:val="000000"/>
          <w:sz w:val="24"/>
          <w:szCs w:val="24"/>
          <w:u w:val="none"/>
        </w:rPr>
      </w:r>
    </w:p>
    <w:p>
      <w:pPr>
        <w:pStyle w:val="900"/>
        <w:ind w:firstLine="709"/>
        <w:jc w:val="both"/>
        <w:spacing w:after="0" w:line="240" w:lineRule="auto"/>
        <w:tabs>
          <w:tab w:val="left" w:pos="993" w:leader="none"/>
        </w:tabs>
        <w:rPr>
          <w:rFonts w:ascii="Times New Roman" w:hAnsi="Times New Roman"/>
          <w:sz w:val="24"/>
          <w:szCs w:val="24"/>
        </w:rPr>
      </w:pPr>
      <w:r>
        <w:rPr>
          <w:rFonts w:ascii="Times New Roman" w:hAnsi="Times New Roman"/>
          <w:sz w:val="24"/>
          <w:szCs w:val="24"/>
        </w:rPr>
        <w:t xml:space="preserve">-</w:t>
        <w:tab/>
        <w:t xml:space="preserve">размещение информации </w:t>
      </w:r>
      <w:r>
        <w:rPr>
          <w:rFonts w:ascii="Times New Roman" w:hAnsi="Times New Roman"/>
          <w:sz w:val="24"/>
          <w:szCs w:val="24"/>
        </w:rPr>
        <w:t xml:space="preserve">на информационных стендах </w:t>
      </w:r>
      <w:r>
        <w:rPr>
          <w:rFonts w:ascii="Times New Roman" w:hAnsi="Times New Roman"/>
          <w:sz w:val="24"/>
          <w:szCs w:val="24"/>
        </w:rPr>
        <w:t xml:space="preserve">в подразделениях Банка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993" w:leader="none"/>
        </w:tabs>
        <w:rPr>
          <w:rFonts w:ascii="Times New Roman" w:hAnsi="Times New Roman"/>
          <w:sz w:val="24"/>
          <w:szCs w:val="24"/>
        </w:rPr>
      </w:pPr>
      <w:r>
        <w:rPr>
          <w:rFonts w:ascii="Times New Roman" w:hAnsi="Times New Roman"/>
          <w:sz w:val="24"/>
          <w:szCs w:val="24"/>
        </w:rPr>
        <w:t xml:space="preserve">9. </w:t>
      </w:r>
      <w:r>
        <w:rPr>
          <w:rFonts w:ascii="Times New Roman" w:hAnsi="Times New Roman"/>
          <w:b/>
          <w:sz w:val="24"/>
          <w:szCs w:val="24"/>
        </w:rPr>
        <w:t xml:space="preserve">Особые условия проведения Акции:</w:t>
      </w:r>
      <w:r>
        <w:rPr>
          <w:rFonts w:ascii="Times New Roman" w:hAnsi="Times New Roman"/>
          <w:sz w:val="24"/>
          <w:szCs w:val="24"/>
        </w:rPr>
      </w:r>
      <w:r>
        <w:rPr>
          <w:rFonts w:ascii="Times New Roman" w:hAnsi="Times New Roman"/>
          <w:sz w:val="24"/>
          <w:szCs w:val="24"/>
        </w:rPr>
      </w:r>
    </w:p>
    <w:p>
      <w:pPr>
        <w:pStyle w:val="900"/>
        <w:ind w:left="0" w:righ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9.1 Ф</w:t>
      </w:r>
      <w:r>
        <w:rPr>
          <w:rFonts w:ascii="Times New Roman" w:hAnsi="Times New Roman"/>
          <w:sz w:val="24"/>
          <w:szCs w:val="24"/>
        </w:rPr>
        <w:t xml:space="preserve">акт участия в Акции означает ознакомление и полное согласие Участника Акции с настоящими Правилами</w:t>
      </w:r>
      <w:r>
        <w:rPr>
          <w:rFonts w:ascii="Times New Roman" w:hAnsi="Times New Roman"/>
          <w:sz w:val="24"/>
          <w:szCs w:val="24"/>
        </w:rPr>
        <w:t xml:space="preserve"> проведения Акции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0"/>
        <w:ind w:left="0" w:righ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9.2 Акция не является конкурсом, публичным обещанием награды, стимулирующей лотереей, участие в Акции не основано на риске и случайном выигрыше.</w:t>
      </w:r>
      <w:r>
        <w:rPr>
          <w:rFonts w:ascii="Times New Roman" w:hAnsi="Times New Roman"/>
          <w:sz w:val="24"/>
          <w:szCs w:val="24"/>
        </w:rPr>
      </w:r>
      <w:r>
        <w:rPr>
          <w:rFonts w:ascii="Times New Roman" w:hAnsi="Times New Roman"/>
          <w:sz w:val="24"/>
          <w:szCs w:val="24"/>
        </w:rPr>
      </w:r>
    </w:p>
    <w:sectPr>
      <w:headerReference w:type="default" r:id="rId9"/>
      <w:footerReference w:type="default" r:id="rId10"/>
      <w:footnotePr/>
      <w:endnotePr/>
      <w:type w:val="nextPage"/>
      <w:pgSz w:w="11906" w:h="16838" w:orient="portrait"/>
      <w:pgMar w:top="1134" w:right="567" w:bottom="1134" w:left="1418"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409020205020404"/>
  </w:font>
  <w:font w:name="Tahoma">
    <w:panose1 w:val="020B060403050404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6"/>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2</w:t>
    </w:r>
    <w:r>
      <w:rPr>
        <w:rFonts w:ascii="Times New Roman" w:hAnsi="Times New Roman"/>
      </w:rP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pPr>
    </w:lvl>
    <w:lvl w:ilvl="1">
      <w:start w:val="2"/>
      <w:numFmt w:val="decimal"/>
      <w:isLgl w:val="false"/>
      <w:suff w:val="tab"/>
      <w:lvlText w:val="%1.%2."/>
      <w:lvlJc w:val="left"/>
      <w:pPr>
        <w:ind w:left="1069" w:hanging="36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1">
    <w:multiLevelType w:val="hybridMultilevel"/>
    <w:lvl w:ilvl="0">
      <w:start w:val="1"/>
      <w:numFmt w:val="bullet"/>
      <w:isLgl w:val="false"/>
      <w:suff w:val="tab"/>
      <w:lvlText w:val="-"/>
      <w:lvlJc w:val="left"/>
      <w:pPr>
        <w:ind w:left="1429" w:hanging="360"/>
      </w:pPr>
      <w:rPr>
        <w:rFonts w:ascii="Times New Roman" w:hAnsi="Times New Roman" w:cs="Times New Roman"/>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
    <w:multiLevelType w:val="hybridMultilevel"/>
    <w:lvl w:ilvl="0">
      <w:start w:val="2"/>
      <w:numFmt w:val="decimal"/>
      <w:isLgl w:val="false"/>
      <w:suff w:val="tab"/>
      <w:lvlText w:val="%1"/>
      <w:lvlJc w:val="left"/>
      <w:pPr>
        <w:ind w:left="360" w:hanging="360"/>
      </w:pPr>
    </w:lvl>
    <w:lvl w:ilvl="1">
      <w:start w:val="1"/>
      <w:numFmt w:val="decimal"/>
      <w:isLgl w:val="false"/>
      <w:suff w:val="tab"/>
      <w:lvlText w:val="%1.%2"/>
      <w:lvlJc w:val="left"/>
      <w:pPr>
        <w:ind w:left="1069" w:hanging="36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3">
    <w:multiLevelType w:val="hybridMultilevel"/>
    <w:lvl w:ilvl="0">
      <w:start w:val="2"/>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4">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1069" w:hanging="36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1429" w:hanging="360"/>
      </w:pPr>
      <w:rPr>
        <w:rFonts w:ascii="Times New Roman" w:hAnsi="Times New Roman" w:cs="Times New Roman"/>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7">
    <w:multiLevelType w:val="hybridMultilevel"/>
    <w:lvl w:ilvl="0">
      <w:start w:val="1"/>
      <w:numFmt w:val="decimal"/>
      <w:isLgl w:val="false"/>
      <w:suff w:val="tab"/>
      <w:lvlText w:val="%1."/>
      <w:lvlJc w:val="left"/>
      <w:pPr>
        <w:ind w:left="2912" w:hanging="360"/>
      </w:pPr>
      <w:rPr>
        <w:rFonts w:cs="Times New Roman"/>
        <w:b w:val="0"/>
      </w:rPr>
    </w:lvl>
    <w:lvl w:ilvl="1">
      <w:start w:val="1"/>
      <w:numFmt w:val="decimal"/>
      <w:isLgl w:val="false"/>
      <w:suff w:val="tab"/>
      <w:lvlText w:val="%1.%2."/>
      <w:lvlJc w:val="left"/>
      <w:pPr>
        <w:ind w:left="1069" w:hanging="360"/>
      </w:pPr>
      <w:rPr>
        <w:rFonts w:cs="Times New Roman"/>
        <w:b w:val="0"/>
      </w:rPr>
    </w:lvl>
    <w:lvl w:ilvl="2">
      <w:start w:val="1"/>
      <w:numFmt w:val="decimal"/>
      <w:isLgl w:val="false"/>
      <w:suff w:val="tab"/>
      <w:lvlText w:val="%1.%2.%3."/>
      <w:lvlJc w:val="left"/>
      <w:pPr>
        <w:ind w:left="1429" w:hanging="720"/>
      </w:pPr>
      <w:rPr>
        <w:rFonts w:cs="Times New Roman"/>
      </w:rPr>
    </w:lvl>
    <w:lvl w:ilvl="3">
      <w:start w:val="1"/>
      <w:numFmt w:val="decimal"/>
      <w:isLgl w:val="false"/>
      <w:suff w:val="tab"/>
      <w:lvlText w:val="%1.%2.%3.%4."/>
      <w:lvlJc w:val="left"/>
      <w:pPr>
        <w:ind w:left="1429" w:hanging="720"/>
      </w:pPr>
      <w:rPr>
        <w:rFonts w:cs="Times New Roman"/>
      </w:rPr>
    </w:lvl>
    <w:lvl w:ilvl="4">
      <w:start w:val="1"/>
      <w:numFmt w:val="decimalZero"/>
      <w:isLgl w:val="false"/>
      <w:suff w:val="tab"/>
      <w:lvlText w:val="%1.%2.%3.%4.%5."/>
      <w:lvlJc w:val="left"/>
      <w:pPr>
        <w:ind w:left="1789" w:hanging="1080"/>
      </w:pPr>
      <w:rPr>
        <w:rFonts w:cs="Times New Roman"/>
      </w:rPr>
    </w:lvl>
    <w:lvl w:ilvl="5">
      <w:start w:val="1"/>
      <w:numFmt w:val="decimal"/>
      <w:isLgl w:val="false"/>
      <w:suff w:val="tab"/>
      <w:lvlText w:val="%1.%2.%3.%4.%5.%6."/>
      <w:lvlJc w:val="left"/>
      <w:pPr>
        <w:ind w:left="1789" w:hanging="1080"/>
      </w:pPr>
      <w:rPr>
        <w:rFonts w:cs="Times New Roman"/>
      </w:rPr>
    </w:lvl>
    <w:lvl w:ilvl="6">
      <w:start w:val="1"/>
      <w:numFmt w:val="decimal"/>
      <w:isLgl w:val="false"/>
      <w:suff w:val="tab"/>
      <w:lvlText w:val="%1.%2.%3.%4.%5.%6.%7."/>
      <w:lvlJc w:val="left"/>
      <w:pPr>
        <w:ind w:left="2149" w:hanging="1440"/>
      </w:pPr>
      <w:rPr>
        <w:rFonts w:cs="Times New Roman"/>
      </w:rPr>
    </w:lvl>
    <w:lvl w:ilvl="7">
      <w:start w:val="1"/>
      <w:numFmt w:val="decimal"/>
      <w:isLgl w:val="false"/>
      <w:suff w:val="tab"/>
      <w:lvlText w:val="%1.%2.%3.%4.%5.%6.%7.%8."/>
      <w:lvlJc w:val="left"/>
      <w:pPr>
        <w:ind w:left="2149" w:hanging="1440"/>
      </w:pPr>
      <w:rPr>
        <w:rFonts w:cs="Times New Roman"/>
      </w:rPr>
    </w:lvl>
    <w:lvl w:ilvl="8">
      <w:start w:val="1"/>
      <w:numFmt w:val="decimal"/>
      <w:isLgl w:val="false"/>
      <w:suff w:val="tab"/>
      <w:lvlText w:val="%1.%2.%3.%4.%5.%6.%7.%8.%9."/>
      <w:lvlJc w:val="left"/>
      <w:pPr>
        <w:ind w:left="2509" w:hanging="1800"/>
      </w:pPr>
      <w:rPr>
        <w:rFonts w:cs="Times New Roman"/>
      </w:rPr>
    </w:lvl>
  </w:abstractNum>
  <w:abstractNum w:abstractNumId="8">
    <w:multiLevelType w:val="hybridMultilevel"/>
    <w:lvl w:ilvl="0">
      <w:start w:val="1"/>
      <w:numFmt w:val="decimal"/>
      <w:isLgl w:val="false"/>
      <w:suff w:val="tab"/>
      <w:lvlText w:val="%1."/>
      <w:lvlJc w:val="left"/>
      <w:pPr>
        <w:ind w:left="1204" w:hanging="495"/>
      </w:pPr>
      <w:rPr>
        <w:b w:val="0"/>
      </w:rPr>
    </w:lvl>
    <w:lvl w:ilvl="1">
      <w:start w:val="1"/>
      <w:numFmt w:val="decimal"/>
      <w:isLgl w:val="false"/>
      <w:suff w:val="tab"/>
      <w:lvlText w:val="%1.%2."/>
      <w:lvlJc w:val="left"/>
      <w:pPr>
        <w:ind w:left="1637" w:hanging="360"/>
      </w:pPr>
    </w:lvl>
    <w:lvl w:ilvl="2">
      <w:start w:val="1"/>
      <w:numFmt w:val="decimal"/>
      <w:isLgl w:val="false"/>
      <w:suff w:val="tab"/>
      <w:lvlText w:val="%1.%2.%3."/>
      <w:lvlJc w:val="left"/>
      <w:pPr>
        <w:ind w:left="1429" w:hanging="720"/>
      </w:pPr>
    </w:lvl>
    <w:lvl w:ilvl="3">
      <w:start w:val="1"/>
      <w:numFmt w:val="decimal"/>
      <w:isLgl w:val="false"/>
      <w:suff w:val="tab"/>
      <w:lvlText w:val="%1.%2.%3.%4."/>
      <w:lvlJc w:val="left"/>
      <w:pPr>
        <w:ind w:left="1429" w:hanging="720"/>
      </w:pPr>
    </w:lvl>
    <w:lvl w:ilvl="4">
      <w:start w:val="1"/>
      <w:numFmt w:val="decimal"/>
      <w:isLgl w:val="false"/>
      <w:suff w:val="tab"/>
      <w:lvlText w:val="%1.%2.%3.%4.%5."/>
      <w:lvlJc w:val="left"/>
      <w:pPr>
        <w:ind w:left="1789" w:hanging="1080"/>
      </w:pPr>
    </w:lvl>
    <w:lvl w:ilvl="5">
      <w:start w:val="1"/>
      <w:numFmt w:val="decimal"/>
      <w:isLgl w:val="false"/>
      <w:suff w:val="tab"/>
      <w:lvlText w:val="%1.%2.%3.%4.%5.%6."/>
      <w:lvlJc w:val="left"/>
      <w:pPr>
        <w:ind w:left="1789" w:hanging="1080"/>
      </w:pPr>
    </w:lvl>
    <w:lvl w:ilvl="6">
      <w:start w:val="1"/>
      <w:numFmt w:val="decimal"/>
      <w:isLgl w:val="false"/>
      <w:suff w:val="tab"/>
      <w:lvlText w:val="%1.%2.%3.%4.%5.%6.%7."/>
      <w:lvlJc w:val="left"/>
      <w:pPr>
        <w:ind w:left="2149" w:hanging="1440"/>
      </w:pPr>
    </w:lvl>
    <w:lvl w:ilvl="7">
      <w:start w:val="1"/>
      <w:numFmt w:val="decimal"/>
      <w:isLgl w:val="false"/>
      <w:suff w:val="tab"/>
      <w:lvlText w:val="%1.%2.%3.%4.%5.%6.%7.%8."/>
      <w:lvlJc w:val="left"/>
      <w:pPr>
        <w:ind w:left="2149" w:hanging="1440"/>
      </w:pPr>
    </w:lvl>
    <w:lvl w:ilvl="8">
      <w:start w:val="1"/>
      <w:numFmt w:val="decimal"/>
      <w:isLgl w:val="false"/>
      <w:suff w:val="tab"/>
      <w:lvlText w:val="%1.%2.%3.%4.%5.%6.%7.%8.%9."/>
      <w:lvlJc w:val="left"/>
      <w:pPr>
        <w:ind w:left="2509" w:hanging="1800"/>
      </w:pPr>
    </w:lvl>
  </w:abstractNum>
  <w:abstractNum w:abstractNumId="9">
    <w:multiLevelType w:val="hybridMultilevel"/>
    <w:lvl w:ilvl="0">
      <w:start w:val="1"/>
      <w:numFmt w:val="bullet"/>
      <w:isLgl w:val="false"/>
      <w:suff w:val="tab"/>
      <w:lvlText w:val="-"/>
      <w:lvlJc w:val="left"/>
      <w:pPr>
        <w:ind w:left="3272" w:hanging="360"/>
      </w:pPr>
      <w:rPr>
        <w:rFonts w:ascii="Times New Roman" w:hAnsi="Times New Roman" w:cs="Times New Roman"/>
      </w:rPr>
    </w:lvl>
    <w:lvl w:ilvl="1">
      <w:start w:val="1"/>
      <w:numFmt w:val="bullet"/>
      <w:isLgl w:val="false"/>
      <w:suff w:val="tab"/>
      <w:lvlText w:val="o"/>
      <w:lvlJc w:val="left"/>
      <w:pPr>
        <w:ind w:left="3992" w:hanging="360"/>
      </w:pPr>
      <w:rPr>
        <w:rFonts w:ascii="Courier New" w:hAnsi="Courier New" w:cs="Courier New"/>
      </w:rPr>
    </w:lvl>
    <w:lvl w:ilvl="2">
      <w:start w:val="1"/>
      <w:numFmt w:val="bullet"/>
      <w:isLgl w:val="false"/>
      <w:suff w:val="tab"/>
      <w:lvlText w:val=""/>
      <w:lvlJc w:val="left"/>
      <w:pPr>
        <w:ind w:left="4712" w:hanging="360"/>
      </w:pPr>
      <w:rPr>
        <w:rFonts w:ascii="Wingdings" w:hAnsi="Wingdings"/>
      </w:rPr>
    </w:lvl>
    <w:lvl w:ilvl="3">
      <w:start w:val="1"/>
      <w:numFmt w:val="bullet"/>
      <w:isLgl w:val="false"/>
      <w:suff w:val="tab"/>
      <w:lvlText w:val=""/>
      <w:lvlJc w:val="left"/>
      <w:pPr>
        <w:ind w:left="5432" w:hanging="360"/>
      </w:pPr>
      <w:rPr>
        <w:rFonts w:ascii="Symbol" w:hAnsi="Symbol"/>
      </w:rPr>
    </w:lvl>
    <w:lvl w:ilvl="4">
      <w:start w:val="1"/>
      <w:numFmt w:val="bullet"/>
      <w:isLgl w:val="false"/>
      <w:suff w:val="tab"/>
      <w:lvlText w:val="o"/>
      <w:lvlJc w:val="left"/>
      <w:pPr>
        <w:ind w:left="6152" w:hanging="360"/>
      </w:pPr>
      <w:rPr>
        <w:rFonts w:ascii="Courier New" w:hAnsi="Courier New" w:cs="Courier New"/>
      </w:rPr>
    </w:lvl>
    <w:lvl w:ilvl="5">
      <w:start w:val="1"/>
      <w:numFmt w:val="bullet"/>
      <w:isLgl w:val="false"/>
      <w:suff w:val="tab"/>
      <w:lvlText w:val=""/>
      <w:lvlJc w:val="left"/>
      <w:pPr>
        <w:ind w:left="6872" w:hanging="360"/>
      </w:pPr>
      <w:rPr>
        <w:rFonts w:ascii="Wingdings" w:hAnsi="Wingdings"/>
      </w:rPr>
    </w:lvl>
    <w:lvl w:ilvl="6">
      <w:start w:val="1"/>
      <w:numFmt w:val="bullet"/>
      <w:isLgl w:val="false"/>
      <w:suff w:val="tab"/>
      <w:lvlText w:val=""/>
      <w:lvlJc w:val="left"/>
      <w:pPr>
        <w:ind w:left="7592" w:hanging="360"/>
      </w:pPr>
      <w:rPr>
        <w:rFonts w:ascii="Symbol" w:hAnsi="Symbol"/>
      </w:rPr>
    </w:lvl>
    <w:lvl w:ilvl="7">
      <w:start w:val="1"/>
      <w:numFmt w:val="bullet"/>
      <w:isLgl w:val="false"/>
      <w:suff w:val="tab"/>
      <w:lvlText w:val="o"/>
      <w:lvlJc w:val="left"/>
      <w:pPr>
        <w:ind w:left="8312" w:hanging="360"/>
      </w:pPr>
      <w:rPr>
        <w:rFonts w:ascii="Courier New" w:hAnsi="Courier New" w:cs="Courier New"/>
      </w:rPr>
    </w:lvl>
    <w:lvl w:ilvl="8">
      <w:start w:val="1"/>
      <w:numFmt w:val="bullet"/>
      <w:isLgl w:val="false"/>
      <w:suff w:val="tab"/>
      <w:lvlText w:val=""/>
      <w:lvlJc w:val="left"/>
      <w:pPr>
        <w:ind w:left="9032" w:hanging="360"/>
      </w:pPr>
      <w:rPr>
        <w:rFonts w:ascii="Wingdings" w:hAnsi="Wingdings"/>
      </w:rPr>
    </w:lvl>
  </w:abstractNum>
  <w:abstractNum w:abstractNumId="1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1">
    <w:multiLevelType w:val="hybridMultilevel"/>
    <w:lvl w:ilvl="0">
      <w:start w:val="2"/>
      <w:numFmt w:val="decimal"/>
      <w:isLgl w:val="false"/>
      <w:suff w:val="tab"/>
      <w:lvlText w:val="%1"/>
      <w:lvlJc w:val="left"/>
      <w:pPr>
        <w:ind w:left="360" w:hanging="360"/>
      </w:pPr>
    </w:lvl>
    <w:lvl w:ilvl="1">
      <w:start w:val="1"/>
      <w:numFmt w:val="decimal"/>
      <w:isLgl w:val="false"/>
      <w:suff w:val="tab"/>
      <w:lvlText w:val="%1.%2"/>
      <w:lvlJc w:val="left"/>
      <w:pPr>
        <w:ind w:left="1069" w:hanging="36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12">
    <w:multiLevelType w:val="hybridMultilevel"/>
    <w:lvl w:ilvl="0">
      <w:start w:val="2"/>
      <w:numFmt w:val="decimal"/>
      <w:isLgl w:val="false"/>
      <w:suff w:val="tab"/>
      <w:lvlText w:val="%1."/>
      <w:lvlJc w:val="left"/>
      <w:pPr>
        <w:ind w:left="360" w:hanging="360"/>
      </w:pPr>
    </w:lvl>
    <w:lvl w:ilvl="1">
      <w:start w:val="2"/>
      <w:numFmt w:val="decimal"/>
      <w:isLgl w:val="false"/>
      <w:suff w:val="tab"/>
      <w:lvlText w:val="%1.%2."/>
      <w:lvlJc w:val="left"/>
      <w:pPr>
        <w:ind w:left="1069" w:hanging="36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13">
    <w:multiLevelType w:val="hybridMultilevel"/>
    <w:lvl w:ilvl="0">
      <w:start w:val="1"/>
      <w:numFmt w:val="decimal"/>
      <w:isLgl w:val="false"/>
      <w:suff w:val="tab"/>
      <w:lvlText w:val="%1."/>
      <w:lvlJc w:val="left"/>
      <w:pPr>
        <w:ind w:left="1069" w:hanging="360"/>
      </w:pPr>
    </w:lvl>
    <w:lvl w:ilvl="1">
      <w:start w:val="1"/>
      <w:numFmt w:val="decimal"/>
      <w:isLgl w:val="false"/>
      <w:suff w:val="tab"/>
      <w:lvlText w:val="%1.%2."/>
      <w:lvlJc w:val="left"/>
      <w:pPr>
        <w:ind w:left="1069" w:hanging="360"/>
      </w:pPr>
      <w:rPr>
        <w:lang w:val="en-US"/>
      </w:rPr>
    </w:lvl>
    <w:lvl w:ilvl="2">
      <w:start w:val="1"/>
      <w:numFmt w:val="decimal"/>
      <w:isLgl w:val="false"/>
      <w:suff w:val="tab"/>
      <w:lvlText w:val="%1.%2.%3."/>
      <w:lvlJc w:val="left"/>
      <w:pPr>
        <w:ind w:left="1429" w:hanging="720"/>
      </w:pPr>
    </w:lvl>
    <w:lvl w:ilvl="3">
      <w:start w:val="1"/>
      <w:numFmt w:val="decimal"/>
      <w:isLgl w:val="false"/>
      <w:suff w:val="tab"/>
      <w:lvlText w:val="%1.%2.%3.%4."/>
      <w:lvlJc w:val="left"/>
      <w:pPr>
        <w:ind w:left="1429" w:hanging="720"/>
      </w:pPr>
    </w:lvl>
    <w:lvl w:ilvl="4">
      <w:start w:val="1"/>
      <w:numFmt w:val="decimal"/>
      <w:isLgl w:val="false"/>
      <w:suff w:val="tab"/>
      <w:lvlText w:val="%1.%2.%3.%4.%5."/>
      <w:lvlJc w:val="left"/>
      <w:pPr>
        <w:ind w:left="1789" w:hanging="1080"/>
      </w:pPr>
    </w:lvl>
    <w:lvl w:ilvl="5">
      <w:start w:val="1"/>
      <w:numFmt w:val="decimal"/>
      <w:isLgl w:val="false"/>
      <w:suff w:val="tab"/>
      <w:lvlText w:val="%1.%2.%3.%4.%5.%6."/>
      <w:lvlJc w:val="left"/>
      <w:pPr>
        <w:ind w:left="1789" w:hanging="1080"/>
      </w:pPr>
    </w:lvl>
    <w:lvl w:ilvl="6">
      <w:start w:val="1"/>
      <w:numFmt w:val="decimal"/>
      <w:isLgl w:val="false"/>
      <w:suff w:val="tab"/>
      <w:lvlText w:val="%1.%2.%3.%4.%5.%6.%7."/>
      <w:lvlJc w:val="left"/>
      <w:pPr>
        <w:ind w:left="2149" w:hanging="1440"/>
      </w:pPr>
    </w:lvl>
    <w:lvl w:ilvl="7">
      <w:start w:val="1"/>
      <w:numFmt w:val="decimal"/>
      <w:isLgl w:val="false"/>
      <w:suff w:val="tab"/>
      <w:lvlText w:val="%1.%2.%3.%4.%5.%6.%7.%8."/>
      <w:lvlJc w:val="left"/>
      <w:pPr>
        <w:ind w:left="2149" w:hanging="1440"/>
      </w:pPr>
    </w:lvl>
    <w:lvl w:ilvl="8">
      <w:start w:val="1"/>
      <w:numFmt w:val="decimal"/>
      <w:isLgl w:val="false"/>
      <w:suff w:val="tab"/>
      <w:lvlText w:val="%1.%2.%3.%4.%5.%6.%7.%8.%9."/>
      <w:lvlJc w:val="left"/>
      <w:pPr>
        <w:ind w:left="2509" w:hanging="1800"/>
      </w:pPr>
    </w:lvl>
  </w:abstractNum>
  <w:num w:numId="1">
    <w:abstractNumId w:val="10"/>
  </w:num>
  <w:num w:numId="2">
    <w:abstractNumId w:val="8"/>
  </w:num>
  <w:num w:numId="3">
    <w:abstractNumId w:val="13"/>
  </w:num>
  <w:num w:numId="4">
    <w:abstractNumId w:val="11"/>
  </w:num>
  <w:num w:numId="5">
    <w:abstractNumId w:val="12"/>
  </w:num>
  <w:num w:numId="6">
    <w:abstractNumId w:val="4"/>
  </w:num>
  <w:num w:numId="7">
    <w:abstractNumId w:val="0"/>
  </w:num>
  <w:num w:numId="8">
    <w:abstractNumId w:val="2"/>
  </w:num>
  <w:num w:numId="9">
    <w:abstractNumId w:val="3"/>
  </w:num>
  <w:num w:numId="10">
    <w:abstractNumId w:val="5"/>
  </w:num>
  <w:num w:numId="11">
    <w:abstractNumId w:val="9"/>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2">
    <w:name w:val="Heading 1"/>
    <w:basedOn w:val="900"/>
    <w:next w:val="900"/>
    <w:link w:val="723"/>
    <w:uiPriority w:val="9"/>
    <w:qFormat/>
    <w:pPr>
      <w:keepLines/>
      <w:keepNext/>
      <w:spacing w:before="480" w:after="200"/>
      <w:outlineLvl w:val="0"/>
    </w:pPr>
    <w:rPr>
      <w:rFonts w:ascii="Arial" w:hAnsi="Arial" w:eastAsia="Arial" w:cs="Arial"/>
      <w:sz w:val="40"/>
      <w:szCs w:val="40"/>
    </w:rPr>
  </w:style>
  <w:style w:type="character" w:styleId="723">
    <w:name w:val="Heading 1 Char"/>
    <w:link w:val="722"/>
    <w:uiPriority w:val="9"/>
    <w:rPr>
      <w:rFonts w:ascii="Arial" w:hAnsi="Arial" w:eastAsia="Arial" w:cs="Arial"/>
      <w:sz w:val="40"/>
      <w:szCs w:val="40"/>
    </w:rPr>
  </w:style>
  <w:style w:type="paragraph" w:styleId="724">
    <w:name w:val="Heading 2"/>
    <w:basedOn w:val="900"/>
    <w:next w:val="900"/>
    <w:link w:val="725"/>
    <w:uiPriority w:val="9"/>
    <w:unhideWhenUsed/>
    <w:qFormat/>
    <w:pPr>
      <w:keepLines/>
      <w:keepNext/>
      <w:spacing w:before="360" w:after="200"/>
      <w:outlineLvl w:val="1"/>
    </w:pPr>
    <w:rPr>
      <w:rFonts w:ascii="Arial" w:hAnsi="Arial" w:eastAsia="Arial" w:cs="Arial"/>
      <w:sz w:val="34"/>
    </w:rPr>
  </w:style>
  <w:style w:type="character" w:styleId="725">
    <w:name w:val="Heading 2 Char"/>
    <w:link w:val="724"/>
    <w:uiPriority w:val="9"/>
    <w:rPr>
      <w:rFonts w:ascii="Arial" w:hAnsi="Arial" w:eastAsia="Arial" w:cs="Arial"/>
      <w:sz w:val="34"/>
    </w:rPr>
  </w:style>
  <w:style w:type="paragraph" w:styleId="726">
    <w:name w:val="Heading 3"/>
    <w:basedOn w:val="900"/>
    <w:next w:val="900"/>
    <w:link w:val="727"/>
    <w:uiPriority w:val="9"/>
    <w:unhideWhenUsed/>
    <w:qFormat/>
    <w:pPr>
      <w:keepLines/>
      <w:keepNext/>
      <w:spacing w:before="320" w:after="200"/>
      <w:outlineLvl w:val="2"/>
    </w:pPr>
    <w:rPr>
      <w:rFonts w:ascii="Arial" w:hAnsi="Arial" w:eastAsia="Arial" w:cs="Arial"/>
      <w:sz w:val="30"/>
      <w:szCs w:val="30"/>
    </w:rPr>
  </w:style>
  <w:style w:type="character" w:styleId="727">
    <w:name w:val="Heading 3 Char"/>
    <w:link w:val="726"/>
    <w:uiPriority w:val="9"/>
    <w:rPr>
      <w:rFonts w:ascii="Arial" w:hAnsi="Arial" w:eastAsia="Arial" w:cs="Arial"/>
      <w:sz w:val="30"/>
      <w:szCs w:val="30"/>
    </w:rPr>
  </w:style>
  <w:style w:type="paragraph" w:styleId="728">
    <w:name w:val="Heading 4"/>
    <w:basedOn w:val="900"/>
    <w:next w:val="900"/>
    <w:link w:val="729"/>
    <w:uiPriority w:val="9"/>
    <w:unhideWhenUsed/>
    <w:qFormat/>
    <w:pPr>
      <w:keepLines/>
      <w:keepNext/>
      <w:spacing w:before="320" w:after="200"/>
      <w:outlineLvl w:val="3"/>
    </w:pPr>
    <w:rPr>
      <w:rFonts w:ascii="Arial" w:hAnsi="Arial" w:eastAsia="Arial" w:cs="Arial"/>
      <w:b/>
      <w:bCs/>
      <w:sz w:val="26"/>
      <w:szCs w:val="26"/>
    </w:rPr>
  </w:style>
  <w:style w:type="character" w:styleId="729">
    <w:name w:val="Heading 4 Char"/>
    <w:link w:val="728"/>
    <w:uiPriority w:val="9"/>
    <w:rPr>
      <w:rFonts w:ascii="Arial" w:hAnsi="Arial" w:eastAsia="Arial" w:cs="Arial"/>
      <w:b/>
      <w:bCs/>
      <w:sz w:val="26"/>
      <w:szCs w:val="26"/>
    </w:rPr>
  </w:style>
  <w:style w:type="paragraph" w:styleId="730">
    <w:name w:val="Heading 5"/>
    <w:basedOn w:val="900"/>
    <w:next w:val="900"/>
    <w:link w:val="731"/>
    <w:uiPriority w:val="9"/>
    <w:unhideWhenUsed/>
    <w:qFormat/>
    <w:pPr>
      <w:keepLines/>
      <w:keepNext/>
      <w:spacing w:before="320" w:after="200"/>
      <w:outlineLvl w:val="4"/>
    </w:pPr>
    <w:rPr>
      <w:rFonts w:ascii="Arial" w:hAnsi="Arial" w:eastAsia="Arial" w:cs="Arial"/>
      <w:b/>
      <w:bCs/>
      <w:sz w:val="24"/>
      <w:szCs w:val="24"/>
    </w:rPr>
  </w:style>
  <w:style w:type="character" w:styleId="731">
    <w:name w:val="Heading 5 Char"/>
    <w:link w:val="730"/>
    <w:uiPriority w:val="9"/>
    <w:rPr>
      <w:rFonts w:ascii="Arial" w:hAnsi="Arial" w:eastAsia="Arial" w:cs="Arial"/>
      <w:b/>
      <w:bCs/>
      <w:sz w:val="24"/>
      <w:szCs w:val="24"/>
    </w:rPr>
  </w:style>
  <w:style w:type="paragraph" w:styleId="732">
    <w:name w:val="Heading 6"/>
    <w:basedOn w:val="900"/>
    <w:next w:val="900"/>
    <w:link w:val="733"/>
    <w:uiPriority w:val="9"/>
    <w:unhideWhenUsed/>
    <w:qFormat/>
    <w:pPr>
      <w:keepLines/>
      <w:keepNext/>
      <w:spacing w:before="320" w:after="200"/>
      <w:outlineLvl w:val="5"/>
    </w:pPr>
    <w:rPr>
      <w:rFonts w:ascii="Arial" w:hAnsi="Arial" w:eastAsia="Arial" w:cs="Arial"/>
      <w:b/>
      <w:bCs/>
      <w:sz w:val="22"/>
      <w:szCs w:val="22"/>
    </w:rPr>
  </w:style>
  <w:style w:type="character" w:styleId="733">
    <w:name w:val="Heading 6 Char"/>
    <w:link w:val="732"/>
    <w:uiPriority w:val="9"/>
    <w:rPr>
      <w:rFonts w:ascii="Arial" w:hAnsi="Arial" w:eastAsia="Arial" w:cs="Arial"/>
      <w:b/>
      <w:bCs/>
      <w:sz w:val="22"/>
      <w:szCs w:val="22"/>
    </w:rPr>
  </w:style>
  <w:style w:type="paragraph" w:styleId="734">
    <w:name w:val="Heading 7"/>
    <w:basedOn w:val="900"/>
    <w:next w:val="900"/>
    <w:link w:val="735"/>
    <w:uiPriority w:val="9"/>
    <w:unhideWhenUsed/>
    <w:qFormat/>
    <w:pPr>
      <w:keepLines/>
      <w:keepNext/>
      <w:spacing w:before="320" w:after="200"/>
      <w:outlineLvl w:val="6"/>
    </w:pPr>
    <w:rPr>
      <w:rFonts w:ascii="Arial" w:hAnsi="Arial" w:eastAsia="Arial" w:cs="Arial"/>
      <w:b/>
      <w:bCs/>
      <w:i/>
      <w:iCs/>
      <w:sz w:val="22"/>
      <w:szCs w:val="22"/>
    </w:rPr>
  </w:style>
  <w:style w:type="character" w:styleId="735">
    <w:name w:val="Heading 7 Char"/>
    <w:link w:val="734"/>
    <w:uiPriority w:val="9"/>
    <w:rPr>
      <w:rFonts w:ascii="Arial" w:hAnsi="Arial" w:eastAsia="Arial" w:cs="Arial"/>
      <w:b/>
      <w:bCs/>
      <w:i/>
      <w:iCs/>
      <w:sz w:val="22"/>
      <w:szCs w:val="22"/>
    </w:rPr>
  </w:style>
  <w:style w:type="paragraph" w:styleId="736">
    <w:name w:val="Heading 8"/>
    <w:basedOn w:val="900"/>
    <w:next w:val="900"/>
    <w:link w:val="737"/>
    <w:uiPriority w:val="9"/>
    <w:unhideWhenUsed/>
    <w:qFormat/>
    <w:pPr>
      <w:keepLines/>
      <w:keepNext/>
      <w:spacing w:before="320" w:after="200"/>
      <w:outlineLvl w:val="7"/>
    </w:pPr>
    <w:rPr>
      <w:rFonts w:ascii="Arial" w:hAnsi="Arial" w:eastAsia="Arial" w:cs="Arial"/>
      <w:i/>
      <w:iCs/>
      <w:sz w:val="22"/>
      <w:szCs w:val="22"/>
    </w:rPr>
  </w:style>
  <w:style w:type="character" w:styleId="737">
    <w:name w:val="Heading 8 Char"/>
    <w:link w:val="736"/>
    <w:uiPriority w:val="9"/>
    <w:rPr>
      <w:rFonts w:ascii="Arial" w:hAnsi="Arial" w:eastAsia="Arial" w:cs="Arial"/>
      <w:i/>
      <w:iCs/>
      <w:sz w:val="22"/>
      <w:szCs w:val="22"/>
    </w:rPr>
  </w:style>
  <w:style w:type="paragraph" w:styleId="738">
    <w:name w:val="Heading 9"/>
    <w:basedOn w:val="900"/>
    <w:next w:val="900"/>
    <w:link w:val="739"/>
    <w:uiPriority w:val="9"/>
    <w:unhideWhenUsed/>
    <w:qFormat/>
    <w:pPr>
      <w:keepLines/>
      <w:keepNext/>
      <w:spacing w:before="320" w:after="200"/>
      <w:outlineLvl w:val="8"/>
    </w:pPr>
    <w:rPr>
      <w:rFonts w:ascii="Arial" w:hAnsi="Arial" w:eastAsia="Arial" w:cs="Arial"/>
      <w:i/>
      <w:iCs/>
      <w:sz w:val="21"/>
      <w:szCs w:val="21"/>
    </w:rPr>
  </w:style>
  <w:style w:type="character" w:styleId="739">
    <w:name w:val="Heading 9 Char"/>
    <w:link w:val="738"/>
    <w:uiPriority w:val="9"/>
    <w:rPr>
      <w:rFonts w:ascii="Arial" w:hAnsi="Arial" w:eastAsia="Arial" w:cs="Arial"/>
      <w:i/>
      <w:iCs/>
      <w:sz w:val="21"/>
      <w:szCs w:val="21"/>
    </w:rPr>
  </w:style>
  <w:style w:type="paragraph" w:styleId="740">
    <w:name w:val="List Paragraph"/>
    <w:basedOn w:val="900"/>
    <w:uiPriority w:val="34"/>
    <w:qFormat/>
    <w:pPr>
      <w:contextualSpacing/>
      <w:ind w:left="720"/>
    </w:pPr>
  </w:style>
  <w:style w:type="paragraph" w:styleId="741">
    <w:name w:val="No Spacing"/>
    <w:uiPriority w:val="1"/>
    <w:qFormat/>
    <w:pPr>
      <w:spacing w:before="0" w:after="0" w:line="240" w:lineRule="auto"/>
    </w:pPr>
  </w:style>
  <w:style w:type="paragraph" w:styleId="742">
    <w:name w:val="Title"/>
    <w:basedOn w:val="900"/>
    <w:next w:val="900"/>
    <w:link w:val="743"/>
    <w:uiPriority w:val="10"/>
    <w:qFormat/>
    <w:pPr>
      <w:contextualSpacing/>
      <w:spacing w:before="300" w:after="200"/>
    </w:pPr>
    <w:rPr>
      <w:sz w:val="48"/>
      <w:szCs w:val="48"/>
    </w:rPr>
  </w:style>
  <w:style w:type="character" w:styleId="743">
    <w:name w:val="Title Char"/>
    <w:link w:val="742"/>
    <w:uiPriority w:val="10"/>
    <w:rPr>
      <w:sz w:val="48"/>
      <w:szCs w:val="48"/>
    </w:rPr>
  </w:style>
  <w:style w:type="paragraph" w:styleId="744">
    <w:name w:val="Subtitle"/>
    <w:basedOn w:val="900"/>
    <w:next w:val="900"/>
    <w:link w:val="745"/>
    <w:uiPriority w:val="11"/>
    <w:qFormat/>
    <w:pPr>
      <w:spacing w:before="200" w:after="200"/>
    </w:pPr>
    <w:rPr>
      <w:sz w:val="24"/>
      <w:szCs w:val="24"/>
    </w:rPr>
  </w:style>
  <w:style w:type="character" w:styleId="745">
    <w:name w:val="Subtitle Char"/>
    <w:link w:val="744"/>
    <w:uiPriority w:val="11"/>
    <w:rPr>
      <w:sz w:val="24"/>
      <w:szCs w:val="24"/>
    </w:rPr>
  </w:style>
  <w:style w:type="paragraph" w:styleId="746">
    <w:name w:val="Quote"/>
    <w:basedOn w:val="900"/>
    <w:next w:val="900"/>
    <w:link w:val="747"/>
    <w:uiPriority w:val="29"/>
    <w:qFormat/>
    <w:pPr>
      <w:ind w:left="720" w:right="720"/>
    </w:pPr>
    <w:rPr>
      <w:i/>
    </w:rPr>
  </w:style>
  <w:style w:type="character" w:styleId="747">
    <w:name w:val="Quote Char"/>
    <w:link w:val="746"/>
    <w:uiPriority w:val="29"/>
    <w:rPr>
      <w:i/>
    </w:rPr>
  </w:style>
  <w:style w:type="paragraph" w:styleId="748">
    <w:name w:val="Intense Quote"/>
    <w:basedOn w:val="900"/>
    <w:next w:val="900"/>
    <w:link w:val="74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49">
    <w:name w:val="Intense Quote Char"/>
    <w:link w:val="748"/>
    <w:uiPriority w:val="30"/>
    <w:rPr>
      <w:i/>
    </w:rPr>
  </w:style>
  <w:style w:type="paragraph" w:styleId="750">
    <w:name w:val="Header"/>
    <w:basedOn w:val="900"/>
    <w:link w:val="751"/>
    <w:uiPriority w:val="99"/>
    <w:unhideWhenUsed/>
    <w:pPr>
      <w:spacing w:after="0" w:line="240" w:lineRule="auto"/>
      <w:tabs>
        <w:tab w:val="center" w:pos="7143" w:leader="none"/>
        <w:tab w:val="right" w:pos="14287" w:leader="none"/>
      </w:tabs>
    </w:pPr>
  </w:style>
  <w:style w:type="character" w:styleId="751">
    <w:name w:val="Header Char"/>
    <w:link w:val="750"/>
    <w:uiPriority w:val="99"/>
  </w:style>
  <w:style w:type="paragraph" w:styleId="752">
    <w:name w:val="Footer"/>
    <w:basedOn w:val="900"/>
    <w:link w:val="755"/>
    <w:uiPriority w:val="99"/>
    <w:unhideWhenUsed/>
    <w:pPr>
      <w:spacing w:after="0" w:line="240" w:lineRule="auto"/>
      <w:tabs>
        <w:tab w:val="center" w:pos="7143" w:leader="none"/>
        <w:tab w:val="right" w:pos="14287" w:leader="none"/>
      </w:tabs>
    </w:pPr>
  </w:style>
  <w:style w:type="character" w:styleId="753">
    <w:name w:val="Footer Char"/>
    <w:link w:val="752"/>
    <w:uiPriority w:val="99"/>
  </w:style>
  <w:style w:type="paragraph" w:styleId="754">
    <w:name w:val="Caption"/>
    <w:basedOn w:val="900"/>
    <w:next w:val="900"/>
    <w:uiPriority w:val="35"/>
    <w:semiHidden/>
    <w:unhideWhenUsed/>
    <w:qFormat/>
    <w:pPr>
      <w:spacing w:line="276" w:lineRule="auto"/>
    </w:pPr>
    <w:rPr>
      <w:b/>
      <w:bCs/>
      <w:color w:val="4f81bd" w:themeColor="accent1"/>
      <w:sz w:val="18"/>
      <w:szCs w:val="18"/>
    </w:rPr>
  </w:style>
  <w:style w:type="character" w:styleId="755">
    <w:name w:val="Caption Char"/>
    <w:basedOn w:val="754"/>
    <w:link w:val="752"/>
    <w:uiPriority w:val="99"/>
  </w:style>
  <w:style w:type="table" w:styleId="75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5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5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6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6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7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7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7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7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8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9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9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9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9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9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9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9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0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0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0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0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1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1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2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3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3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3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3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4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4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5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5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5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5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5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5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6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6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7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7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2">
    <w:name w:val="Hyperlink"/>
    <w:uiPriority w:val="99"/>
    <w:unhideWhenUsed/>
    <w:rPr>
      <w:color w:val="0000ff" w:themeColor="hyperlink"/>
      <w:u w:val="single"/>
    </w:rPr>
  </w:style>
  <w:style w:type="paragraph" w:styleId="883">
    <w:name w:val="footnote text"/>
    <w:basedOn w:val="900"/>
    <w:link w:val="884"/>
    <w:uiPriority w:val="99"/>
    <w:semiHidden/>
    <w:unhideWhenUsed/>
    <w:pPr>
      <w:spacing w:after="40" w:line="240" w:lineRule="auto"/>
    </w:pPr>
    <w:rPr>
      <w:sz w:val="18"/>
    </w:rPr>
  </w:style>
  <w:style w:type="character" w:styleId="884">
    <w:name w:val="Footnote Text Char"/>
    <w:link w:val="883"/>
    <w:uiPriority w:val="99"/>
    <w:rPr>
      <w:sz w:val="18"/>
    </w:rPr>
  </w:style>
  <w:style w:type="character" w:styleId="885">
    <w:name w:val="footnote reference"/>
    <w:uiPriority w:val="99"/>
    <w:unhideWhenUsed/>
    <w:rPr>
      <w:vertAlign w:val="superscript"/>
    </w:rPr>
  </w:style>
  <w:style w:type="paragraph" w:styleId="886">
    <w:name w:val="endnote text"/>
    <w:basedOn w:val="900"/>
    <w:link w:val="887"/>
    <w:uiPriority w:val="99"/>
    <w:semiHidden/>
    <w:unhideWhenUsed/>
    <w:pPr>
      <w:spacing w:after="0" w:line="240" w:lineRule="auto"/>
    </w:pPr>
    <w:rPr>
      <w:sz w:val="20"/>
    </w:rPr>
  </w:style>
  <w:style w:type="character" w:styleId="887">
    <w:name w:val="Endnote Text Char"/>
    <w:link w:val="886"/>
    <w:uiPriority w:val="99"/>
    <w:rPr>
      <w:sz w:val="20"/>
    </w:rPr>
  </w:style>
  <w:style w:type="character" w:styleId="888">
    <w:name w:val="endnote reference"/>
    <w:uiPriority w:val="99"/>
    <w:semiHidden/>
    <w:unhideWhenUsed/>
    <w:rPr>
      <w:vertAlign w:val="superscript"/>
    </w:rPr>
  </w:style>
  <w:style w:type="paragraph" w:styleId="889">
    <w:name w:val="toc 1"/>
    <w:basedOn w:val="900"/>
    <w:next w:val="900"/>
    <w:uiPriority w:val="39"/>
    <w:unhideWhenUsed/>
    <w:pPr>
      <w:ind w:left="0" w:right="0" w:firstLine="0"/>
      <w:spacing w:after="57"/>
    </w:pPr>
  </w:style>
  <w:style w:type="paragraph" w:styleId="890">
    <w:name w:val="toc 2"/>
    <w:basedOn w:val="900"/>
    <w:next w:val="900"/>
    <w:uiPriority w:val="39"/>
    <w:unhideWhenUsed/>
    <w:pPr>
      <w:ind w:left="283" w:right="0" w:firstLine="0"/>
      <w:spacing w:after="57"/>
    </w:pPr>
  </w:style>
  <w:style w:type="paragraph" w:styleId="891">
    <w:name w:val="toc 3"/>
    <w:basedOn w:val="900"/>
    <w:next w:val="900"/>
    <w:uiPriority w:val="39"/>
    <w:unhideWhenUsed/>
    <w:pPr>
      <w:ind w:left="567" w:right="0" w:firstLine="0"/>
      <w:spacing w:after="57"/>
    </w:pPr>
  </w:style>
  <w:style w:type="paragraph" w:styleId="892">
    <w:name w:val="toc 4"/>
    <w:basedOn w:val="900"/>
    <w:next w:val="900"/>
    <w:uiPriority w:val="39"/>
    <w:unhideWhenUsed/>
    <w:pPr>
      <w:ind w:left="850" w:right="0" w:firstLine="0"/>
      <w:spacing w:after="57"/>
    </w:pPr>
  </w:style>
  <w:style w:type="paragraph" w:styleId="893">
    <w:name w:val="toc 5"/>
    <w:basedOn w:val="900"/>
    <w:next w:val="900"/>
    <w:uiPriority w:val="39"/>
    <w:unhideWhenUsed/>
    <w:pPr>
      <w:ind w:left="1134" w:right="0" w:firstLine="0"/>
      <w:spacing w:after="57"/>
    </w:pPr>
  </w:style>
  <w:style w:type="paragraph" w:styleId="894">
    <w:name w:val="toc 6"/>
    <w:basedOn w:val="900"/>
    <w:next w:val="900"/>
    <w:uiPriority w:val="39"/>
    <w:unhideWhenUsed/>
    <w:pPr>
      <w:ind w:left="1417" w:right="0" w:firstLine="0"/>
      <w:spacing w:after="57"/>
    </w:pPr>
  </w:style>
  <w:style w:type="paragraph" w:styleId="895">
    <w:name w:val="toc 7"/>
    <w:basedOn w:val="900"/>
    <w:next w:val="900"/>
    <w:uiPriority w:val="39"/>
    <w:unhideWhenUsed/>
    <w:pPr>
      <w:ind w:left="1701" w:right="0" w:firstLine="0"/>
      <w:spacing w:after="57"/>
    </w:pPr>
  </w:style>
  <w:style w:type="paragraph" w:styleId="896">
    <w:name w:val="toc 8"/>
    <w:basedOn w:val="900"/>
    <w:next w:val="900"/>
    <w:uiPriority w:val="39"/>
    <w:unhideWhenUsed/>
    <w:pPr>
      <w:ind w:left="1984" w:right="0" w:firstLine="0"/>
      <w:spacing w:after="57"/>
    </w:pPr>
  </w:style>
  <w:style w:type="paragraph" w:styleId="897">
    <w:name w:val="toc 9"/>
    <w:basedOn w:val="900"/>
    <w:next w:val="900"/>
    <w:uiPriority w:val="39"/>
    <w:unhideWhenUsed/>
    <w:pPr>
      <w:ind w:left="2268" w:right="0" w:firstLine="0"/>
      <w:spacing w:after="57"/>
    </w:pPr>
  </w:style>
  <w:style w:type="paragraph" w:styleId="898">
    <w:name w:val="TOC Heading"/>
    <w:uiPriority w:val="39"/>
    <w:unhideWhenUsed/>
  </w:style>
  <w:style w:type="paragraph" w:styleId="899">
    <w:name w:val="table of figures"/>
    <w:basedOn w:val="900"/>
    <w:next w:val="900"/>
    <w:uiPriority w:val="99"/>
    <w:unhideWhenUsed/>
    <w:pPr>
      <w:spacing w:after="0" w:afterAutospacing="0"/>
    </w:pPr>
  </w:style>
  <w:style w:type="paragraph" w:styleId="900" w:default="1">
    <w:name w:val="Normal"/>
    <w:next w:val="900"/>
    <w:link w:val="900"/>
    <w:qFormat/>
    <w:pPr>
      <w:spacing w:after="200" w:line="276" w:lineRule="auto"/>
    </w:pPr>
    <w:rPr>
      <w:rFonts w:eastAsia="Times New Roman"/>
      <w:sz w:val="22"/>
      <w:szCs w:val="22"/>
      <w:lang w:val="ru-RU" w:eastAsia="ru-RU" w:bidi="ar-SA"/>
    </w:rPr>
  </w:style>
  <w:style w:type="character" w:styleId="901">
    <w:name w:val="Основной шрифт абзаца"/>
    <w:next w:val="901"/>
    <w:link w:val="900"/>
    <w:uiPriority w:val="1"/>
    <w:unhideWhenUsed/>
  </w:style>
  <w:style w:type="table" w:styleId="902">
    <w:name w:val="Обычная таблица"/>
    <w:next w:val="902"/>
    <w:link w:val="900"/>
    <w:uiPriority w:val="99"/>
    <w:semiHidden/>
    <w:unhideWhenUsed/>
    <w:tblPr/>
  </w:style>
  <w:style w:type="numbering" w:styleId="903">
    <w:name w:val="Нет списка"/>
    <w:next w:val="903"/>
    <w:link w:val="900"/>
    <w:uiPriority w:val="99"/>
    <w:semiHidden/>
    <w:unhideWhenUsed/>
  </w:style>
  <w:style w:type="paragraph" w:styleId="904">
    <w:name w:val="Абзац списка"/>
    <w:basedOn w:val="900"/>
    <w:next w:val="904"/>
    <w:link w:val="925"/>
    <w:uiPriority w:val="99"/>
    <w:qFormat/>
    <w:pPr>
      <w:contextualSpacing/>
      <w:ind w:left="720"/>
    </w:pPr>
  </w:style>
  <w:style w:type="paragraph" w:styleId="905">
    <w:name w:val="Текст выноски"/>
    <w:basedOn w:val="900"/>
    <w:next w:val="905"/>
    <w:link w:val="906"/>
    <w:uiPriority w:val="99"/>
    <w:semiHidden/>
    <w:unhideWhenUsed/>
    <w:pPr>
      <w:spacing w:after="0" w:line="240" w:lineRule="auto"/>
    </w:pPr>
    <w:rPr>
      <w:rFonts w:ascii="Tahoma" w:hAnsi="Tahoma"/>
      <w:sz w:val="16"/>
      <w:szCs w:val="16"/>
      <w:lang w:val="en-US"/>
    </w:rPr>
  </w:style>
  <w:style w:type="character" w:styleId="906">
    <w:name w:val="Текст выноски Знак"/>
    <w:next w:val="906"/>
    <w:link w:val="905"/>
    <w:uiPriority w:val="99"/>
    <w:semiHidden/>
    <w:rPr>
      <w:rFonts w:ascii="Tahoma" w:hAnsi="Tahoma" w:eastAsia="Times New Roman" w:cs="Tahoma"/>
      <w:sz w:val="16"/>
      <w:szCs w:val="16"/>
      <w:lang w:eastAsia="ru-RU"/>
    </w:rPr>
  </w:style>
  <w:style w:type="paragraph" w:styleId="907">
    <w:name w:val="Текст сноски,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Текст сноски Знак1, Знак11,З,fn"/>
    <w:basedOn w:val="900"/>
    <w:next w:val="907"/>
    <w:link w:val="908"/>
    <w:uiPriority w:val="99"/>
    <w:unhideWhenUsed/>
    <w:qFormat/>
    <w:rPr>
      <w:sz w:val="20"/>
      <w:szCs w:val="20"/>
    </w:rPr>
  </w:style>
  <w:style w:type="character" w:styleId="908">
    <w:name w:val="Текст сноски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Текст сноски Знак Знак1 Знак Знак Знак,Зн Знак"/>
    <w:next w:val="908"/>
    <w:link w:val="907"/>
    <w:uiPriority w:val="99"/>
    <w:rPr>
      <w:rFonts w:eastAsia="Times New Roman"/>
    </w:rPr>
  </w:style>
  <w:style w:type="character" w:styleId="909">
    <w:name w:val="Знак сноски"/>
    <w:next w:val="909"/>
    <w:link w:val="900"/>
    <w:uiPriority w:val="99"/>
    <w:unhideWhenUsed/>
    <w:rPr>
      <w:vertAlign w:val="superscript"/>
    </w:rPr>
  </w:style>
  <w:style w:type="table" w:styleId="910">
    <w:name w:val="Сетка таблицы"/>
    <w:basedOn w:val="902"/>
    <w:next w:val="910"/>
    <w:link w:val="900"/>
    <w:uiPriority w:val="59"/>
    <w:tblPr/>
  </w:style>
  <w:style w:type="character" w:styleId="911">
    <w:name w:val="Знак примечания"/>
    <w:next w:val="911"/>
    <w:link w:val="900"/>
    <w:uiPriority w:val="99"/>
    <w:semiHidden/>
    <w:unhideWhenUsed/>
    <w:rPr>
      <w:sz w:val="16"/>
      <w:szCs w:val="16"/>
    </w:rPr>
  </w:style>
  <w:style w:type="paragraph" w:styleId="912">
    <w:name w:val="Текст примечания"/>
    <w:basedOn w:val="900"/>
    <w:next w:val="912"/>
    <w:link w:val="913"/>
    <w:uiPriority w:val="99"/>
    <w:semiHidden/>
    <w:unhideWhenUsed/>
    <w:rPr>
      <w:sz w:val="20"/>
      <w:szCs w:val="20"/>
    </w:rPr>
  </w:style>
  <w:style w:type="character" w:styleId="913">
    <w:name w:val="Текст примечания Знак"/>
    <w:next w:val="913"/>
    <w:link w:val="912"/>
    <w:uiPriority w:val="99"/>
    <w:semiHidden/>
    <w:rPr>
      <w:rFonts w:eastAsia="Times New Roman"/>
    </w:rPr>
  </w:style>
  <w:style w:type="paragraph" w:styleId="914">
    <w:name w:val="Тема примечания"/>
    <w:basedOn w:val="912"/>
    <w:next w:val="912"/>
    <w:link w:val="915"/>
    <w:uiPriority w:val="99"/>
    <w:semiHidden/>
    <w:unhideWhenUsed/>
    <w:rPr>
      <w:b/>
      <w:bCs/>
    </w:rPr>
  </w:style>
  <w:style w:type="character" w:styleId="915">
    <w:name w:val="Тема примечания Знак"/>
    <w:next w:val="915"/>
    <w:link w:val="914"/>
    <w:uiPriority w:val="99"/>
    <w:semiHidden/>
    <w:rPr>
      <w:rFonts w:eastAsia="Times New Roman"/>
      <w:b/>
      <w:bCs/>
    </w:rPr>
  </w:style>
  <w:style w:type="paragraph" w:styleId="916">
    <w:name w:val="Верхний колонтитул"/>
    <w:basedOn w:val="900"/>
    <w:next w:val="916"/>
    <w:link w:val="917"/>
    <w:uiPriority w:val="99"/>
    <w:unhideWhenUsed/>
    <w:pPr>
      <w:tabs>
        <w:tab w:val="center" w:pos="4677" w:leader="none"/>
        <w:tab w:val="right" w:pos="9355" w:leader="none"/>
      </w:tabs>
    </w:pPr>
  </w:style>
  <w:style w:type="character" w:styleId="917">
    <w:name w:val="Верхний колонтитул Знак"/>
    <w:next w:val="917"/>
    <w:link w:val="916"/>
    <w:uiPriority w:val="99"/>
    <w:rPr>
      <w:rFonts w:eastAsia="Times New Roman"/>
      <w:sz w:val="22"/>
      <w:szCs w:val="22"/>
    </w:rPr>
  </w:style>
  <w:style w:type="paragraph" w:styleId="918">
    <w:name w:val="Нижний колонтитул"/>
    <w:basedOn w:val="900"/>
    <w:next w:val="918"/>
    <w:link w:val="919"/>
    <w:uiPriority w:val="99"/>
    <w:unhideWhenUsed/>
    <w:pPr>
      <w:tabs>
        <w:tab w:val="center" w:pos="4677" w:leader="none"/>
        <w:tab w:val="right" w:pos="9355" w:leader="none"/>
      </w:tabs>
    </w:pPr>
  </w:style>
  <w:style w:type="character" w:styleId="919">
    <w:name w:val="Нижний колонтитул Знак"/>
    <w:next w:val="919"/>
    <w:link w:val="918"/>
    <w:uiPriority w:val="99"/>
    <w:rPr>
      <w:rFonts w:eastAsia="Times New Roman"/>
      <w:sz w:val="22"/>
      <w:szCs w:val="22"/>
    </w:rPr>
  </w:style>
  <w:style w:type="paragraph" w:styleId="920">
    <w:name w:val="Основной текст с отступом"/>
    <w:basedOn w:val="900"/>
    <w:next w:val="920"/>
    <w:link w:val="921"/>
    <w:uiPriority w:val="99"/>
    <w:pPr>
      <w:jc w:val="both"/>
      <w:spacing w:after="0" w:line="240" w:lineRule="auto"/>
    </w:pPr>
    <w:rPr>
      <w:rFonts w:ascii="Times New Roman" w:hAnsi="Times New Roman"/>
      <w:sz w:val="24"/>
      <w:szCs w:val="20"/>
      <w:lang w:val="en-US"/>
    </w:rPr>
  </w:style>
  <w:style w:type="character" w:styleId="921">
    <w:name w:val="Основной текст с отступом Знак"/>
    <w:next w:val="921"/>
    <w:link w:val="920"/>
    <w:uiPriority w:val="99"/>
    <w:rPr>
      <w:rFonts w:ascii="Times New Roman" w:hAnsi="Times New Roman" w:eastAsia="Times New Roman"/>
      <w:sz w:val="24"/>
      <w:lang w:val="en-US"/>
    </w:rPr>
  </w:style>
  <w:style w:type="paragraph" w:styleId="922">
    <w:name w:val="Основной текст 2"/>
    <w:basedOn w:val="900"/>
    <w:next w:val="922"/>
    <w:link w:val="923"/>
    <w:uiPriority w:val="99"/>
    <w:semiHidden/>
    <w:unhideWhenUsed/>
    <w:pPr>
      <w:spacing w:after="120" w:line="480" w:lineRule="auto"/>
    </w:pPr>
  </w:style>
  <w:style w:type="character" w:styleId="923">
    <w:name w:val="Основной текст 2 Знак"/>
    <w:next w:val="923"/>
    <w:link w:val="922"/>
    <w:uiPriority w:val="99"/>
    <w:semiHidden/>
    <w:rPr>
      <w:rFonts w:eastAsia="Times New Roman"/>
      <w:sz w:val="22"/>
      <w:szCs w:val="22"/>
    </w:rPr>
  </w:style>
  <w:style w:type="character" w:styleId="924">
    <w:name w:val="Гиперссылка"/>
    <w:next w:val="924"/>
    <w:link w:val="900"/>
    <w:uiPriority w:val="99"/>
    <w:unhideWhenUsed/>
    <w:rPr>
      <w:color w:val="0563c1"/>
      <w:u w:val="single"/>
    </w:rPr>
  </w:style>
  <w:style w:type="character" w:styleId="925">
    <w:name w:val="Абзац списка Знак"/>
    <w:next w:val="925"/>
    <w:link w:val="904"/>
    <w:uiPriority w:val="99"/>
    <w:rPr>
      <w:rFonts w:eastAsia="Times New Roman"/>
      <w:sz w:val="22"/>
      <w:szCs w:val="22"/>
    </w:rPr>
  </w:style>
  <w:style w:type="character" w:styleId="926" w:default="1">
    <w:name w:val="Default Paragraph Font"/>
    <w:uiPriority w:val="1"/>
    <w:semiHidden/>
    <w:unhideWhenUsed/>
  </w:style>
  <w:style w:type="numbering" w:styleId="927" w:default="1">
    <w:name w:val="No List"/>
    <w:uiPriority w:val="99"/>
    <w:semiHidden/>
    <w:unhideWhenUsed/>
  </w:style>
  <w:style w:type="table" w:styleId="92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OJSC AgriCulturalBank</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Литинская Наталья Александровна</dc:creator>
  <cp:revision>6</cp:revision>
  <dcterms:created xsi:type="dcterms:W3CDTF">2024-09-25T13:48:00Z</dcterms:created>
  <dcterms:modified xsi:type="dcterms:W3CDTF">2025-04-02T11:10:58Z</dcterms:modified>
  <cp:version>1048576</cp:version>
</cp:coreProperties>
</file>