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16"/>
        <w:ind w:left="4536"/>
        <w:spacing w:after="0" w:line="240" w:lineRule="auto"/>
        <w:rPr>
          <w:bCs/>
          <w:sz w:val="18"/>
          <w:szCs w:val="18"/>
          <w:highlight w:val="none"/>
          <w:lang w:val="ru-RU"/>
        </w:rPr>
      </w:pPr>
      <w:r>
        <w:rPr>
          <w:bCs/>
          <w:sz w:val="20"/>
          <w:szCs w:val="20"/>
        </w:rPr>
      </w:r>
      <w:r>
        <w:rPr>
          <w:sz w:val="18"/>
          <w:szCs w:val="18"/>
        </w:rPr>
        <w:t xml:space="preserve">Приложение </w:t>
      </w:r>
      <w:r>
        <w:rPr>
          <w:sz w:val="18"/>
          <w:szCs w:val="18"/>
          <w:lang w:val="ru-RU"/>
        </w:rPr>
        <w:t xml:space="preserve">1</w:t>
      </w:r>
      <w:r>
        <w:rPr>
          <w:sz w:val="18"/>
          <w:szCs w:val="18"/>
          <w:lang w:val="ru-RU"/>
        </w:rPr>
        <w:t xml:space="preserve">7</w:t>
      </w:r>
      <w:r>
        <w:rPr>
          <w:sz w:val="18"/>
          <w:szCs w:val="18"/>
          <w:highlight w:val="none"/>
          <w:lang w:val="ru-RU"/>
        </w:rPr>
      </w:r>
      <w:r>
        <w:rPr>
          <w:bCs/>
          <w:sz w:val="20"/>
          <w:szCs w:val="20"/>
        </w:rPr>
      </w:r>
    </w:p>
    <w:p>
      <w:pPr>
        <w:pStyle w:val="1016"/>
        <w:ind w:left="4536"/>
        <w:spacing w:after="0" w:line="240" w:lineRule="auto"/>
        <w:rPr>
          <w:sz w:val="18"/>
          <w:szCs w:val="18"/>
        </w:rPr>
      </w:pPr>
      <w:r>
        <w:rPr>
          <w:sz w:val="18"/>
          <w:szCs w:val="18"/>
        </w:rPr>
        <w:t xml:space="preserve">к Условиям дистанционного банковского обслуживания юридических лиц и индивидуальных предпринимателей </w:t>
      </w:r>
      <w:r>
        <w:rPr>
          <w:sz w:val="18"/>
          <w:szCs w:val="18"/>
        </w:rPr>
      </w:r>
      <w:r>
        <w:rPr>
          <w:sz w:val="18"/>
          <w:szCs w:val="18"/>
        </w:rPr>
      </w:r>
    </w:p>
    <w:p>
      <w:pPr>
        <w:pStyle w:val="1016"/>
        <w:ind w:left="4536"/>
        <w:spacing w:after="0" w:line="240" w:lineRule="auto"/>
        <w:rPr>
          <w:sz w:val="18"/>
          <w:szCs w:val="18"/>
        </w:rPr>
      </w:pPr>
      <w:r>
        <w:rPr>
          <w:sz w:val="18"/>
          <w:szCs w:val="18"/>
        </w:rPr>
        <w:t xml:space="preserve">в АО «Россельхозбанк» с использованием </w:t>
      </w:r>
      <w:r>
        <w:rPr>
          <w:sz w:val="18"/>
          <w:szCs w:val="18"/>
          <w:lang w:val="ru-RU"/>
        </w:rPr>
        <w:t xml:space="preserve">цифрового канала обслуживания юридических лиц «Свой бизнес»</w:t>
      </w:r>
      <w:r>
        <w:rPr>
          <w:sz w:val="18"/>
          <w:szCs w:val="18"/>
        </w:rPr>
        <w:t xml:space="preserve"> в рамках </w:t>
      </w:r>
      <w:r>
        <w:rPr>
          <w:sz w:val="18"/>
          <w:szCs w:val="18"/>
        </w:rPr>
      </w:r>
      <w:r>
        <w:rPr>
          <w:sz w:val="18"/>
          <w:szCs w:val="18"/>
        </w:rPr>
      </w:r>
    </w:p>
    <w:p>
      <w:pPr>
        <w:pStyle w:val="1016"/>
        <w:ind w:left="4536"/>
        <w:spacing w:after="0" w:line="240" w:lineRule="auto"/>
        <w:rPr>
          <w:sz w:val="18"/>
          <w:szCs w:val="18"/>
        </w:rPr>
      </w:pPr>
      <w:r>
        <w:rPr>
          <w:sz w:val="18"/>
          <w:szCs w:val="18"/>
        </w:rPr>
        <w:t xml:space="preserve">Единого сервисного договора</w:t>
      </w:r>
      <w:r>
        <w:rPr>
          <w:sz w:val="18"/>
          <w:szCs w:val="18"/>
        </w:rPr>
      </w:r>
      <w:r>
        <w:rPr>
          <w:sz w:val="18"/>
          <w:szCs w:val="18"/>
        </w:rPr>
      </w:r>
    </w:p>
    <w:p>
      <w:pPr>
        <w:pStyle w:val="1016"/>
        <w:ind w:left="4536"/>
        <w:spacing w:after="0" w:line="240" w:lineRule="auto"/>
        <w:rPr>
          <w:b/>
          <w:bCs/>
          <w:i/>
          <w:sz w:val="18"/>
          <w:szCs w:val="18"/>
        </w:rPr>
      </w:pPr>
      <w:r>
        <w:rPr>
          <w:i/>
          <w:sz w:val="18"/>
          <w:szCs w:val="18"/>
          <w:lang w:val="ru-RU"/>
        </w:rPr>
      </w:r>
      <w:r>
        <w:rPr>
          <w:b/>
          <w:bCs/>
          <w:i/>
          <w:sz w:val="18"/>
          <w:szCs w:val="18"/>
        </w:rPr>
      </w:r>
      <w:r>
        <w:rPr>
          <w:b/>
          <w:bCs/>
          <w:i/>
          <w:sz w:val="18"/>
          <w:szCs w:val="18"/>
        </w:rPr>
      </w:r>
    </w:p>
    <w:p>
      <w:pPr>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  </w:t>
      </w:r>
      <w:r>
        <w:rPr>
          <w:b/>
          <w:bCs/>
          <w:sz w:val="20"/>
          <w:szCs w:val="20"/>
        </w:rPr>
        <w:t xml:space="preserve">О ПОДКЛЮЧЕНИИ/ОТКЛЮЧЕНИИ </w:t>
      </w:r>
      <w:r>
        <w:rPr>
          <w:b/>
          <w:bCs/>
          <w:sz w:val="20"/>
          <w:szCs w:val="20"/>
        </w:rPr>
        <w:t xml:space="preserve">КОНТРОЛЯ ЗА ПЛАТЕЖАМИ </w:t>
      </w:r>
      <w:r>
        <w:rPr>
          <w:b/>
          <w:bCs/>
          <w:sz w:val="20"/>
          <w:szCs w:val="20"/>
        </w:rPr>
      </w:r>
      <w:r>
        <w:rPr>
          <w:b/>
          <w:bCs/>
          <w:sz w:val="20"/>
          <w:szCs w:val="20"/>
        </w:rPr>
      </w:r>
    </w:p>
    <w:p>
      <w:pPr>
        <w:jc w:val="center"/>
        <w:widowControl w:val="off"/>
        <w:rPr>
          <w:b/>
          <w:bCs/>
          <w:sz w:val="20"/>
          <w:szCs w:val="20"/>
        </w:rPr>
      </w:pPr>
      <w:r>
        <w:rPr>
          <w:b/>
          <w:bCs/>
          <w:sz w:val="20"/>
          <w:szCs w:val="20"/>
        </w:rPr>
        <w:t xml:space="preserve">КОНТРОЛИРУЕМОЙ ОРГАНИЗАЦИИ</w:t>
      </w:r>
      <w:r>
        <w:rPr>
          <w:b/>
          <w:bCs/>
          <w:sz w:val="20"/>
          <w:szCs w:val="20"/>
        </w:rPr>
      </w:r>
      <w:r>
        <w:rPr>
          <w:b/>
          <w:bCs/>
          <w:sz w:val="20"/>
          <w:szCs w:val="20"/>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6"/>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26"/>
              <w:ind w:left="709"/>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990"/>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w:t>
            </w:r>
            <w:r>
              <w:rPr>
                <w:b/>
                <w:sz w:val="18"/>
                <w:szCs w:val="18"/>
              </w:rPr>
              <w:t xml:space="preserve">и</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990"/>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990"/>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9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90"/>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90"/>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shd w:val="clear" w:color="ffffff" w:fill="ffffff"/>
        <w:tblLayout w:type="fixed"/>
        <w:tblCellMar>
          <w:left w:w="108" w:type="dxa"/>
          <w:top w:w="0" w:type="dxa"/>
          <w:right w:w="108" w:type="dxa"/>
          <w:bottom w:w="0" w:type="dxa"/>
        </w:tblCellMar>
        <w:tblLook w:val="04A0" w:firstRow="1" w:lastRow="0" w:firstColumn="1" w:lastColumn="0" w:noHBand="0" w:noVBand="1"/>
      </w:tblPr>
      <w:tblGrid>
        <w:gridCol w:w="675"/>
        <w:gridCol w:w="17"/>
        <w:gridCol w:w="1611"/>
        <w:gridCol w:w="1791"/>
        <w:gridCol w:w="1984"/>
        <w:gridCol w:w="38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Borders>
              <w:bottom w:val="single" w:color="000000" w:sz="4" w:space="0"/>
            </w:tcBorders>
            <w:tcW w:w="9889" w:type="dxa"/>
            <w:vAlign w:val="top"/>
            <w:textDirection w:val="lrTb"/>
            <w:noWrap w:val="false"/>
          </w:tcPr>
          <w:p>
            <w:pPr>
              <w:pStyle w:val="1026"/>
              <w:ind w:left="29"/>
              <w:jc w:val="both"/>
              <w:spacing w:after="0"/>
              <w:rPr>
                <w:rFonts w:ascii="Times New Roman" w:hAnsi="Times New Roman" w:eastAsia="MS Gothic"/>
                <w:sz w:val="18"/>
                <w:szCs w:val="18"/>
                <w:lang w:eastAsia="ru-RU"/>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sz w:val="18"/>
                <w:szCs w:val="18"/>
              </w:rPr>
              <w:t xml:space="preserve"> </w:t>
            </w:r>
            <w:r>
              <w:rPr>
                <w:rFonts w:ascii="Times New Roman" w:hAnsi="Times New Roman"/>
                <w:b/>
                <w:i/>
                <w:sz w:val="18"/>
                <w:szCs w:val="18"/>
              </w:rPr>
              <w:t xml:space="preserve">(отметить необходимое)</w:t>
            </w:r>
            <w:r>
              <w:rPr>
                <w:rFonts w:ascii="Times New Roman" w:hAnsi="Times New Roman"/>
                <w:b/>
                <w:i/>
                <w:sz w:val="18"/>
                <w:szCs w:val="18"/>
              </w:rPr>
              <w:t xml:space="preserve">:</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rPr>
          <w:trHeight w:val="56"/>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26"/>
              <w:ind w:left="29"/>
              <w:jc w:val="both"/>
              <w:spacing w:after="0"/>
              <w:rPr>
                <w:rFonts w:ascii="Segoe UI Symbol" w:hAnsi="Segoe UI Symbol" w:cs="Segoe UI Symbol"/>
                <w:iCs/>
                <w:sz w:val="18"/>
                <w:szCs w:val="18"/>
              </w:rPr>
              <w:framePr w:hSpace="180" w:wrap="around" w:vAnchor="text" w:hAnchor="text" w:xAlign="center" w:y="1"/>
            </w:pPr>
            <w:r>
              <w:rPr>
                <w:rFonts w:ascii="Segoe UI Symbol" w:hAnsi="Segoe UI Symbol" w:cs="Segoe UI Symbol"/>
                <w:iCs/>
                <w:sz w:val="18"/>
                <w:szCs w:val="18"/>
              </w:rPr>
            </w: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Segoe UI Symbol" w:hAnsi="Segoe UI Symbol" w:cs="Segoe UI Symbol"/>
                <w:iCs/>
                <w:sz w:val="18"/>
                <w:szCs w:val="18"/>
              </w:rPr>
              <w:t xml:space="preserve"> подключить</w:t>
            </w:r>
            <w:r>
              <w:rPr>
                <w:rFonts w:ascii="Segoe UI Symbol" w:hAnsi="Segoe UI Symbol" w:cs="Segoe UI Symbol"/>
                <w:iCs/>
                <w:sz w:val="18"/>
                <w:szCs w:val="18"/>
              </w:rPr>
              <w:t xml:space="preserve"> с </w:t>
            </w:r>
            <w:r>
              <w:rPr>
                <w:rFonts w:ascii="Times New Roman" w:hAnsi="Times New Roman"/>
                <w:b/>
                <w:sz w:val="18"/>
                <w:szCs w:val="18"/>
              </w:rPr>
              <w:t xml:space="preserve">«___»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t xml:space="preserve">:</w:t>
            </w:r>
            <w:r>
              <w:rPr>
                <w:rFonts w:ascii="Segoe UI Symbol" w:hAnsi="Segoe UI Symbol" w:cs="Segoe UI Symbol"/>
                <w:iCs/>
                <w:sz w:val="18"/>
                <w:szCs w:val="18"/>
              </w:rPr>
            </w:r>
            <w:r>
              <w:rPr>
                <w:rFonts w:ascii="Segoe UI Symbol" w:hAnsi="Segoe UI Symbol" w:cs="Segoe UI Symbol"/>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Borders>
              <w:top w:val="single" w:color="000000" w:sz="4" w:space="0"/>
            </w:tcBorders>
            <w:tcW w:w="9889" w:type="dxa"/>
            <w:vAlign w:val="top"/>
            <w:textDirection w:val="lrTb"/>
            <w:noWrap w:val="false"/>
          </w:tcPr>
          <w:p>
            <w:pPr>
              <w:pStyle w:val="1026"/>
              <w:ind w:left="29"/>
              <w:jc w:val="both"/>
              <w:spacing w:after="0"/>
              <w:rPr>
                <w:rFonts w:ascii="Times New Roman" w:hAnsi="Times New Roman" w:cs="Times New Roman"/>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w:t>
            </w:r>
            <w:r>
              <w:rPr>
                <w:rFonts w:ascii="Times New Roman" w:hAnsi="Times New Roman"/>
                <w:b/>
                <w:sz w:val="18"/>
                <w:szCs w:val="18"/>
              </w:rPr>
              <w:t xml:space="preserve">.Акцепт</w:t>
            </w:r>
            <w:r>
              <w:rPr>
                <w:rFonts w:ascii="Times New Roman" w:hAnsi="Times New Roman" w:eastAsia="MS Gothic"/>
                <w:sz w:val="18"/>
                <w:szCs w:val="18"/>
                <w:lang w:eastAsia="ru-RU"/>
              </w:rPr>
              <w:t xml:space="preserve"> </w:t>
            </w:r>
            <w:r>
              <w:rPr>
                <w:rFonts w:ascii="Times New Roman" w:hAnsi="Times New Roman" w:eastAsia="Times New Roman" w:cs="Times New Roman"/>
                <w:sz w:val="18"/>
                <w:szCs w:val="18"/>
              </w:rPr>
              <w:t xml:space="preserve">для его осуществления</w:t>
            </w:r>
            <w:r>
              <w:rPr>
                <w:rStyle w:val="975"/>
                <w:rFonts w:ascii="Times New Roman" w:hAnsi="Times New Roman" w:eastAsia="Times New Roman" w:cs="Times New Roman"/>
                <w:sz w:val="18"/>
                <w:szCs w:val="18"/>
              </w:rPr>
              <w:footnoteReference w:id="2"/>
            </w:r>
            <w:r>
              <w:rPr>
                <w:rFonts w:ascii="Times New Roman" w:hAnsi="Times New Roman" w:eastAsia="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W w:w="9889" w:type="dxa"/>
            <w:vAlign w:val="top"/>
            <w:textDirection w:val="lrTb"/>
            <w:noWrap w:val="false"/>
          </w:tcPr>
          <w:p>
            <w:pPr>
              <w:rPr>
                <w:rFonts w:ascii="Times New Roman" w:hAnsi="Times New Roman" w:eastAsia="Times New Roman" w:cs="Times New Roman"/>
                <w:sz w:val="20"/>
                <w:szCs w:val="20"/>
                <w14:ligatures w14:val="none"/>
              </w:rPr>
            </w:pPr>
            <w:r>
              <w:rPr>
                <w:sz w:val="20"/>
                <w:szCs w:val="20"/>
              </w:rPr>
            </w:r>
            <w:r>
              <w:rPr>
                <w:rFonts w:ascii="Times New Roman" w:hAnsi="Times New Roman" w:eastAsia="Times New Roman" w:cs="Times New Roman"/>
                <w:sz w:val="20"/>
                <w:szCs w:val="20"/>
              </w:rPr>
              <w:t xml:space="preserve">Уполномо</w:t>
            </w:r>
            <w:r>
              <w:rPr>
                <w:rFonts w:ascii="Times New Roman" w:hAnsi="Times New Roman" w:eastAsia="Times New Roman" w:cs="Times New Roman"/>
                <w:sz w:val="20"/>
                <w:szCs w:val="20"/>
              </w:rPr>
              <w:t xml:space="preserve">ченным</w:t>
            </w:r>
            <w:r>
              <w:rPr>
                <w:rFonts w:ascii="Times New Roman" w:hAnsi="Times New Roman" w:eastAsia="Times New Roman" w:cs="Times New Roman"/>
                <w:sz w:val="20"/>
                <w:szCs w:val="20"/>
              </w:rPr>
              <w:t xml:space="preserve"> лиц</w:t>
            </w:r>
            <w:r>
              <w:rPr>
                <w:rFonts w:ascii="Times New Roman" w:hAnsi="Times New Roman" w:eastAsia="Times New Roman" w:cs="Times New Roman"/>
                <w:sz w:val="20"/>
                <w:szCs w:val="20"/>
              </w:rPr>
              <w:t xml:space="preserve">ом</w:t>
            </w:r>
            <w:r>
              <w:rPr>
                <w:rFonts w:ascii="Times New Roman" w:hAnsi="Times New Roman" w:eastAsia="Times New Roman" w:cs="Times New Roman"/>
                <w:sz w:val="20"/>
                <w:szCs w:val="20"/>
                <w14:ligatures w14:val="none"/>
              </w:rPr>
            </w:r>
            <w:r>
              <w:rPr>
                <w:rFonts w:ascii="Times New Roman" w:hAnsi="Times New Roman" w:eastAsia="Times New Roman" w:cs="Times New Roman"/>
                <w:sz w:val="20"/>
                <w:szCs w:val="20"/>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W w:w="4094" w:type="dxa"/>
            <w:vAlign w:val="top"/>
            <w:textDirection w:val="lrTb"/>
            <w:noWrap w:val="false"/>
          </w:tcPr>
          <w:p>
            <w:pPr>
              <w:pStyle w:val="1026"/>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26"/>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r>
            <w:r>
              <w:rPr>
                <w:rFonts w:ascii="Times New Roman" w:hAnsi="Times New Roman"/>
                <w:b/>
                <w:bCs/>
                <w:iCs/>
                <w:sz w:val="18"/>
                <w:szCs w:val="18"/>
              </w:rPr>
              <w:t xml:space="preserve"> с правом акцепт</w:t>
            </w:r>
            <w:r>
              <w:rPr>
                <w:rFonts w:ascii="Times New Roman" w:hAnsi="Times New Roman"/>
                <w:iCs/>
                <w:sz w:val="18"/>
                <w:szCs w:val="18"/>
              </w:rPr>
              <w:t xml:space="preserve">а (полностью)</w:t>
            </w:r>
            <w:r>
              <w:rPr>
                <w:rFonts w:ascii="Times New Roman" w:hAnsi="Times New Roman"/>
                <w:sz w:val="18"/>
                <w:szCs w:val="18"/>
              </w:rPr>
            </w:r>
            <w:r>
              <w:rPr>
                <w:rFonts w:ascii="Times New Roman" w:hAnsi="Times New Roman"/>
                <w:sz w:val="18"/>
                <w:szCs w:val="18"/>
              </w:rPr>
            </w:r>
          </w:p>
        </w:tc>
        <w:tc>
          <w:tcPr>
            <w:gridSpan w:val="2"/>
            <w:shd w:val="clear" w:color="ffffff" w:fill="ffffff"/>
            <w:tcW w:w="5795" w:type="dxa"/>
            <w:vAlign w:val="top"/>
            <w:textDirection w:val="lrTb"/>
            <w:noWrap w:val="false"/>
          </w:tcPr>
          <w:p>
            <w:pPr>
              <w:pStyle w:val="99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9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4"/>
        </w:trPr>
        <w:tc>
          <w:tcPr>
            <w:gridSpan w:val="4"/>
            <w:shd w:val="clear" w:color="ffffff" w:fill="ffffff"/>
            <w:tcW w:w="4094" w:type="dxa"/>
            <w:vAlign w:val="top"/>
            <w:vMerge w:val="restart"/>
            <w:textDirection w:val="lrTb"/>
            <w:noWrap w:val="false"/>
          </w:tcPr>
          <w:p>
            <w:pPr>
              <w:pStyle w:val="990"/>
              <w:ind w:left="180"/>
              <w:jc w:val="center"/>
              <w:rPr>
                <w:b/>
                <w:iCs/>
                <w:sz w:val="18"/>
                <w:szCs w:val="18"/>
              </w:rPr>
            </w:pPr>
            <w:r>
              <w:rPr>
                <w:b/>
                <w:iCs/>
                <w:sz w:val="18"/>
                <w:szCs w:val="18"/>
              </w:rPr>
            </w:r>
            <w:r>
              <w:rPr>
                <w:b/>
                <w:iCs/>
                <w:sz w:val="18"/>
                <w:szCs w:val="18"/>
              </w:rPr>
            </w:r>
            <w:r>
              <w:rPr>
                <w:b/>
                <w:iCs/>
                <w:sz w:val="18"/>
                <w:szCs w:val="18"/>
              </w:rPr>
            </w:r>
          </w:p>
        </w:tc>
        <w:tc>
          <w:tcPr>
            <w:gridSpan w:val="2"/>
            <w:shd w:val="clear" w:color="ffffff" w:fill="ffffff"/>
            <w:tcW w:w="5795" w:type="dxa"/>
            <w:vAlign w:val="top"/>
            <w:vMerge w:val="restart"/>
            <w:textDirection w:val="lrTb"/>
            <w:noWrap w:val="false"/>
          </w:tcPr>
          <w:p>
            <w:pPr>
              <w:pStyle w:val="1026"/>
              <w:ind w:left="28"/>
              <w:jc w:val="both"/>
              <w:spacing w:after="0" w:line="240" w:lineRule="auto"/>
              <w:rPr>
                <w:rFonts w:ascii="Times New Roman" w:hAnsi="Times New Roman" w:eastAsia="Times New Roman"/>
                <w:b/>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W w:w="9889" w:type="dxa"/>
            <w:vAlign w:val="top"/>
            <w:textDirection w:val="lrTb"/>
            <w:noWrap w:val="false"/>
          </w:tcPr>
          <w:p>
            <w:pPr>
              <w:pStyle w:val="990"/>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w:t>
            </w:r>
            <w:r>
              <w:rPr>
                <w:sz w:val="18"/>
                <w:szCs w:val="18"/>
              </w:rPr>
              <w:t xml:space="preserve"> организации:</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bottom w:val="single" w:color="000000" w:sz="4" w:space="0"/>
            </w:tcBorders>
            <w:tcW w:w="4094" w:type="dxa"/>
            <w:vAlign w:val="top"/>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bottom w:val="single" w:color="000000" w:sz="4" w:space="0"/>
            </w:tcBorders>
            <w:tcW w:w="1984" w:type="dxa"/>
            <w:vAlign w:val="top"/>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bottom w:val="single" w:color="000000" w:sz="4" w:space="0"/>
            </w:tcBorders>
            <w:tcW w:w="3811" w:type="dxa"/>
            <w:vAlign w:val="top"/>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3"/>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rPr>
                <w:sz w:val="20"/>
                <w:szCs w:val="20"/>
              </w:rPr>
            </w:pPr>
            <w:r>
              <w:rPr>
                <w:sz w:val="20"/>
                <w:szCs w:val="20"/>
              </w:rPr>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8"/>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rFonts w:ascii="Segoe UI Symbol" w:hAnsi="Segoe UI Symbol" w:cs="Segoe UI Symbol"/>
                <w:iCs/>
                <w:sz w:val="18"/>
                <w:szCs w:val="18"/>
              </w:rPr>
              <w:t xml:space="preserve">☐</w:t>
            </w:r>
            <w:r>
              <w:rPr>
                <w:b/>
                <w:sz w:val="20"/>
                <w:szCs w:val="20"/>
              </w:rPr>
              <w:t xml:space="preserve"> Контроль за платежами.Выписка</w:t>
            </w:r>
            <w:r>
              <w:rPr>
                <w:b/>
                <w:sz w:val="20"/>
                <w:szCs w:val="20"/>
              </w:rPr>
              <w:t xml:space="preserve"> </w:t>
            </w:r>
            <w:r>
              <w:rPr>
                <w:sz w:val="18"/>
                <w:szCs w:val="18"/>
              </w:rPr>
              <w:t xml:space="preserve">для его осуществления</w:t>
            </w:r>
            <w:r>
              <w:rPr>
                <w:rStyle w:val="975"/>
                <w:sz w:val="18"/>
                <w:szCs w:val="18"/>
              </w:rPr>
              <w:footnoteReference w:id="4"/>
            </w:r>
            <w:r>
              <w:rPr>
                <w:b/>
                <w:sz w:val="20"/>
                <w:szCs w:val="20"/>
              </w:rPr>
            </w:r>
            <w:r>
              <w:rPr>
                <w:b/>
                <w:sz w:val="20"/>
                <w:szCs w:val="20"/>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rPr>
                <w:sz w:val="20"/>
                <w:szCs w:val="20"/>
              </w:rPr>
            </w:pPr>
            <w:r>
              <w:rPr>
                <w:sz w:val="20"/>
                <w:szCs w:val="20"/>
              </w:rPr>
            </w:r>
            <w:r>
              <w:rPr>
                <w:sz w:val="20"/>
                <w:szCs w:val="20"/>
              </w:rPr>
              <w:t xml:space="preserve">Уполномоченным</w:t>
            </w:r>
            <w:r>
              <w:rPr>
                <w:sz w:val="20"/>
                <w:szCs w:val="20"/>
              </w:rPr>
              <w:t xml:space="preserve"> лиц</w:t>
            </w:r>
            <w:r>
              <w:rPr>
                <w:sz w:val="20"/>
                <w:szCs w:val="20"/>
              </w:rPr>
              <w:t xml:space="preserve">ом</w:t>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iCs/>
                <w:sz w:val="18"/>
                <w:szCs w:val="18"/>
              </w:rPr>
              <w:t xml:space="preserve">с правом просмотра операций </w:t>
            </w:r>
            <w:r>
              <w:rPr>
                <w:rFonts w:ascii="Times New Roman" w:hAnsi="Times New Roman"/>
                <w:iCs/>
                <w:sz w:val="18"/>
                <w:szCs w:val="18"/>
              </w:rPr>
              <w:t xml:space="preserve">(полностью)</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99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52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 организации:</w:t>
            </w:r>
            <w:r>
              <w:rPr>
                <w:iCs/>
                <w:sz w:val="18"/>
                <w:szCs w:val="18"/>
              </w:rPr>
            </w:r>
            <w:r>
              <w:rPr>
                <w:iCs/>
                <w:sz w:val="18"/>
                <w:szCs w:val="18"/>
              </w:rPr>
            </w:r>
          </w:p>
        </w:tc>
      </w:tr>
      <w:tr>
        <w:tblPrEx/>
        <w:trPr>
          <w:trHeight w:val="252"/>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5"/>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1026"/>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w:t>
            </w:r>
            <w:r>
              <w:rPr>
                <w:rFonts w:ascii="Times New Roman" w:hAnsi="Times New Roman"/>
                <w:b/>
                <w:sz w:val="18"/>
                <w:szCs w:val="18"/>
              </w:rPr>
              <w:t xml:space="preserve">отключить </w:t>
            </w:r>
            <w:r>
              <w:rPr>
                <w:rFonts w:ascii="Times New Roman" w:hAnsi="Times New Roman"/>
                <w:b/>
                <w:sz w:val="18"/>
                <w:szCs w:val="18"/>
              </w:rPr>
              <w:t xml:space="preserve">с</w:t>
            </w:r>
            <w:r>
              <w:rPr>
                <w:rFonts w:ascii="Times New Roman" w:hAnsi="Times New Roman"/>
                <w:b/>
                <w:sz w:val="18"/>
                <w:szCs w:val="18"/>
              </w:rPr>
              <w:t xml:space="preserve"> </w:t>
            </w:r>
            <w:r>
              <w:rPr>
                <w:rFonts w:ascii="Times New Roman" w:hAnsi="Times New Roman"/>
                <w:b/>
                <w:sz w:val="18"/>
                <w:szCs w:val="18"/>
              </w:rPr>
              <w:t xml:space="preserve">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990"/>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платежами.Акцепт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990"/>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p>
            <w:pPr>
              <w:pStyle w:val="990"/>
              <w:rPr>
                <w:b/>
                <w:sz w:val="22"/>
                <w:szCs w:val="22"/>
              </w:rPr>
              <w:framePr w:hSpace="180" w:wrap="around" w:vAnchor="text" w:hAnchor="text" w:xAlign="center" w:y="1"/>
            </w:pPr>
            <w:r>
              <w:rPr>
                <w:b/>
                <w:sz w:val="22"/>
                <w:szCs w:val="22"/>
              </w:rPr>
            </w:r>
            <w:r>
              <w:rPr>
                <w:b/>
                <w:sz w:val="22"/>
                <w:szCs w:val="22"/>
              </w:rPr>
            </w:r>
            <w:r>
              <w:rPr>
                <w:b/>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6"/>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платежами.Выписка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990"/>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7"/>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tcBorders>
            <w:tcW w:w="4094" w:type="dxa"/>
            <w:vAlign w:val="top"/>
            <w:textDirection w:val="lrTb"/>
            <w:noWrap w:val="false"/>
          </w:tcPr>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tcBorders>
            <w:tcW w:w="5795" w:type="dxa"/>
            <w:vAlign w:val="top"/>
            <w:textDirection w:val="lrTb"/>
            <w:noWrap w:val="false"/>
          </w:tcPr>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ffffff" w:fill="ffffff"/>
            <w:tcW w:w="5795"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w:t>
            </w:r>
            <w:r>
              <w:rPr>
                <w:rFonts w:ascii="Times New Roman" w:hAnsi="Times New Roman" w:eastAsia="Times New Roman"/>
                <w:sz w:val="18"/>
                <w:szCs w:val="18"/>
                <w:lang w:eastAsia="ru-RU"/>
              </w:rPr>
              <w:t xml:space="preserve">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4"/>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73"/>
        <w:jc w:val="both"/>
      </w:pPr>
      <w:r>
        <w:rPr>
          <w:rStyle w:val="975"/>
        </w:rPr>
        <w:footnoteRef/>
      </w:r>
      <w:r>
        <w:t xml:space="preserve"> В случае если предпола</w:t>
      </w:r>
      <w:r>
        <w:t xml:space="preserve">гается осуществление Контроля за платежами.Акцепт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73"/>
        <w:jc w:val="both"/>
      </w:pPr>
      <w:r>
        <w:rPr>
          <w:rStyle w:val="975"/>
        </w:rPr>
        <w:footnoteRef/>
      </w:r>
      <w:r>
        <w:t xml:space="preserve"> В случае если Контроль за платежами.Акцепт</w:t>
      </w:r>
      <w:r>
        <w:t xml:space="preserve"> подключается по счету в иностранной валюте и планируется осуществление акцепта распоряжения </w:t>
      </w:r>
      <w:r>
        <w:t xml:space="preserve">на продажу иностранной валюты</w:t>
      </w:r>
      <w:r>
        <w:t xml:space="preserve">,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 </w:t>
      </w:r>
      <w:r/>
    </w:p>
  </w:footnote>
  <w:footnote w:id="4">
    <w:p>
      <w:pPr>
        <w:pStyle w:val="973"/>
        <w:jc w:val="both"/>
      </w:pPr>
      <w:r>
        <w:rPr>
          <w:rStyle w:val="975"/>
        </w:rPr>
        <w:footnoteRef/>
      </w:r>
      <w:r>
        <w:t xml:space="preserve"> </w:t>
      </w:r>
      <w:r>
        <w:t xml:space="preserve">В случае если пред</w:t>
      </w:r>
      <w:r>
        <w:t xml:space="preserve">полагается осуществление Контроля за платежами.Выписка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уполномоченном лице и номере (ах) счетов</w:t>
      </w:r>
      <w:r>
        <w:t xml:space="preserve">.</w:t>
      </w:r>
      <w:r/>
    </w:p>
  </w:footnote>
  <w:footnote w:id="5">
    <w:p>
      <w:pPr>
        <w:pStyle w:val="973"/>
        <w:jc w:val="both"/>
      </w:pPr>
      <w:r>
        <w:rPr>
          <w:rStyle w:val="975"/>
        </w:rPr>
        <w:footnoteRef/>
      </w:r>
      <w:r>
        <w:t xml:space="preserve"> </w:t>
      </w:r>
      <w:r>
        <w:t xml:space="preserve">В случае если Контроль за платежами.Выписка</w:t>
      </w:r>
      <w:r>
        <w:t xml:space="preserve"> подключается по счету в иностранной валюте и планируется, в том числе просмотр остатка и формирования выписки по транзитному </w:t>
      </w:r>
      <w:r>
        <w:t xml:space="preserve">валютному </w:t>
      </w:r>
      <w:r>
        <w:t xml:space="preserve">счету,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w:t>
      </w:r>
      <w:r>
        <w:t xml:space="preserve">.</w:t>
      </w:r>
      <w:r/>
    </w:p>
  </w:footnote>
  <w:footnote w:id="6">
    <w:p>
      <w:pPr>
        <w:pStyle w:val="973"/>
        <w:jc w:val="both"/>
      </w:pPr>
      <w:r>
        <w:rPr>
          <w:rStyle w:val="975"/>
        </w:rPr>
        <w:footnoteRef/>
      </w:r>
      <w:r>
        <w:t xml:space="preserve"> </w:t>
      </w:r>
      <w:r>
        <w:t xml:space="preserve">В случае если </w:t>
      </w:r>
      <w:r>
        <w:t xml:space="preserve">отключается Контроль за платежами.Акцепт по банковскому счету в иностранной валюте и ранее был подключен доступ к транзитному валютному счету, то отключение </w:t>
      </w:r>
      <w:r>
        <w:t xml:space="preserve">Контроля за платежами.Акцепт по</w:t>
      </w:r>
      <w:r>
        <w:t xml:space="preserve">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 w:id="7">
    <w:p>
      <w:pPr>
        <w:pStyle w:val="973"/>
        <w:jc w:val="both"/>
      </w:pPr>
      <w:r>
        <w:rPr>
          <w:rStyle w:val="975"/>
        </w:rPr>
        <w:footnoteRef/>
      </w:r>
      <w:r>
        <w:t xml:space="preserve"> </w:t>
      </w:r>
      <w:r>
        <w:t xml:space="preserve">В случае если </w:t>
      </w:r>
      <w:r>
        <w:t xml:space="preserve">отключается Контроль за платежами.Выписка по банковскому счету в иностранной валюте и ранее был подключен доступ к транзитному валютному счету, то отключение </w:t>
      </w:r>
      <w:r>
        <w:t xml:space="preserve">Контроля за платежами.Выписка по</w:t>
      </w:r>
      <w:r>
        <w:t xml:space="preserve">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2"/>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12">
    <w:name w:val="Heading 1"/>
    <w:basedOn w:val="990"/>
    <w:next w:val="990"/>
    <w:link w:val="813"/>
    <w:uiPriority w:val="9"/>
    <w:qFormat/>
    <w:pPr>
      <w:keepLines/>
      <w:keepNext/>
      <w:spacing w:before="480" w:after="200"/>
      <w:outlineLvl w:val="0"/>
    </w:pPr>
    <w:rPr>
      <w:rFonts w:ascii="Arial" w:hAnsi="Arial" w:eastAsia="Arial" w:cs="Arial"/>
      <w:sz w:val="40"/>
      <w:szCs w:val="40"/>
    </w:rPr>
  </w:style>
  <w:style w:type="character" w:styleId="813">
    <w:name w:val="Heading 1 Char"/>
    <w:link w:val="812"/>
    <w:uiPriority w:val="9"/>
    <w:rPr>
      <w:rFonts w:ascii="Arial" w:hAnsi="Arial" w:eastAsia="Arial" w:cs="Arial"/>
      <w:sz w:val="40"/>
      <w:szCs w:val="40"/>
    </w:rPr>
  </w:style>
  <w:style w:type="paragraph" w:styleId="814">
    <w:name w:val="Heading 2"/>
    <w:basedOn w:val="990"/>
    <w:next w:val="990"/>
    <w:link w:val="815"/>
    <w:uiPriority w:val="9"/>
    <w:unhideWhenUsed/>
    <w:qFormat/>
    <w:pPr>
      <w:keepLines/>
      <w:keepNext/>
      <w:spacing w:before="360" w:after="200"/>
      <w:outlineLvl w:val="1"/>
    </w:pPr>
    <w:rPr>
      <w:rFonts w:ascii="Arial" w:hAnsi="Arial" w:eastAsia="Arial" w:cs="Arial"/>
      <w:sz w:val="34"/>
    </w:rPr>
  </w:style>
  <w:style w:type="character" w:styleId="815">
    <w:name w:val="Heading 2 Char"/>
    <w:link w:val="814"/>
    <w:uiPriority w:val="9"/>
    <w:rPr>
      <w:rFonts w:ascii="Arial" w:hAnsi="Arial" w:eastAsia="Arial" w:cs="Arial"/>
      <w:sz w:val="34"/>
    </w:rPr>
  </w:style>
  <w:style w:type="paragraph" w:styleId="816">
    <w:name w:val="Heading 3"/>
    <w:basedOn w:val="990"/>
    <w:next w:val="990"/>
    <w:link w:val="817"/>
    <w:uiPriority w:val="9"/>
    <w:unhideWhenUsed/>
    <w:qFormat/>
    <w:pPr>
      <w:keepLines/>
      <w:keepNext/>
      <w:spacing w:before="320" w:after="200"/>
      <w:outlineLvl w:val="2"/>
    </w:pPr>
    <w:rPr>
      <w:rFonts w:ascii="Arial" w:hAnsi="Arial" w:eastAsia="Arial" w:cs="Arial"/>
      <w:sz w:val="30"/>
      <w:szCs w:val="30"/>
    </w:rPr>
  </w:style>
  <w:style w:type="character" w:styleId="817">
    <w:name w:val="Heading 3 Char"/>
    <w:link w:val="816"/>
    <w:uiPriority w:val="9"/>
    <w:rPr>
      <w:rFonts w:ascii="Arial" w:hAnsi="Arial" w:eastAsia="Arial" w:cs="Arial"/>
      <w:sz w:val="30"/>
      <w:szCs w:val="30"/>
    </w:rPr>
  </w:style>
  <w:style w:type="paragraph" w:styleId="818">
    <w:name w:val="Heading 4"/>
    <w:basedOn w:val="990"/>
    <w:next w:val="990"/>
    <w:link w:val="819"/>
    <w:uiPriority w:val="9"/>
    <w:unhideWhenUsed/>
    <w:qFormat/>
    <w:pPr>
      <w:keepLines/>
      <w:keepNext/>
      <w:spacing w:before="320" w:after="200"/>
      <w:outlineLvl w:val="3"/>
    </w:pPr>
    <w:rPr>
      <w:rFonts w:ascii="Arial" w:hAnsi="Arial" w:eastAsia="Arial" w:cs="Arial"/>
      <w:b/>
      <w:bCs/>
      <w:sz w:val="26"/>
      <w:szCs w:val="26"/>
    </w:rPr>
  </w:style>
  <w:style w:type="character" w:styleId="819">
    <w:name w:val="Heading 4 Char"/>
    <w:link w:val="818"/>
    <w:uiPriority w:val="9"/>
    <w:rPr>
      <w:rFonts w:ascii="Arial" w:hAnsi="Arial" w:eastAsia="Arial" w:cs="Arial"/>
      <w:b/>
      <w:bCs/>
      <w:sz w:val="26"/>
      <w:szCs w:val="26"/>
    </w:rPr>
  </w:style>
  <w:style w:type="paragraph" w:styleId="820">
    <w:name w:val="Heading 5"/>
    <w:basedOn w:val="990"/>
    <w:next w:val="990"/>
    <w:link w:val="821"/>
    <w:uiPriority w:val="9"/>
    <w:unhideWhenUsed/>
    <w:qFormat/>
    <w:pPr>
      <w:keepLines/>
      <w:keepNext/>
      <w:spacing w:before="320" w:after="200"/>
      <w:outlineLvl w:val="4"/>
    </w:pPr>
    <w:rPr>
      <w:rFonts w:ascii="Arial" w:hAnsi="Arial" w:eastAsia="Arial" w:cs="Arial"/>
      <w:b/>
      <w:bCs/>
      <w:sz w:val="24"/>
      <w:szCs w:val="24"/>
    </w:rPr>
  </w:style>
  <w:style w:type="character" w:styleId="821">
    <w:name w:val="Heading 5 Char"/>
    <w:link w:val="820"/>
    <w:uiPriority w:val="9"/>
    <w:rPr>
      <w:rFonts w:ascii="Arial" w:hAnsi="Arial" w:eastAsia="Arial" w:cs="Arial"/>
      <w:b/>
      <w:bCs/>
      <w:sz w:val="24"/>
      <w:szCs w:val="24"/>
    </w:rPr>
  </w:style>
  <w:style w:type="paragraph" w:styleId="822">
    <w:name w:val="Heading 6"/>
    <w:basedOn w:val="990"/>
    <w:next w:val="990"/>
    <w:link w:val="823"/>
    <w:uiPriority w:val="9"/>
    <w:unhideWhenUsed/>
    <w:qFormat/>
    <w:pPr>
      <w:keepLines/>
      <w:keepNext/>
      <w:spacing w:before="320" w:after="200"/>
      <w:outlineLvl w:val="5"/>
    </w:pPr>
    <w:rPr>
      <w:rFonts w:ascii="Arial" w:hAnsi="Arial" w:eastAsia="Arial" w:cs="Arial"/>
      <w:b/>
      <w:bCs/>
      <w:sz w:val="22"/>
      <w:szCs w:val="22"/>
    </w:rPr>
  </w:style>
  <w:style w:type="character" w:styleId="823">
    <w:name w:val="Heading 6 Char"/>
    <w:link w:val="822"/>
    <w:uiPriority w:val="9"/>
    <w:rPr>
      <w:rFonts w:ascii="Arial" w:hAnsi="Arial" w:eastAsia="Arial" w:cs="Arial"/>
      <w:b/>
      <w:bCs/>
      <w:sz w:val="22"/>
      <w:szCs w:val="22"/>
    </w:rPr>
  </w:style>
  <w:style w:type="paragraph" w:styleId="824">
    <w:name w:val="Heading 7"/>
    <w:basedOn w:val="990"/>
    <w:next w:val="990"/>
    <w:link w:val="825"/>
    <w:uiPriority w:val="9"/>
    <w:unhideWhenUsed/>
    <w:qFormat/>
    <w:pPr>
      <w:keepLines/>
      <w:keepNext/>
      <w:spacing w:before="320" w:after="200"/>
      <w:outlineLvl w:val="6"/>
    </w:pPr>
    <w:rPr>
      <w:rFonts w:ascii="Arial" w:hAnsi="Arial" w:eastAsia="Arial" w:cs="Arial"/>
      <w:b/>
      <w:bCs/>
      <w:i/>
      <w:iCs/>
      <w:sz w:val="22"/>
      <w:szCs w:val="22"/>
    </w:rPr>
  </w:style>
  <w:style w:type="character" w:styleId="825">
    <w:name w:val="Heading 7 Char"/>
    <w:link w:val="824"/>
    <w:uiPriority w:val="9"/>
    <w:rPr>
      <w:rFonts w:ascii="Arial" w:hAnsi="Arial" w:eastAsia="Arial" w:cs="Arial"/>
      <w:b/>
      <w:bCs/>
      <w:i/>
      <w:iCs/>
      <w:sz w:val="22"/>
      <w:szCs w:val="22"/>
    </w:rPr>
  </w:style>
  <w:style w:type="paragraph" w:styleId="826">
    <w:name w:val="Heading 8"/>
    <w:basedOn w:val="990"/>
    <w:next w:val="990"/>
    <w:link w:val="827"/>
    <w:uiPriority w:val="9"/>
    <w:unhideWhenUsed/>
    <w:qFormat/>
    <w:pPr>
      <w:keepLines/>
      <w:keepNext/>
      <w:spacing w:before="320" w:after="200"/>
      <w:outlineLvl w:val="7"/>
    </w:pPr>
    <w:rPr>
      <w:rFonts w:ascii="Arial" w:hAnsi="Arial" w:eastAsia="Arial" w:cs="Arial"/>
      <w:i/>
      <w:iCs/>
      <w:sz w:val="22"/>
      <w:szCs w:val="22"/>
    </w:rPr>
  </w:style>
  <w:style w:type="character" w:styleId="827">
    <w:name w:val="Heading 8 Char"/>
    <w:link w:val="826"/>
    <w:uiPriority w:val="9"/>
    <w:rPr>
      <w:rFonts w:ascii="Arial" w:hAnsi="Arial" w:eastAsia="Arial" w:cs="Arial"/>
      <w:i/>
      <w:iCs/>
      <w:sz w:val="22"/>
      <w:szCs w:val="22"/>
    </w:rPr>
  </w:style>
  <w:style w:type="paragraph" w:styleId="828">
    <w:name w:val="Heading 9"/>
    <w:basedOn w:val="990"/>
    <w:next w:val="990"/>
    <w:link w:val="829"/>
    <w:uiPriority w:val="9"/>
    <w:unhideWhenUsed/>
    <w:qFormat/>
    <w:pPr>
      <w:keepLines/>
      <w:keepNext/>
      <w:spacing w:before="320" w:after="200"/>
      <w:outlineLvl w:val="8"/>
    </w:pPr>
    <w:rPr>
      <w:rFonts w:ascii="Arial" w:hAnsi="Arial" w:eastAsia="Arial" w:cs="Arial"/>
      <w:i/>
      <w:iCs/>
      <w:sz w:val="21"/>
      <w:szCs w:val="21"/>
    </w:rPr>
  </w:style>
  <w:style w:type="character" w:styleId="829">
    <w:name w:val="Heading 9 Char"/>
    <w:link w:val="828"/>
    <w:uiPriority w:val="9"/>
    <w:rPr>
      <w:rFonts w:ascii="Arial" w:hAnsi="Arial" w:eastAsia="Arial" w:cs="Arial"/>
      <w:i/>
      <w:iCs/>
      <w:sz w:val="21"/>
      <w:szCs w:val="21"/>
    </w:rPr>
  </w:style>
  <w:style w:type="paragraph" w:styleId="830">
    <w:name w:val="List Paragraph"/>
    <w:basedOn w:val="990"/>
    <w:uiPriority w:val="34"/>
    <w:qFormat/>
    <w:pPr>
      <w:contextualSpacing/>
      <w:ind w:left="720"/>
    </w:pPr>
  </w:style>
  <w:style w:type="paragraph" w:styleId="831">
    <w:name w:val="No Spacing"/>
    <w:uiPriority w:val="1"/>
    <w:qFormat/>
    <w:pPr>
      <w:spacing w:before="0" w:after="0" w:line="240" w:lineRule="auto"/>
    </w:pPr>
  </w:style>
  <w:style w:type="paragraph" w:styleId="832">
    <w:name w:val="Title"/>
    <w:basedOn w:val="990"/>
    <w:next w:val="990"/>
    <w:link w:val="833"/>
    <w:uiPriority w:val="10"/>
    <w:qFormat/>
    <w:pPr>
      <w:contextualSpacing/>
      <w:spacing w:before="300" w:after="200"/>
    </w:pPr>
    <w:rPr>
      <w:sz w:val="48"/>
      <w:szCs w:val="48"/>
    </w:rPr>
  </w:style>
  <w:style w:type="character" w:styleId="833">
    <w:name w:val="Title Char"/>
    <w:link w:val="832"/>
    <w:uiPriority w:val="10"/>
    <w:rPr>
      <w:sz w:val="48"/>
      <w:szCs w:val="48"/>
    </w:rPr>
  </w:style>
  <w:style w:type="paragraph" w:styleId="834">
    <w:name w:val="Subtitle"/>
    <w:basedOn w:val="990"/>
    <w:next w:val="990"/>
    <w:link w:val="835"/>
    <w:uiPriority w:val="11"/>
    <w:qFormat/>
    <w:pPr>
      <w:spacing w:before="200" w:after="200"/>
    </w:pPr>
    <w:rPr>
      <w:sz w:val="24"/>
      <w:szCs w:val="24"/>
    </w:rPr>
  </w:style>
  <w:style w:type="character" w:styleId="835">
    <w:name w:val="Subtitle Char"/>
    <w:link w:val="834"/>
    <w:uiPriority w:val="11"/>
    <w:rPr>
      <w:sz w:val="24"/>
      <w:szCs w:val="24"/>
    </w:rPr>
  </w:style>
  <w:style w:type="paragraph" w:styleId="836">
    <w:name w:val="Quote"/>
    <w:basedOn w:val="990"/>
    <w:next w:val="990"/>
    <w:link w:val="837"/>
    <w:uiPriority w:val="29"/>
    <w:qFormat/>
    <w:pPr>
      <w:ind w:left="720" w:right="720"/>
    </w:pPr>
    <w:rPr>
      <w:i/>
    </w:rPr>
  </w:style>
  <w:style w:type="character" w:styleId="837">
    <w:name w:val="Quote Char"/>
    <w:link w:val="836"/>
    <w:uiPriority w:val="29"/>
    <w:rPr>
      <w:i/>
    </w:rPr>
  </w:style>
  <w:style w:type="paragraph" w:styleId="838">
    <w:name w:val="Intense Quote"/>
    <w:basedOn w:val="990"/>
    <w:next w:val="990"/>
    <w:link w:val="8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9">
    <w:name w:val="Intense Quote Char"/>
    <w:link w:val="838"/>
    <w:uiPriority w:val="30"/>
    <w:rPr>
      <w:i/>
    </w:rPr>
  </w:style>
  <w:style w:type="paragraph" w:styleId="840">
    <w:name w:val="Header"/>
    <w:basedOn w:val="990"/>
    <w:link w:val="841"/>
    <w:uiPriority w:val="99"/>
    <w:unhideWhenUsed/>
    <w:pPr>
      <w:spacing w:after="0" w:line="240" w:lineRule="auto"/>
      <w:tabs>
        <w:tab w:val="center" w:pos="7143" w:leader="none"/>
        <w:tab w:val="right" w:pos="14287" w:leader="none"/>
      </w:tabs>
    </w:pPr>
  </w:style>
  <w:style w:type="character" w:styleId="841">
    <w:name w:val="Header Char"/>
    <w:link w:val="840"/>
    <w:uiPriority w:val="99"/>
  </w:style>
  <w:style w:type="paragraph" w:styleId="842">
    <w:name w:val="Footer"/>
    <w:basedOn w:val="990"/>
    <w:link w:val="845"/>
    <w:uiPriority w:val="99"/>
    <w:unhideWhenUsed/>
    <w:pPr>
      <w:spacing w:after="0" w:line="240" w:lineRule="auto"/>
      <w:tabs>
        <w:tab w:val="center" w:pos="7143" w:leader="none"/>
        <w:tab w:val="right" w:pos="14287" w:leader="none"/>
      </w:tabs>
    </w:pPr>
  </w:style>
  <w:style w:type="character" w:styleId="843">
    <w:name w:val="Footer Char"/>
    <w:link w:val="842"/>
    <w:uiPriority w:val="99"/>
  </w:style>
  <w:style w:type="paragraph" w:styleId="844">
    <w:name w:val="Caption"/>
    <w:basedOn w:val="990"/>
    <w:next w:val="990"/>
    <w:uiPriority w:val="35"/>
    <w:semiHidden/>
    <w:unhideWhenUsed/>
    <w:qFormat/>
    <w:pPr>
      <w:spacing w:line="276" w:lineRule="auto"/>
    </w:pPr>
    <w:rPr>
      <w:b/>
      <w:bCs/>
      <w:color w:val="4f81bd" w:themeColor="accent1"/>
      <w:sz w:val="18"/>
      <w:szCs w:val="18"/>
    </w:rPr>
  </w:style>
  <w:style w:type="character" w:styleId="845">
    <w:name w:val="Caption Char"/>
    <w:basedOn w:val="844"/>
    <w:link w:val="842"/>
    <w:uiPriority w:val="99"/>
  </w:style>
  <w:style w:type="table" w:styleId="84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5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5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6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6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6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6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8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8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8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9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9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0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0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0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0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1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1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1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1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2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2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2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3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4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4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4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4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5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5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7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7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72">
    <w:name w:val="Hyperlink"/>
    <w:uiPriority w:val="99"/>
    <w:unhideWhenUsed/>
    <w:rPr>
      <w:color w:val="0000ff" w:themeColor="hyperlink"/>
      <w:u w:val="single"/>
    </w:rPr>
  </w:style>
  <w:style w:type="paragraph" w:styleId="973">
    <w:name w:val="footnote text"/>
    <w:basedOn w:val="990"/>
    <w:link w:val="974"/>
    <w:uiPriority w:val="99"/>
    <w:semiHidden/>
    <w:unhideWhenUsed/>
    <w:pPr>
      <w:spacing w:after="40" w:line="240" w:lineRule="auto"/>
    </w:pPr>
    <w:rPr>
      <w:sz w:val="18"/>
    </w:rPr>
  </w:style>
  <w:style w:type="character" w:styleId="974">
    <w:name w:val="Footnote Text Char"/>
    <w:link w:val="973"/>
    <w:uiPriority w:val="99"/>
    <w:rPr>
      <w:sz w:val="18"/>
    </w:rPr>
  </w:style>
  <w:style w:type="character" w:styleId="975">
    <w:name w:val="footnote reference"/>
    <w:uiPriority w:val="99"/>
    <w:unhideWhenUsed/>
    <w:rPr>
      <w:vertAlign w:val="superscript"/>
    </w:rPr>
  </w:style>
  <w:style w:type="paragraph" w:styleId="976">
    <w:name w:val="endnote text"/>
    <w:basedOn w:val="990"/>
    <w:link w:val="977"/>
    <w:uiPriority w:val="99"/>
    <w:semiHidden/>
    <w:unhideWhenUsed/>
    <w:pPr>
      <w:spacing w:after="0" w:line="240" w:lineRule="auto"/>
    </w:pPr>
    <w:rPr>
      <w:sz w:val="20"/>
    </w:rPr>
  </w:style>
  <w:style w:type="character" w:styleId="977">
    <w:name w:val="Endnote Text Char"/>
    <w:link w:val="976"/>
    <w:uiPriority w:val="99"/>
    <w:rPr>
      <w:sz w:val="20"/>
    </w:rPr>
  </w:style>
  <w:style w:type="character" w:styleId="978">
    <w:name w:val="endnote reference"/>
    <w:uiPriority w:val="99"/>
    <w:semiHidden/>
    <w:unhideWhenUsed/>
    <w:rPr>
      <w:vertAlign w:val="superscript"/>
    </w:rPr>
  </w:style>
  <w:style w:type="paragraph" w:styleId="979">
    <w:name w:val="toc 1"/>
    <w:basedOn w:val="990"/>
    <w:next w:val="990"/>
    <w:uiPriority w:val="39"/>
    <w:unhideWhenUsed/>
    <w:pPr>
      <w:ind w:left="0" w:right="0" w:firstLine="0"/>
      <w:spacing w:after="57"/>
    </w:pPr>
  </w:style>
  <w:style w:type="paragraph" w:styleId="980">
    <w:name w:val="toc 2"/>
    <w:basedOn w:val="990"/>
    <w:next w:val="990"/>
    <w:uiPriority w:val="39"/>
    <w:unhideWhenUsed/>
    <w:pPr>
      <w:ind w:left="283" w:right="0" w:firstLine="0"/>
      <w:spacing w:after="57"/>
    </w:pPr>
  </w:style>
  <w:style w:type="paragraph" w:styleId="981">
    <w:name w:val="toc 3"/>
    <w:basedOn w:val="990"/>
    <w:next w:val="990"/>
    <w:uiPriority w:val="39"/>
    <w:unhideWhenUsed/>
    <w:pPr>
      <w:ind w:left="567" w:right="0" w:firstLine="0"/>
      <w:spacing w:after="57"/>
    </w:pPr>
  </w:style>
  <w:style w:type="paragraph" w:styleId="982">
    <w:name w:val="toc 4"/>
    <w:basedOn w:val="990"/>
    <w:next w:val="990"/>
    <w:uiPriority w:val="39"/>
    <w:unhideWhenUsed/>
    <w:pPr>
      <w:ind w:left="850" w:right="0" w:firstLine="0"/>
      <w:spacing w:after="57"/>
    </w:pPr>
  </w:style>
  <w:style w:type="paragraph" w:styleId="983">
    <w:name w:val="toc 5"/>
    <w:basedOn w:val="990"/>
    <w:next w:val="990"/>
    <w:uiPriority w:val="39"/>
    <w:unhideWhenUsed/>
    <w:pPr>
      <w:ind w:left="1134" w:right="0" w:firstLine="0"/>
      <w:spacing w:after="57"/>
    </w:pPr>
  </w:style>
  <w:style w:type="paragraph" w:styleId="984">
    <w:name w:val="toc 6"/>
    <w:basedOn w:val="990"/>
    <w:next w:val="990"/>
    <w:uiPriority w:val="39"/>
    <w:unhideWhenUsed/>
    <w:pPr>
      <w:ind w:left="1417" w:right="0" w:firstLine="0"/>
      <w:spacing w:after="57"/>
    </w:pPr>
  </w:style>
  <w:style w:type="paragraph" w:styleId="985">
    <w:name w:val="toc 7"/>
    <w:basedOn w:val="990"/>
    <w:next w:val="990"/>
    <w:uiPriority w:val="39"/>
    <w:unhideWhenUsed/>
    <w:pPr>
      <w:ind w:left="1701" w:right="0" w:firstLine="0"/>
      <w:spacing w:after="57"/>
    </w:pPr>
  </w:style>
  <w:style w:type="paragraph" w:styleId="986">
    <w:name w:val="toc 8"/>
    <w:basedOn w:val="990"/>
    <w:next w:val="990"/>
    <w:uiPriority w:val="39"/>
    <w:unhideWhenUsed/>
    <w:pPr>
      <w:ind w:left="1984" w:right="0" w:firstLine="0"/>
      <w:spacing w:after="57"/>
    </w:pPr>
  </w:style>
  <w:style w:type="paragraph" w:styleId="987">
    <w:name w:val="toc 9"/>
    <w:basedOn w:val="990"/>
    <w:next w:val="990"/>
    <w:uiPriority w:val="39"/>
    <w:unhideWhenUsed/>
    <w:pPr>
      <w:ind w:left="2268" w:right="0" w:firstLine="0"/>
      <w:spacing w:after="57"/>
    </w:pPr>
  </w:style>
  <w:style w:type="paragraph" w:styleId="988">
    <w:name w:val="TOC Heading"/>
    <w:uiPriority w:val="39"/>
    <w:unhideWhenUsed/>
  </w:style>
  <w:style w:type="paragraph" w:styleId="989">
    <w:name w:val="table of figures"/>
    <w:basedOn w:val="990"/>
    <w:next w:val="990"/>
    <w:uiPriority w:val="99"/>
    <w:unhideWhenUsed/>
    <w:pPr>
      <w:spacing w:after="0" w:afterAutospacing="0"/>
    </w:pPr>
  </w:style>
  <w:style w:type="paragraph" w:styleId="990" w:default="1">
    <w:name w:val="Normal"/>
    <w:next w:val="990"/>
    <w:link w:val="990"/>
    <w:qFormat/>
    <w:rPr>
      <w:sz w:val="24"/>
      <w:szCs w:val="24"/>
      <w:lang w:val="ru-RU" w:eastAsia="ru-RU" w:bidi="ar-SA"/>
    </w:rPr>
  </w:style>
  <w:style w:type="character" w:styleId="991">
    <w:name w:val="Основной шрифт абзаца"/>
    <w:next w:val="991"/>
    <w:link w:val="990"/>
    <w:uiPriority w:val="1"/>
    <w:semiHidden/>
    <w:unhideWhenUsed/>
  </w:style>
  <w:style w:type="table" w:styleId="992">
    <w:name w:val="Обычная таблица"/>
    <w:next w:val="992"/>
    <w:link w:val="990"/>
    <w:uiPriority w:val="99"/>
    <w:semiHidden/>
    <w:unhideWhenUsed/>
    <w:tblPr/>
  </w:style>
  <w:style w:type="numbering" w:styleId="993">
    <w:name w:val="Нет списка"/>
    <w:next w:val="993"/>
    <w:link w:val="990"/>
    <w:uiPriority w:val="99"/>
    <w:semiHidden/>
    <w:unhideWhenUsed/>
  </w:style>
  <w:style w:type="paragraph" w:styleId="994">
    <w:name w:val="Текст выноски"/>
    <w:basedOn w:val="990"/>
    <w:next w:val="994"/>
    <w:link w:val="996"/>
    <w:uiPriority w:val="99"/>
    <w:semiHidden/>
    <w:rPr>
      <w:sz w:val="20"/>
      <w:szCs w:val="20"/>
      <w:lang w:val="en-US" w:eastAsia="en-US"/>
    </w:rPr>
  </w:style>
  <w:style w:type="paragraph" w:styleId="995">
    <w:name w:val="Знак Char Char Знак Знак Char Char Знак Char Char Знак Char Char Знак Знак Знак Знак Знак Char Char Знак Char Char"/>
    <w:basedOn w:val="990"/>
    <w:next w:val="995"/>
    <w:link w:val="990"/>
    <w:uiPriority w:val="99"/>
    <w:pPr>
      <w:spacing w:after="160" w:line="240" w:lineRule="exact"/>
    </w:pPr>
    <w:rPr>
      <w:rFonts w:ascii="Verdana" w:hAnsi="Verdana"/>
      <w:sz w:val="20"/>
      <w:szCs w:val="20"/>
      <w:lang w:val="en-US" w:eastAsia="en-US"/>
    </w:rPr>
  </w:style>
  <w:style w:type="character" w:styleId="996">
    <w:name w:val="Текст выноски Знак"/>
    <w:next w:val="996"/>
    <w:link w:val="994"/>
    <w:uiPriority w:val="99"/>
    <w:semiHidden/>
    <w:rPr>
      <w:lang w:val="en-US" w:eastAsia="en-US"/>
    </w:rPr>
  </w:style>
  <w:style w:type="paragraph" w:styleId="997">
    <w:name w:val="Основной текст с отступом"/>
    <w:basedOn w:val="990"/>
    <w:next w:val="997"/>
    <w:link w:val="999"/>
    <w:uiPriority w:val="99"/>
    <w:pPr>
      <w:ind w:left="284" w:hanging="284"/>
      <w:jc w:val="both"/>
    </w:pPr>
    <w:rPr>
      <w:lang w:val="en-US" w:eastAsia="en-US"/>
    </w:rPr>
  </w:style>
  <w:style w:type="paragraph" w:styleId="998">
    <w:name w:val="Список 2"/>
    <w:basedOn w:val="990"/>
    <w:next w:val="998"/>
    <w:link w:val="990"/>
    <w:pPr>
      <w:jc w:val="both"/>
      <w:spacing w:before="60"/>
    </w:pPr>
    <w:rPr>
      <w:rFonts w:ascii="PragmaticaCTT" w:hAnsi="PragmaticaCTT" w:cs="Arial Unicode MS"/>
    </w:rPr>
  </w:style>
  <w:style w:type="character" w:styleId="999">
    <w:name w:val="Основной текст с отступом Знак"/>
    <w:next w:val="999"/>
    <w:link w:val="997"/>
    <w:uiPriority w:val="99"/>
    <w:semiHidden/>
    <w:rPr>
      <w:rFonts w:cs="Times New Roman"/>
      <w:sz w:val="24"/>
      <w:szCs w:val="24"/>
    </w:rPr>
  </w:style>
  <w:style w:type="table" w:styleId="1000">
    <w:name w:val="Сетка таблицы"/>
    <w:basedOn w:val="992"/>
    <w:next w:val="1000"/>
    <w:link w:val="990"/>
    <w:uiPriority w:val="99"/>
    <w:tblPr/>
  </w:style>
  <w:style w:type="paragraph" w:styleId="100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90"/>
    <w:next w:val="1001"/>
    <w:link w:val="1003"/>
    <w:uiPriority w:val="99"/>
    <w:qFormat/>
    <w:rPr>
      <w:sz w:val="20"/>
      <w:szCs w:val="20"/>
      <w:lang w:val="en-US" w:eastAsia="en-US"/>
    </w:rPr>
  </w:style>
  <w:style w:type="character" w:styleId="1002">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02"/>
    <w:link w:val="990"/>
    <w:qFormat/>
    <w:rPr>
      <w:rFonts w:cs="Times New Roman"/>
      <w:vertAlign w:val="superscript"/>
    </w:rPr>
  </w:style>
  <w:style w:type="character" w:styleId="100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3"/>
    <w:link w:val="1001"/>
    <w:uiPriority w:val="99"/>
    <w:qFormat/>
    <w:rPr>
      <w:rFonts w:cs="Times New Roman"/>
    </w:rPr>
  </w:style>
  <w:style w:type="paragraph" w:styleId="1004">
    <w:name w:val="Название"/>
    <w:basedOn w:val="990"/>
    <w:next w:val="1004"/>
    <w:link w:val="1006"/>
    <w:uiPriority w:val="99"/>
    <w:qFormat/>
    <w:pPr>
      <w:jc w:val="center"/>
    </w:pPr>
    <w:rPr>
      <w:rFonts w:ascii="Cambria" w:hAnsi="Cambria"/>
      <w:b/>
      <w:bCs/>
      <w:sz w:val="32"/>
      <w:szCs w:val="32"/>
      <w:lang w:val="en-US" w:eastAsia="en-US"/>
    </w:rPr>
  </w:style>
  <w:style w:type="paragraph" w:styleId="1005">
    <w:name w:val="Текст"/>
    <w:basedOn w:val="990"/>
    <w:next w:val="1005"/>
    <w:link w:val="1008"/>
    <w:uiPriority w:val="99"/>
    <w:rPr>
      <w:rFonts w:ascii="Courier New" w:hAnsi="Courier New"/>
      <w:sz w:val="20"/>
      <w:szCs w:val="20"/>
      <w:lang w:val="en-US" w:eastAsia="en-US"/>
    </w:rPr>
  </w:style>
  <w:style w:type="character" w:styleId="1006">
    <w:name w:val="Название Знак"/>
    <w:next w:val="1006"/>
    <w:link w:val="1004"/>
    <w:uiPriority w:val="99"/>
    <w:rPr>
      <w:rFonts w:ascii="Cambria" w:hAnsi="Cambria" w:cs="Times New Roman"/>
      <w:b/>
      <w:bCs/>
      <w:sz w:val="32"/>
      <w:szCs w:val="32"/>
    </w:rPr>
  </w:style>
  <w:style w:type="character" w:styleId="1007">
    <w:name w:val="Знак примечания"/>
    <w:next w:val="1007"/>
    <w:link w:val="990"/>
    <w:uiPriority w:val="99"/>
    <w:semiHidden/>
    <w:rPr>
      <w:rFonts w:cs="Times New Roman"/>
      <w:sz w:val="16"/>
      <w:szCs w:val="16"/>
    </w:rPr>
  </w:style>
  <w:style w:type="character" w:styleId="1008">
    <w:name w:val="Текст Знак"/>
    <w:next w:val="1008"/>
    <w:link w:val="1005"/>
    <w:uiPriority w:val="99"/>
    <w:semiHidden/>
    <w:rPr>
      <w:rFonts w:ascii="Courier New" w:hAnsi="Courier New" w:cs="Courier New"/>
    </w:rPr>
  </w:style>
  <w:style w:type="paragraph" w:styleId="1009">
    <w:name w:val="Текст примечания"/>
    <w:basedOn w:val="990"/>
    <w:next w:val="1009"/>
    <w:link w:val="1011"/>
    <w:uiPriority w:val="99"/>
    <w:semiHidden/>
    <w:rPr>
      <w:sz w:val="20"/>
      <w:szCs w:val="20"/>
      <w:lang w:val="en-US" w:eastAsia="en-US"/>
    </w:rPr>
  </w:style>
  <w:style w:type="paragraph" w:styleId="1010">
    <w:name w:val="Тема примечания"/>
    <w:basedOn w:val="1009"/>
    <w:next w:val="1009"/>
    <w:link w:val="1013"/>
    <w:uiPriority w:val="99"/>
    <w:semiHidden/>
    <w:rPr>
      <w:b/>
      <w:bCs/>
    </w:rPr>
  </w:style>
  <w:style w:type="character" w:styleId="1011">
    <w:name w:val="Текст примечания Знак"/>
    <w:next w:val="1011"/>
    <w:link w:val="1009"/>
    <w:uiPriority w:val="99"/>
    <w:semiHidden/>
    <w:rPr>
      <w:rFonts w:cs="Times New Roman"/>
    </w:rPr>
  </w:style>
  <w:style w:type="paragraph" w:styleId="1012">
    <w:name w:val="Верхний колонтитул,Linie,ВерхКолонтитул"/>
    <w:basedOn w:val="990"/>
    <w:next w:val="1012"/>
    <w:link w:val="1015"/>
    <w:uiPriority w:val="99"/>
    <w:pPr>
      <w:tabs>
        <w:tab w:val="center" w:pos="4677" w:leader="none"/>
        <w:tab w:val="right" w:pos="9355" w:leader="none"/>
      </w:tabs>
    </w:pPr>
    <w:rPr>
      <w:lang w:val="en-US" w:eastAsia="en-US"/>
    </w:rPr>
  </w:style>
  <w:style w:type="character" w:styleId="1013">
    <w:name w:val="Тема примечания Знак"/>
    <w:next w:val="1013"/>
    <w:link w:val="1010"/>
    <w:uiPriority w:val="99"/>
    <w:semiHidden/>
    <w:rPr>
      <w:rFonts w:cs="Times New Roman"/>
      <w:b/>
      <w:bCs/>
    </w:rPr>
  </w:style>
  <w:style w:type="paragraph" w:styleId="1014">
    <w:name w:val="Нижний колонтитул"/>
    <w:basedOn w:val="990"/>
    <w:next w:val="1014"/>
    <w:link w:val="1017"/>
    <w:uiPriority w:val="99"/>
    <w:pPr>
      <w:tabs>
        <w:tab w:val="center" w:pos="4677" w:leader="none"/>
        <w:tab w:val="right" w:pos="9355" w:leader="none"/>
      </w:tabs>
    </w:pPr>
    <w:rPr>
      <w:lang w:val="en-US" w:eastAsia="en-US"/>
    </w:rPr>
  </w:style>
  <w:style w:type="character" w:styleId="1015">
    <w:name w:val="Верхний колонтитул Знак,Linie Знак,ВерхКолонтитул Знак"/>
    <w:next w:val="1015"/>
    <w:link w:val="1012"/>
    <w:uiPriority w:val="99"/>
    <w:rPr>
      <w:rFonts w:cs="Times New Roman"/>
      <w:sz w:val="24"/>
      <w:szCs w:val="24"/>
    </w:rPr>
  </w:style>
  <w:style w:type="paragraph" w:styleId="1016">
    <w:name w:val="Основной текст 2"/>
    <w:basedOn w:val="990"/>
    <w:next w:val="1016"/>
    <w:link w:val="1019"/>
    <w:pPr>
      <w:spacing w:after="120" w:line="480" w:lineRule="auto"/>
    </w:pPr>
    <w:rPr>
      <w:lang w:val="en-US" w:eastAsia="en-US"/>
    </w:rPr>
  </w:style>
  <w:style w:type="character" w:styleId="1017">
    <w:name w:val="Нижний колонтитул Знак"/>
    <w:next w:val="1017"/>
    <w:link w:val="1014"/>
    <w:uiPriority w:val="99"/>
    <w:semiHidden/>
    <w:rPr>
      <w:rFonts w:cs="Times New Roman"/>
      <w:sz w:val="24"/>
      <w:szCs w:val="24"/>
    </w:rPr>
  </w:style>
  <w:style w:type="table" w:styleId="1018">
    <w:name w:val="Сетка таблицы1"/>
    <w:next w:val="1018"/>
    <w:link w:val="990"/>
    <w:uiPriority w:val="99"/>
    <w:rPr>
      <w:lang w:val="ru-RU" w:eastAsia="ru-RU" w:bidi="ar-SA"/>
    </w:rPr>
    <w:tblPr/>
  </w:style>
  <w:style w:type="character" w:styleId="1019">
    <w:name w:val="Основной текст 2 Знак"/>
    <w:next w:val="1019"/>
    <w:link w:val="1016"/>
    <w:rPr>
      <w:rFonts w:cs="Times New Roman"/>
      <w:sz w:val="24"/>
      <w:szCs w:val="24"/>
    </w:rPr>
  </w:style>
  <w:style w:type="character" w:styleId="1020">
    <w:name w:val="Номер страницы"/>
    <w:next w:val="1020"/>
    <w:link w:val="990"/>
    <w:uiPriority w:val="99"/>
    <w:rPr>
      <w:rFonts w:cs="Times New Roman"/>
    </w:rPr>
  </w:style>
  <w:style w:type="paragraph" w:styleId="1021">
    <w:name w:val="Текст концевой сноски"/>
    <w:basedOn w:val="990"/>
    <w:next w:val="1021"/>
    <w:link w:val="1023"/>
    <w:uiPriority w:val="99"/>
    <w:semiHidden/>
    <w:rPr>
      <w:sz w:val="20"/>
      <w:szCs w:val="20"/>
      <w:lang w:val="en-US" w:eastAsia="en-US"/>
    </w:rPr>
  </w:style>
  <w:style w:type="character" w:styleId="1022">
    <w:name w:val="Знак концевой сноски"/>
    <w:next w:val="1022"/>
    <w:link w:val="990"/>
    <w:uiPriority w:val="99"/>
    <w:semiHidden/>
    <w:rPr>
      <w:rFonts w:cs="Times New Roman"/>
      <w:vertAlign w:val="superscript"/>
    </w:rPr>
  </w:style>
  <w:style w:type="character" w:styleId="1023">
    <w:name w:val="Текст концевой сноски Знак"/>
    <w:next w:val="1023"/>
    <w:link w:val="1021"/>
    <w:uiPriority w:val="99"/>
    <w:semiHidden/>
    <w:rPr>
      <w:rFonts w:cs="Times New Roman"/>
    </w:rPr>
  </w:style>
  <w:style w:type="character" w:styleId="1024">
    <w:name w:val="Гиперссылка"/>
    <w:next w:val="1024"/>
    <w:link w:val="990"/>
    <w:uiPriority w:val="99"/>
    <w:rPr>
      <w:rFonts w:cs="Times New Roman"/>
      <w:color w:val="0000ff"/>
      <w:u w:val="single"/>
    </w:rPr>
  </w:style>
  <w:style w:type="paragraph" w:styleId="1025">
    <w:name w:val="Рецензия"/>
    <w:next w:val="1025"/>
    <w:link w:val="990"/>
    <w:hidden/>
    <w:uiPriority w:val="99"/>
    <w:semiHidden/>
    <w:rPr>
      <w:sz w:val="24"/>
      <w:szCs w:val="24"/>
      <w:lang w:val="ru-RU" w:eastAsia="ru-RU" w:bidi="ar-SA"/>
    </w:rPr>
  </w:style>
  <w:style w:type="paragraph" w:styleId="1026">
    <w:name w:val="Абзац списка,Table-Normal,RSHB_Table-Normal,Список с узором,List Paragraph"/>
    <w:basedOn w:val="990"/>
    <w:next w:val="1026"/>
    <w:link w:val="1027"/>
    <w:uiPriority w:val="34"/>
    <w:qFormat/>
    <w:pPr>
      <w:contextualSpacing/>
      <w:ind w:left="720"/>
      <w:spacing w:after="160" w:line="259" w:lineRule="auto"/>
    </w:pPr>
    <w:rPr>
      <w:rFonts w:ascii="Calibri" w:hAnsi="Calibri" w:eastAsia="Calibri"/>
      <w:sz w:val="22"/>
      <w:szCs w:val="22"/>
      <w:lang w:eastAsia="en-US"/>
    </w:rPr>
  </w:style>
  <w:style w:type="character" w:styleId="1027">
    <w:name w:val="Абзац списка Знак,Table-Normal Знак,RSHB_Table-Normal Знак,Список с узором Знак,List Paragraph Знак"/>
    <w:next w:val="1027"/>
    <w:link w:val="1026"/>
    <w:uiPriority w:val="34"/>
    <w:rPr>
      <w:rFonts w:ascii="Calibri" w:hAnsi="Calibri" w:eastAsia="Calibri"/>
      <w:sz w:val="22"/>
      <w:szCs w:val="22"/>
      <w:lang w:eastAsia="en-US"/>
    </w:rPr>
  </w:style>
  <w:style w:type="character" w:styleId="1028" w:default="1">
    <w:name w:val="Default Paragraph Font"/>
    <w:uiPriority w:val="1"/>
    <w:semiHidden/>
    <w:unhideWhenUsed/>
  </w:style>
  <w:style w:type="numbering" w:styleId="1029" w:default="1">
    <w:name w:val="No List"/>
    <w:uiPriority w:val="99"/>
    <w:semiHidden/>
    <w:unhideWhenUsed/>
  </w:style>
  <w:style w:type="table" w:styleId="103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28</cp:revision>
  <dcterms:created xsi:type="dcterms:W3CDTF">2024-10-24T13:22:00Z</dcterms:created>
  <dcterms:modified xsi:type="dcterms:W3CDTF">2025-08-04T19:08:42Z</dcterms:modified>
  <cp:version>1048576</cp:version>
</cp:coreProperties>
</file>