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94" w:rsidRDefault="00361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61294" w:rsidRDefault="0036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36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АО «Россельхозбанк» (далее — Банк) настоящим направляет клиентам, заключившим соглашение об оказании брокерских услуг/Соглашение ИИС путем присоединения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условиям Регламента оказания брокерских услуг и услуг по инвестиционному консультированию АО «Россельхозбанк» № 15-Р, в том числе к Условиям оказания брокерских услуг с использованием индивидуального инвестиционного счета (Приложение 17 к Регламенту) (д</w:t>
      </w:r>
      <w:r>
        <w:rPr>
          <w:rFonts w:ascii="Times New Roman" w:eastAsia="Times New Roman" w:hAnsi="Times New Roman" w:cs="Times New Roman"/>
          <w:sz w:val="24"/>
          <w:szCs w:val="24"/>
        </w:rPr>
        <w:t>алее вместе – Стороны, Договор соответственно), руководствуясь пунктом 1.1.15 Регламента и в соответствии со ст. 421, ст. 435, ст. 436  ГК РФ, оферту на заключение Дополнительного соглашения к Договору о дополнении Договора пунктом 3.18 (далее — Дополнител</w:t>
      </w:r>
      <w:r>
        <w:rPr>
          <w:rFonts w:ascii="Times New Roman" w:eastAsia="Times New Roman" w:hAnsi="Times New Roman" w:cs="Times New Roman"/>
          <w:sz w:val="24"/>
          <w:szCs w:val="24"/>
        </w:rPr>
        <w:t>ьное соглашение и Оферта соответственно). Настоящая Оферта направляется Клиенту на следующих условиях:</w:t>
      </w:r>
    </w:p>
    <w:p w:rsidR="00361294" w:rsidRDefault="00361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294" w:rsidRDefault="00C06825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 соглашению Сторон в Договор вносится пункт 3.18 в следующей редакции: </w:t>
      </w:r>
    </w:p>
    <w:p w:rsidR="00361294" w:rsidRDefault="00361294">
      <w:pPr>
        <w:pStyle w:val="af9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«3.18 Особенности проведения операций, связанных с выкупом/приобретением эмит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ентами/третьими лицами иностранных ценных бумаг, условия выкупа/продажи которых раскрыты публично.</w:t>
      </w:r>
    </w:p>
    <w:p w:rsidR="00361294" w:rsidRDefault="0036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13.18.1. Клиент настоящим предоставляет Банку поручение совершать за счет и в интересах Клиента (третьего лица, за счет которого действует Клиент) одну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несколько сделок (операций) с иностранными ценными бумагами Клиента, указанными в пункте 13.18.5., и в отношении которых эмитентом/третьим лицом осуществляется выкуп/приобретение, при условии одновременного выполнения условий в отношении таких иностранных </w:t>
      </w:r>
      <w:r>
        <w:rPr>
          <w:rFonts w:ascii="Times New Roman" w:eastAsia="Times New Roman" w:hAnsi="Times New Roman" w:cs="Times New Roman"/>
          <w:sz w:val="24"/>
          <w:szCs w:val="24"/>
        </w:rPr>
        <w:t>ценных бумаг, указанных в пункте 13.18.4. (далее – Длящееся поручение).</w:t>
      </w:r>
    </w:p>
    <w:p w:rsidR="00361294" w:rsidRDefault="0036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в настоящем пункте сделки (операции) осуществляются на условиях, которые содержатся в пункте 13.18. 5.</w:t>
      </w:r>
    </w:p>
    <w:p w:rsidR="00361294" w:rsidRDefault="0036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 вправе в порядке в соответствии с пунктом 13.18.8 и срок, указ</w:t>
      </w:r>
      <w:r>
        <w:rPr>
          <w:rFonts w:ascii="Times New Roman" w:eastAsia="Times New Roman" w:hAnsi="Times New Roman" w:cs="Times New Roman"/>
          <w:sz w:val="24"/>
          <w:szCs w:val="24"/>
        </w:rPr>
        <w:t>анный в пункте 13.18.5, отказаться от совершения сделок/ операций (от подачи Длящегося поручения), и самостоятельно несет риск любых последствий, в том числе финансового характера, которые наступят в результате принятого Клиентом решения.</w:t>
      </w:r>
    </w:p>
    <w:p w:rsidR="00361294" w:rsidRDefault="0036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13.18.2. Банк и </w:t>
      </w:r>
      <w:r>
        <w:rPr>
          <w:rFonts w:ascii="Times New Roman" w:eastAsia="Times New Roman" w:hAnsi="Times New Roman" w:cs="Times New Roman"/>
          <w:sz w:val="24"/>
          <w:szCs w:val="24"/>
        </w:rPr>
        <w:t>Клиент пришли к соглашению в рамках Соглашения / Соглашения ИИС использовать Длящееся поручение о том, что если Клиент в срок, указанный в 13.18.5, не воспользовался своим правом на отказ, то Клиент поручает Банку совершить сделки (операции) в порядке,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и на условиях, указанных в настоящей Оферте. </w:t>
      </w: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Клиент признает и подтверждает, что настоящее Длящиеся поручение на сделки (операции), указанные в настоящей Оферте, исходит от Клиента и соответствует его интересам и инвестиционным целям,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предоставляет Банку все необходимые полномочия на совершение действий, направленных на заключение и исполнение предусмотренных настоящей Офертой сделок (операций), в том числе, но не ограничиваясь, направить в интересах Клиента оферты / предложения / акцеп</w:t>
      </w:r>
      <w:r>
        <w:rPr>
          <w:rFonts w:ascii="Times New Roman" w:eastAsia="Times New Roman" w:hAnsi="Times New Roman" w:cs="Times New Roman"/>
          <w:sz w:val="24"/>
          <w:szCs w:val="24"/>
        </w:rPr>
        <w:t>ты / торговые заявки / предоставить необходимые документы. Настоящим Клиент заявляет Банку об отсутствии каких-либо претензий, связанных с заключением сделок (операций) в порядке, указанном в настоящем пункте Регламента.</w:t>
      </w:r>
    </w:p>
    <w:p w:rsidR="00361294" w:rsidRDefault="0036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13.18.3. Срок действия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Длящегося поручения –– по 07.11.2024 (включительно) или иная дата, в случае продления Компанией срока для совершения сделок/операций в рамках Меморандума (как данный термин определен далее).</w:t>
      </w:r>
    </w:p>
    <w:p w:rsidR="00361294" w:rsidRDefault="003612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13.18.4. Настоящее Длящиеся </w:t>
      </w:r>
      <w:r>
        <w:rPr>
          <w:rFonts w:ascii="Times New Roman" w:eastAsia="Times New Roman" w:hAnsi="Times New Roman" w:cs="Times New Roman"/>
          <w:sz w:val="24"/>
          <w:szCs w:val="24"/>
        </w:rPr>
        <w:t>поручение считается поданным Клиентом Банку (в случае не реализации Клиентом права на отказ от Длящегося поручения) при наличии у Клиента положительной Плановой позиции по ценным бумагам — глобальные депозитарные расписки (ISIN US37949E2046), удостоверяющи</w:t>
      </w:r>
      <w:r>
        <w:rPr>
          <w:rFonts w:ascii="Times New Roman" w:eastAsia="Times New Roman" w:hAnsi="Times New Roman" w:cs="Times New Roman"/>
          <w:sz w:val="24"/>
          <w:szCs w:val="24"/>
        </w:rPr>
        <w:t>е права в отношении обыкновенных акций компании Глобалтранс Инвестмент ПЛС (Globaltrans Investment PLC), зарегистрированной в соответствии с законодательством Международного финансового центра Abu Dhabi Global Market (ADGM) за номером 15740, находящейся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адресу: ОАЭ, Абу Даби, Остров Аль Марьях, площадь Абу Даби Глобал Маркет, Аль Сила Тауэр, 6-й этаж, юнит 3 (Unit 3, Floor 6, Al Sila Tower, Abu Dhabi Global Market Square, Al Maryah Island, Abu Dhabi, UAE) (далее – «Globaltrans»), права на которые учитыва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ются на счетах депо в Небанковской кредитной организации акционерном обществе «Национальный расчетный депозитарий», ОГРН 1027739132563 (далее – НРД), или в иных российских депозитариях через цепочку учета прав, включающую НРД (далее – Депозитарии под НРД)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ГДР Глобалтранс), в отношении которых одновременно соблюдаются следующие условия:</w:t>
      </w:r>
    </w:p>
    <w:p w:rsidR="00361294" w:rsidRDefault="00C0682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направлено приглашение направить оферту Обществу с ограниченной ответственностью «ГТИ ФИНАНС», зарегистрированному в соответствии с законодательством Российской Феде</w:t>
      </w:r>
      <w:r>
        <w:rPr>
          <w:rFonts w:ascii="Times New Roman" w:eastAsia="Times New Roman" w:hAnsi="Times New Roman" w:cs="Times New Roman"/>
          <w:sz w:val="24"/>
          <w:szCs w:val="24"/>
        </w:rPr>
        <w:t>рации за основным государственным регистрационным номером (ОГРН) 1247700572701, ИНН 9701295221, находящимся по адресу: Российская Федерация, 105066, г. Москва, вн. тер. г. муниципальный округ Басманный, ул. Нижняя Красносельская, д. 39, стр. 1 (далее –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пания), раскрытому на официальном сайте Компании по адресу </w:t>
      </w:r>
      <w:hyperlink r:id="rId7" w:history="1">
        <w:r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www.globaltrans.com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08.10.2024 в виде «Меморандума Общества с ограниченной ответственностью «ГТИ ФИНАНС» в отношении приглашения делать оферты о продаже </w:t>
      </w:r>
      <w:r>
        <w:rPr>
          <w:rFonts w:ascii="Times New Roman" w:eastAsia="Times New Roman" w:hAnsi="Times New Roman" w:cs="Times New Roman"/>
          <w:sz w:val="24"/>
          <w:szCs w:val="24"/>
        </w:rPr>
        <w:t>глобальных депозитарных расписок Globaltrans Investment PLC на условиях описанных ниже» (далее – Меморандум);</w:t>
      </w:r>
    </w:p>
    <w:p w:rsidR="00361294" w:rsidRDefault="00C0682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на ГДР Глобалтранс учитываются на счете депо Клиента по состоянию на 02.11.2024 г. (включительно);</w:t>
      </w:r>
    </w:p>
    <w:p w:rsidR="00361294" w:rsidRDefault="00C0682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 не направил депозитарное поручение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 списании ГДР Глобалтранс со счета депо клиента по состоянию на 02.11.2024 г. (включительно);</w:t>
      </w:r>
    </w:p>
    <w:p w:rsidR="00361294" w:rsidRDefault="00C0682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 не направил Банку Поручение на продажу ГДР Глобалтранс по состоянию на 02.11.2024 г. (включительно).</w:t>
      </w:r>
    </w:p>
    <w:p w:rsidR="00361294" w:rsidRDefault="0036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13.18.5. Клиент, не воспользовавшийся своим правом </w:t>
      </w:r>
      <w:r>
        <w:rPr>
          <w:rFonts w:ascii="Times New Roman" w:eastAsia="Times New Roman" w:hAnsi="Times New Roman" w:cs="Times New Roman"/>
          <w:sz w:val="24"/>
          <w:szCs w:val="24"/>
        </w:rPr>
        <w:t>на отказ от подачи Длящегося поручения в срок не позднее 14:30 по московскому времени 06 ноября 2024 г., настоящим поручает Банку направить оферту Компании и в случае акцепта Компанией оферты заключить сделку/и по продаже ГДР Глобалтранс, в отношении котор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направлена оферта, со следующими параметрами: </w:t>
      </w:r>
    </w:p>
    <w:p w:rsidR="00361294" w:rsidRDefault="0036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ценной 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глобальные депозитарные расписки, удостоверяющие права в отношении обыкновенных акций компании Глобалтранс Инвестмент ПЛС (Globaltrans Investment PLC) зарегистрированной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законодательством Международного финансового центра Abu Dhabi Global Market (ADGM) за номером 15740, находящейся по адресу: ОАЭ, Абу Даби, Остров Аль Марьях, площадь Абу Даби Глобал Маркет, Аль Сила Тауэр, 6-й этаж, юнит 3 (Unit 3, Floor 6, Al S</w:t>
      </w:r>
      <w:r>
        <w:rPr>
          <w:rFonts w:ascii="Times New Roman" w:eastAsia="Times New Roman" w:hAnsi="Times New Roman" w:cs="Times New Roman"/>
          <w:sz w:val="24"/>
          <w:szCs w:val="24"/>
        </w:rPr>
        <w:t>ila Tower, Abu Dhabi Global Market Square, Al Maryah Island, Abu Dhabi, UAE).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ISIN ценной 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US37949E2046.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заключения сделки продажи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дата акцепта оферты Клиента, поданной Банком в соответствии с Предложением Компании.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Дата совершения сделки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одажи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- 06.11.2024 или иная дата, в случае продления Компанией срока для совершения сделок/операций в рамках Меморандума.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заключения сделки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время акцепта Компанией оферты Клиента, поданной Банком в соответствии с Меморандумом.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сделки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Продажа </w:t>
      </w:r>
      <w:r>
        <w:rPr>
          <w:rFonts w:ascii="Times New Roman" w:eastAsia="Times New Roman" w:hAnsi="Times New Roman" w:cs="Times New Roman"/>
          <w:sz w:val="24"/>
          <w:szCs w:val="24"/>
        </w:rPr>
        <w:t>ценных бумаг.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ценных бумаг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положительная Плановая позиция по ГДР Глобалтранс, права на которые учитываются на счете депо клиента, определенная Банком по состоянию на 15-00 по московскому времени Даты совершения сделки продажи.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</w:rPr>
        <w:t>за 1 (Одну) единицу ГДР Глобалтранс - 520 (пятьсот двадцать) рублей 00 копеек.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Контрагент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компания ООО «АЛОР +» (ОГРН 1027700075941), Лицензия профессионального участника рынка ценных бумаг на осуществление брокерской деятельности № 077-04827-100000 от 1</w:t>
      </w:r>
      <w:r>
        <w:rPr>
          <w:rFonts w:ascii="Times New Roman" w:eastAsia="Times New Roman" w:hAnsi="Times New Roman" w:cs="Times New Roman"/>
          <w:sz w:val="24"/>
          <w:szCs w:val="24"/>
        </w:rPr>
        <w:t>3.03.2001 г., представляющая Компанию.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совершения сделки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Организованный (биржевой) рынок (организованные торги) ПАО Московская Биржа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расчетов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Т0.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Валюта номинала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клиента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клиент Банка, имеющий положительную Плановую позиц</w:t>
      </w:r>
      <w:r>
        <w:rPr>
          <w:rFonts w:ascii="Times New Roman" w:eastAsia="Times New Roman" w:hAnsi="Times New Roman" w:cs="Times New Roman"/>
          <w:sz w:val="24"/>
          <w:szCs w:val="24"/>
        </w:rPr>
        <w:t>ию по ГДР Глобалтранс, права на которые учитываются на счете депо клиента, определенный Банком по состоянию на 15-00 по московскому времени Даты совершения сделки продажи.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Клиент уведомлен Банком о том, что указанные в настоящем Длящемся поручении и Мемор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андуме Компании в отношении приглашения делать оферты сроки являются индикативными и могут быть пересмотрены Компанией, а также зависят от действий третьих лиц, которые находятся вне контроля Компании. </w:t>
      </w:r>
    </w:p>
    <w:p w:rsidR="00361294" w:rsidRDefault="00C068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13.18.6. </w:t>
      </w:r>
      <w:r>
        <w:rPr>
          <w:rFonts w:ascii="Times New Roman" w:eastAsia="Times New Roman" w:hAnsi="Times New Roman" w:cs="Times New Roman"/>
          <w:sz w:val="24"/>
          <w:szCs w:val="24"/>
        </w:rPr>
        <w:t>Клиент подтверждает Банку ознакомление Клиента с Меморандумом Компании, в том числе с информацией, указанной:</w:t>
      </w:r>
    </w:p>
    <w:p w:rsidR="00361294" w:rsidRDefault="00C068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разделе 3 Меморандума «ПРЕДПОСЫЛКИ ПРИГЛАШЕНИЯ»;</w:t>
      </w:r>
    </w:p>
    <w:p w:rsidR="00361294" w:rsidRDefault="00C068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разделе 4 Меморандума «ОПРЕДЕЛЕННЫЕ ПОСЛЕДСТВИЯ ПРИГЛАШЕНИЯ И ПОТЕНЦИАЛЬНЫЕ РИСКИ ДЛЯ ВЛАД</w:t>
      </w:r>
      <w:r>
        <w:rPr>
          <w:rFonts w:ascii="Times New Roman" w:eastAsia="Times New Roman" w:hAnsi="Times New Roman" w:cs="Times New Roman"/>
          <w:sz w:val="24"/>
          <w:szCs w:val="24"/>
        </w:rPr>
        <w:t>ЕЛЬЦЕВ ГДР GLOBALTRANS».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Клиент подтверждает Банку согласие Клиента с условиями сделки/ок по продаже Банком Контрагенту ценных бумаг - ГДР Глобалтранс на условиях, содержащихся в Меморандуме Компании в отношении приглашения делать оферты и в настоящей Офе</w:t>
      </w:r>
      <w:r>
        <w:rPr>
          <w:rFonts w:ascii="Times New Roman" w:eastAsia="Times New Roman" w:hAnsi="Times New Roman" w:cs="Times New Roman"/>
          <w:sz w:val="24"/>
          <w:szCs w:val="24"/>
        </w:rPr>
        <w:t>рте Банка.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Клиент подтверждает Банку принятие на себя Клиентом в полном объеме рисков и последствий, указанных в Меморандуме Компании.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Клиент уведомлен Банком о том, что Клиент, отчуждая ГДР Глобалтранс в рамках сделки, заключенной Банком с Контрагентом </w:t>
      </w:r>
      <w:r>
        <w:rPr>
          <w:rFonts w:ascii="Times New Roman" w:eastAsia="Times New Roman" w:hAnsi="Times New Roman" w:cs="Times New Roman"/>
          <w:sz w:val="24"/>
          <w:szCs w:val="24"/>
        </w:rPr>
        <w:t>на условиях, содержащихся в Меморандуме Компании в отношении приглашения делать оферты, утратит возможность получения экономической выгоды от любого потенциального увеличения стоимости акций, права на которые удостоверяются ГДР Глобалтранс, после завершени</w:t>
      </w:r>
      <w:r>
        <w:rPr>
          <w:rFonts w:ascii="Times New Roman" w:eastAsia="Times New Roman" w:hAnsi="Times New Roman" w:cs="Times New Roman"/>
          <w:sz w:val="24"/>
          <w:szCs w:val="24"/>
        </w:rPr>
        <w:t>я сделки, в том числе в результате возможного ослабления иностранных ограничений и российских антисанкционных мер/ограничений и/или улучшения рыночных условий.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пришли к соглашению считать сделки, заключенные во исполнение указанного Длящегося пору</w:t>
      </w:r>
      <w:r>
        <w:rPr>
          <w:rFonts w:ascii="Times New Roman" w:eastAsia="Times New Roman" w:hAnsi="Times New Roman" w:cs="Times New Roman"/>
          <w:sz w:val="24"/>
          <w:szCs w:val="24"/>
        </w:rPr>
        <w:t>чения, договорами, заключенными на лучших доступных Банку условиях.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пришли к соглашению о том, что в случае заключения указанных сделок Банк не несет ответственности за убытки, в том числе упущенную выгоду Клиента (неполученные доходы), иные эконо</w:t>
      </w:r>
      <w:r>
        <w:rPr>
          <w:rFonts w:ascii="Times New Roman" w:eastAsia="Times New Roman" w:hAnsi="Times New Roman" w:cs="Times New Roman"/>
          <w:sz w:val="24"/>
          <w:szCs w:val="24"/>
        </w:rPr>
        <w:t>мические и правовые последствия, а также за понесенные Клиентом расходы, связанные с заключением Банком указанных сделок.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Стороны пришли к соглашению о том, что в случае невозможности заключения (не заключения) указанных сделок (в том числе в случае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зации Компанией своего права на отказ от акцепта оферты Клиента, поданной Банком), Банк не несет ответственности за убытки Клиента, в том числе упущенную выгоду Клиента, иные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экономические и правовые последствия, а также за понесенные Клиентом расходы, свя</w:t>
      </w:r>
      <w:r>
        <w:rPr>
          <w:rFonts w:ascii="Times New Roman" w:eastAsia="Times New Roman" w:hAnsi="Times New Roman" w:cs="Times New Roman"/>
          <w:sz w:val="24"/>
          <w:szCs w:val="24"/>
        </w:rPr>
        <w:t>занные с невозможностью заключения (не заключением) указанных сделок.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13.18.7. Стороны пришли к соглашению о том, что настоящая Оферта, направленная Банком на адрес электронной почты, указанный Клиентом в Анкете, считается полученной Клиентом в момент ее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 указанным в настоящем пункте способом.</w:t>
      </w:r>
    </w:p>
    <w:p w:rsidR="00361294" w:rsidRDefault="00C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Настоящая Оферта раскрывается также на сайте Банка</w:t>
      </w:r>
      <w:r>
        <w:rPr>
          <w:sz w:val="24"/>
          <w:szCs w:val="24"/>
        </w:rPr>
        <w:t xml:space="preserve"> </w:t>
      </w:r>
      <w:hyperlink r:id="rId8" w:tooltip="http://www.rshb.ru" w:history="1">
        <w:r>
          <w:rPr>
            <w:rStyle w:val="af"/>
            <w:sz w:val="24"/>
            <w:szCs w:val="24"/>
          </w:rPr>
          <w:t>http://www.rshb.ru</w:t>
        </w:r>
      </w:hyperlink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13.18.8. Клиент вправе направить Банку отказ от Длящегося поручения:</w:t>
      </w:r>
    </w:p>
    <w:p w:rsidR="00361294" w:rsidRDefault="00C0682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sz w:val="24"/>
          <w:szCs w:val="24"/>
        </w:rPr>
        <w:t>тронной форме, в виде ответного сообщения на настоящее Предложение;</w:t>
      </w:r>
    </w:p>
    <w:p w:rsidR="00361294" w:rsidRDefault="00C0682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носителе, подписанного Клиентом собственноручно в присутствии работника Банка с удостоверением указанной подписи работником Банка и врученного работнику Банка, либо подписанног</w:t>
      </w:r>
      <w:r>
        <w:rPr>
          <w:rFonts w:ascii="Times New Roman" w:eastAsia="Times New Roman" w:hAnsi="Times New Roman" w:cs="Times New Roman"/>
          <w:sz w:val="24"/>
          <w:szCs w:val="24"/>
        </w:rPr>
        <w:t>о Клиентом собственноручно с удостоверением указанной подписи нотариусом и направленного курьерской службой (службой экспресс доставки) или предварительно оплаченным заказным письмом с уведомлением о вручении, либо ценным почтовым отправлением с уведомлени</w:t>
      </w:r>
      <w:r>
        <w:rPr>
          <w:rFonts w:ascii="Times New Roman" w:eastAsia="Times New Roman" w:hAnsi="Times New Roman" w:cs="Times New Roman"/>
          <w:sz w:val="24"/>
          <w:szCs w:val="24"/>
        </w:rPr>
        <w:t>ем о вручении с описью вложения по адресу места нахождения Банка.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13.18.9. Акцептом Оферты по заключению Дополнительного соглашения является:</w:t>
      </w:r>
    </w:p>
    <w:p w:rsidR="00361294" w:rsidRDefault="00C06825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Клиентом наличия на Торговом счете и соответствующем счете депо ценных бумаг - ГДР Глобалтранс состоя</w:t>
      </w:r>
      <w:r>
        <w:rPr>
          <w:rFonts w:ascii="Times New Roman" w:eastAsia="Times New Roman" w:hAnsi="Times New Roman" w:cs="Times New Roman"/>
          <w:sz w:val="24"/>
          <w:szCs w:val="24"/>
        </w:rPr>
        <w:t>нию на 15-00 московского времени 06.11.2024 г. (включительно).</w:t>
      </w:r>
    </w:p>
    <w:p w:rsidR="00361294" w:rsidRDefault="00C06825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 направление Клиентом Банку отказа от Длящегося поручения в срок не позднее 06.11.2024 г. (до 14:30 по московскому времени)  включительно. 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13.18.10. По соглашению Сторон датой заключения До</w:t>
      </w:r>
      <w:r>
        <w:rPr>
          <w:rFonts w:ascii="Times New Roman" w:eastAsia="Times New Roman" w:hAnsi="Times New Roman" w:cs="Times New Roman"/>
          <w:sz w:val="24"/>
          <w:szCs w:val="24"/>
        </w:rPr>
        <w:t>полнительного соглашения и датой вступления в  силу Дополнительного соглашения является дата его акцепта Клиентом в соответствии с пунктом 13.18.9.</w:t>
      </w:r>
    </w:p>
    <w:p w:rsidR="00361294" w:rsidRDefault="00C0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13.18.11. По соглашению Сторон Дополнительное соглашение действует до 07.11.2024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 или в случае продления Компанией срока для совершения сделок/операций с ГДР Глобалтранс – до даты завершения расчетов по заключенным сделкам/операциям в зависимости от того, какая дата наступает позднее. </w:t>
      </w:r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Положения Регламента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установленные пунктом 7.2.3. Регламента в части предварительного раскрытия изменений/дополнений к Регламенту, не применяются к Дополнительному соглашению. </w:t>
      </w:r>
    </w:p>
    <w:p w:rsidR="00361294" w:rsidRDefault="00C06825">
      <w:pPr>
        <w:pStyle w:val="13"/>
        <w:tabs>
          <w:tab w:val="clear" w:pos="3744"/>
          <w:tab w:val="clear" w:pos="7488"/>
        </w:tabs>
        <w:spacing w:after="0" w:line="240" w:lineRule="auto"/>
        <w:ind w:left="0"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1" w:name="_Toc117608126"/>
      <w:r>
        <w:rPr>
          <w:sz w:val="24"/>
          <w:szCs w:val="24"/>
        </w:rPr>
        <w:t>Положения пункта 3.7.4. Регламента не применяются к Длящемуся поручению, предоставленному Клиен</w:t>
      </w:r>
      <w:r>
        <w:rPr>
          <w:sz w:val="24"/>
          <w:szCs w:val="24"/>
        </w:rPr>
        <w:t xml:space="preserve">том в соответствии с настоящей Офертой. </w:t>
      </w:r>
      <w:bookmarkEnd w:id="1"/>
    </w:p>
    <w:p w:rsidR="00361294" w:rsidRDefault="00C06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Дополнительное соглашение является неотъемлемой частью Договора. </w:t>
      </w:r>
    </w:p>
    <w:sectPr w:rsidR="003612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25" w:rsidRDefault="00C06825">
      <w:pPr>
        <w:spacing w:after="0" w:line="240" w:lineRule="auto"/>
      </w:pPr>
      <w:r>
        <w:separator/>
      </w:r>
    </w:p>
  </w:endnote>
  <w:endnote w:type="continuationSeparator" w:id="0">
    <w:p w:rsidR="00C06825" w:rsidRDefault="00C0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25" w:rsidRDefault="00C06825">
      <w:pPr>
        <w:spacing w:after="0" w:line="240" w:lineRule="auto"/>
      </w:pPr>
      <w:r>
        <w:separator/>
      </w:r>
    </w:p>
  </w:footnote>
  <w:footnote w:type="continuationSeparator" w:id="0">
    <w:p w:rsidR="00C06825" w:rsidRDefault="00C0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C0C"/>
    <w:multiLevelType w:val="hybridMultilevel"/>
    <w:tmpl w:val="A516DED4"/>
    <w:lvl w:ilvl="0" w:tplc="10C495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DC2A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4EB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E9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5EC4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FA10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C01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105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E00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345434"/>
    <w:multiLevelType w:val="hybridMultilevel"/>
    <w:tmpl w:val="41F49F1E"/>
    <w:lvl w:ilvl="0" w:tplc="D64A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A6DDE8">
      <w:start w:val="1"/>
      <w:numFmt w:val="lowerLetter"/>
      <w:lvlText w:val="%2."/>
      <w:lvlJc w:val="left"/>
      <w:pPr>
        <w:ind w:left="1788" w:hanging="360"/>
      </w:pPr>
    </w:lvl>
    <w:lvl w:ilvl="2" w:tplc="B54A56B0">
      <w:start w:val="1"/>
      <w:numFmt w:val="lowerRoman"/>
      <w:lvlText w:val="%3."/>
      <w:lvlJc w:val="right"/>
      <w:pPr>
        <w:ind w:left="2508" w:hanging="180"/>
      </w:pPr>
    </w:lvl>
    <w:lvl w:ilvl="3" w:tplc="F7C61F2E">
      <w:start w:val="1"/>
      <w:numFmt w:val="decimal"/>
      <w:lvlText w:val="%4."/>
      <w:lvlJc w:val="left"/>
      <w:pPr>
        <w:ind w:left="3228" w:hanging="360"/>
      </w:pPr>
    </w:lvl>
    <w:lvl w:ilvl="4" w:tplc="8C6A3E2A">
      <w:start w:val="1"/>
      <w:numFmt w:val="lowerLetter"/>
      <w:lvlText w:val="%5."/>
      <w:lvlJc w:val="left"/>
      <w:pPr>
        <w:ind w:left="3948" w:hanging="360"/>
      </w:pPr>
    </w:lvl>
    <w:lvl w:ilvl="5" w:tplc="38EC424A">
      <w:start w:val="1"/>
      <w:numFmt w:val="lowerRoman"/>
      <w:lvlText w:val="%6."/>
      <w:lvlJc w:val="right"/>
      <w:pPr>
        <w:ind w:left="4668" w:hanging="180"/>
      </w:pPr>
    </w:lvl>
    <w:lvl w:ilvl="6" w:tplc="90266FBC">
      <w:start w:val="1"/>
      <w:numFmt w:val="decimal"/>
      <w:lvlText w:val="%7."/>
      <w:lvlJc w:val="left"/>
      <w:pPr>
        <w:ind w:left="5388" w:hanging="360"/>
      </w:pPr>
    </w:lvl>
    <w:lvl w:ilvl="7" w:tplc="0E72AFEC">
      <w:start w:val="1"/>
      <w:numFmt w:val="lowerLetter"/>
      <w:lvlText w:val="%8."/>
      <w:lvlJc w:val="left"/>
      <w:pPr>
        <w:ind w:left="6108" w:hanging="360"/>
      </w:pPr>
    </w:lvl>
    <w:lvl w:ilvl="8" w:tplc="9668A14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4A13E8"/>
    <w:multiLevelType w:val="hybridMultilevel"/>
    <w:tmpl w:val="9C0C0D26"/>
    <w:lvl w:ilvl="0" w:tplc="C71CF1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AAA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9CE7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DE1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FCF3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E2A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C20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24E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04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B2D2F90"/>
    <w:multiLevelType w:val="hybridMultilevel"/>
    <w:tmpl w:val="B5760E1C"/>
    <w:lvl w:ilvl="0" w:tplc="CBDA11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0104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18A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528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DEA7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4A8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6EC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26A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E62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94"/>
    <w:rsid w:val="00361294"/>
    <w:rsid w:val="00C06825"/>
    <w:rsid w:val="00C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ADF"/>
  <w15:docId w15:val="{BEF1E492-163C-4201-8165-30941381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paragraph" w:customStyle="1" w:styleId="13">
    <w:name w:val="Абзац списка1"/>
    <w:basedOn w:val="a"/>
    <w:pPr>
      <w:widowControl w:val="0"/>
      <w:tabs>
        <w:tab w:val="left" w:pos="3744"/>
        <w:tab w:val="left" w:pos="7488"/>
      </w:tabs>
      <w:spacing w:after="60" w:line="360" w:lineRule="atLeast"/>
      <w:ind w:left="720"/>
      <w:contextualSpacing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tr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Кузнецова Светлана Алексеевна</cp:lastModifiedBy>
  <cp:revision>2</cp:revision>
  <dcterms:created xsi:type="dcterms:W3CDTF">2024-11-02T17:35:00Z</dcterms:created>
  <dcterms:modified xsi:type="dcterms:W3CDTF">2024-11-02T17:35:00Z</dcterms:modified>
</cp:coreProperties>
</file>