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07"/>
              <w:jc w:val="center"/>
              <w:rPr>
                <w:rFonts w:ascii="Cambria" w:hAnsi="Cambria"/>
                <w:caps/>
                <w:sz w:val="32"/>
                <w:szCs w:val="32"/>
              </w:rPr>
            </w:pPr>
            <w:r>
              <w:rPr>
                <w:rFonts w:ascii="Cambria" w:hAnsi="Cambria"/>
                <w:sz w:val="32"/>
                <w:szCs w:val="32"/>
              </w:rPr>
              <w:t xml:space="preserve">РФ АО </w:t>
            </w:r>
            <w:r>
              <w:rPr>
                <w:rFonts w:ascii="Cambria" w:hAnsi="Cambria"/>
                <w:caps/>
                <w:sz w:val="32"/>
                <w:szCs w:val="32"/>
              </w:rPr>
              <w:t xml:space="preserve"> «РОССЕЛЬХОЗБАНК»</w:t>
            </w:r>
            <w:r>
              <w:rPr>
                <w:rFonts w:ascii="Cambria" w:hAnsi="Cambria"/>
                <w:caps/>
                <w:sz w:val="32"/>
                <w:szCs w:val="32"/>
              </w:rPr>
              <w:t xml:space="preserve"> - «ЦРМБ»</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07"/>
              <w:jc w:val="center"/>
              <w:rPr>
                <w:rFonts w:ascii="Cambria" w:hAnsi="Cambria"/>
                <w:sz w:val="48"/>
                <w:szCs w:val="48"/>
              </w:rPr>
            </w:pPr>
            <w:r>
              <w:rPr>
                <w:rFonts w:ascii="Cambria" w:hAnsi="Cambria"/>
                <w:sz w:val="48"/>
                <w:szCs w:val="48"/>
              </w:rPr>
              <w:t xml:space="preserve">ТАРИФЫ КОМИССИОННОГО</w:t>
            </w:r>
            <w:r>
              <w:rPr>
                <w:rFonts w:ascii="Cambria" w:hAnsi="Cambria"/>
                <w:sz w:val="48"/>
                <w:szCs w:val="48"/>
              </w:rPr>
            </w:r>
            <w:r>
              <w:rPr>
                <w:rFonts w:ascii="Cambria" w:hAnsi="Cambria"/>
                <w:sz w:val="48"/>
                <w:szCs w:val="48"/>
              </w:rPr>
            </w:r>
          </w:p>
          <w:p>
            <w:pPr>
              <w:pStyle w:val="1007"/>
              <w:jc w:val="center"/>
              <w:rPr>
                <w:rFonts w:ascii="Cambria" w:hAnsi="Cambria"/>
                <w:sz w:val="48"/>
                <w:szCs w:val="48"/>
              </w:rPr>
            </w:pPr>
            <w:r>
              <w:rPr>
                <w:rFonts w:ascii="Cambria" w:hAnsi="Cambria"/>
                <w:sz w:val="48"/>
                <w:szCs w:val="48"/>
              </w:rPr>
              <w:t xml:space="preserve">ВОЗНАГРАЖДЕНИЯ НА УСЛУГИ</w:t>
            </w:r>
            <w:r>
              <w:rPr>
                <w:rFonts w:ascii="Cambria" w:hAnsi="Cambria"/>
                <w:sz w:val="48"/>
                <w:szCs w:val="48"/>
              </w:rPr>
            </w:r>
            <w:r>
              <w:rPr>
                <w:rFonts w:ascii="Cambria" w:hAnsi="Cambria"/>
                <w:sz w:val="48"/>
                <w:szCs w:val="48"/>
              </w:rPr>
            </w:r>
          </w:p>
          <w:p>
            <w:pPr>
              <w:pStyle w:val="1007"/>
              <w:jc w:val="center"/>
              <w:rPr>
                <w:rFonts w:ascii="Cambria" w:hAnsi="Cambria"/>
                <w:sz w:val="80"/>
                <w:szCs w:val="80"/>
              </w:rPr>
            </w:pPr>
            <w:r>
              <w:rPr>
                <w:rFonts w:ascii="Cambria" w:hAnsi="Cambria"/>
                <w:sz w:val="48"/>
                <w:szCs w:val="48"/>
              </w:rPr>
              <w:t xml:space="preserve">КРЕДИТНЫМ ОРГАНИЗАЦИЯМ</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007"/>
              <w:jc w:val="center"/>
            </w:pPr>
            <w:r/>
            <w:r/>
          </w:p>
        </w:tc>
      </w:tr>
      <w:tr>
        <w:tblPrEx/>
        <w:trPr>
          <w:trHeight w:val="360"/>
        </w:trPr>
        <w:tc>
          <w:tcPr>
            <w:tcBorders>
              <w:top w:val="single" w:color="008444" w:sz="12" w:space="0"/>
            </w:tcBorders>
            <w:tcW w:w="5000" w:type="pct"/>
            <w:vAlign w:val="center"/>
            <w:textDirection w:val="lrTb"/>
            <w:noWrap w:val="false"/>
          </w:tcPr>
          <w:p>
            <w:pPr>
              <w:pStyle w:val="965"/>
              <w:jc w:val="center"/>
              <w:rPr>
                <w:rFonts w:ascii="Calibri" w:hAnsi="Calibri"/>
              </w:rPr>
            </w:pPr>
            <w:r>
              <w:rPr>
                <w:rFonts w:ascii="Calibri" w:hAnsi="Calibri"/>
              </w:rPr>
            </w:r>
            <w:r>
              <w:rPr>
                <w:rFonts w:ascii="Calibri" w:hAnsi="Calibri"/>
              </w:rPr>
            </w:r>
            <w:r>
              <w:rPr>
                <w:rFonts w:ascii="Calibri" w:hAnsi="Calibri"/>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07"/>
              <w:jc w:val="center"/>
              <w:rPr>
                <w:sz w:val="32"/>
                <w:szCs w:val="32"/>
              </w:rPr>
            </w:pPr>
            <w:r>
              <w:rPr>
                <w:sz w:val="32"/>
                <w:szCs w:val="32"/>
              </w:rPr>
              <w:t xml:space="preserve">действуют</w:t>
            </w:r>
            <w:r>
              <w:rPr>
                <w:sz w:val="32"/>
                <w:szCs w:val="32"/>
              </w:rPr>
              <w:t xml:space="preserve"> </w:t>
            </w:r>
            <w:r>
              <w:rPr>
                <w:sz w:val="32"/>
                <w:szCs w:val="32"/>
              </w:rPr>
              <w:t xml:space="preserve">с</w:t>
            </w:r>
            <w:r>
              <w:rPr>
                <w:sz w:val="32"/>
                <w:szCs w:val="32"/>
              </w:rPr>
              <w:t xml:space="preserve"> </w:t>
            </w:r>
            <w:r>
              <w:rPr>
                <w:sz w:val="32"/>
                <w:szCs w:val="32"/>
              </w:rPr>
              <w:t xml:space="preserve">26</w:t>
            </w:r>
            <w:r>
              <w:rPr>
                <w:sz w:val="32"/>
                <w:szCs w:val="32"/>
              </w:rPr>
              <w:t xml:space="preserve">.11</w:t>
            </w:r>
            <w:r>
              <w:rPr>
                <w:sz w:val="32"/>
                <w:szCs w:val="32"/>
              </w:rPr>
              <w:t xml:space="preserve">.20</w:t>
            </w:r>
            <w:r>
              <w:rPr>
                <w:sz w:val="32"/>
                <w:szCs w:val="32"/>
              </w:rPr>
              <w:t xml:space="preserve">25</w:t>
            </w:r>
            <w:r>
              <w:rPr>
                <w:sz w:val="32"/>
                <w:szCs w:val="32"/>
              </w:rPr>
              <w:t xml:space="preserve"> </w:t>
            </w:r>
            <w:r>
              <w:rPr>
                <w:rFonts w:ascii="Cambria" w:hAnsi="Cambria"/>
                <w:caps/>
                <w:sz w:val="32"/>
                <w:szCs w:val="32"/>
              </w:rPr>
            </w:r>
            <w:r>
              <w:rPr>
                <w:sz w:val="32"/>
                <w:szCs w:val="32"/>
              </w:rPr>
            </w:r>
          </w:p>
          <w:p>
            <w:pPr>
              <w:pStyle w:val="1007"/>
              <w:jc w:val="center"/>
              <w:rPr>
                <w:rFonts w:ascii="Cambria" w:hAnsi="Cambria"/>
                <w:caps/>
                <w:sz w:val="32"/>
                <w:szCs w:val="32"/>
              </w:rPr>
            </w:pPr>
            <w:r>
              <w:rPr>
                <w:sz w:val="32"/>
                <w:szCs w:val="32"/>
              </w:rPr>
            </w:r>
            <w:r>
              <w:rPr>
                <w:rFonts w:ascii="Cambria" w:hAnsi="Cambria"/>
                <w:sz w:val="32"/>
                <w:szCs w:val="32"/>
              </w:rPr>
              <w:t xml:space="preserve">РФ АО </w:t>
            </w:r>
            <w:r>
              <w:rPr>
                <w:rFonts w:ascii="Cambria" w:hAnsi="Cambria"/>
                <w:caps/>
                <w:sz w:val="32"/>
                <w:szCs w:val="32"/>
              </w:rPr>
              <w:t xml:space="preserve"> «РОССЕЛЬХОЗБАНК» - «ЦРМБ»</w:t>
            </w:r>
            <w:r>
              <w:rPr>
                <w:rFonts w:ascii="Cambria" w:hAnsi="Cambria"/>
                <w:caps/>
                <w:sz w:val="32"/>
                <w:szCs w:val="32"/>
              </w:rPr>
            </w:r>
            <w:r>
              <w:rPr>
                <w:rFonts w:ascii="Cambria" w:hAnsi="Cambria"/>
                <w:caps/>
                <w:sz w:val="32"/>
                <w:szCs w:val="32"/>
              </w:rPr>
            </w:r>
          </w:p>
          <w:p>
            <w:pPr>
              <w:pStyle w:val="1007"/>
              <w:jc w:val="center"/>
              <w:rPr>
                <w:sz w:val="32"/>
                <w:szCs w:val="32"/>
                <w:lang w:val="en-US"/>
              </w:rPr>
            </w:pPr>
            <w:r>
              <w:rPr>
                <w:sz w:val="32"/>
                <w:szCs w:val="32"/>
              </w:rPr>
            </w:r>
            <w:r>
              <w:rPr>
                <w:sz w:val="32"/>
                <w:szCs w:val="32"/>
                <w:lang w:val="en-US"/>
              </w:rPr>
            </w:r>
            <w:r>
              <w:rPr>
                <w:sz w:val="32"/>
                <w:szCs w:val="32"/>
                <w:lang w:val="en-US"/>
              </w:rPr>
            </w:r>
          </w:p>
        </w:tc>
      </w:tr>
    </w:tbl>
    <w:p>
      <w:pPr>
        <w:pStyle w:val="965"/>
        <w:rPr>
          <w:lang w:val="en-US"/>
        </w:rPr>
      </w:pPr>
      <w:r>
        <w:rPr>
          <w:lang w:val="en-US"/>
        </w:rPr>
      </w:r>
      <w:r>
        <w:rPr>
          <w:lang w:val="en-US"/>
        </w:rPr>
      </w:r>
      <w:r>
        <w:rPr>
          <w:lang w:val="en-US"/>
        </w:rPr>
      </w:r>
    </w:p>
    <w:p>
      <w:pPr>
        <w:pStyle w:val="965"/>
      </w:pPr>
      <w:r/>
      <w:r/>
    </w:p>
    <w:p>
      <w:pPr>
        <w:pStyle w:val="965"/>
      </w:pPr>
      <w:r/>
      <w:r/>
    </w:p>
    <w:p>
      <w:pPr>
        <w:pStyle w:val="965"/>
      </w:pPr>
      <w:r/>
      <w:r/>
    </w:p>
    <w:p>
      <w:pPr>
        <w:pStyle w:val="965"/>
      </w:pPr>
      <w:r/>
      <w:r/>
    </w:p>
    <w:p>
      <w:pPr>
        <w:pStyle w:val="965"/>
      </w:pPr>
      <w:r/>
      <w:r/>
    </w:p>
    <w:p>
      <w:pPr>
        <w:pStyle w:val="965"/>
      </w:pPr>
      <w:r/>
      <w:r/>
    </w:p>
    <w:p>
      <w:pPr>
        <w:pStyle w:val="965"/>
      </w:pPr>
      <w:r/>
      <w:r/>
    </w:p>
    <w:p>
      <w:pPr>
        <w:pStyle w:val="965"/>
      </w:pPr>
      <w:r/>
      <w:r/>
    </w:p>
    <w:p>
      <w:pPr>
        <w:pStyle w:val="965"/>
      </w:pPr>
      <w:r/>
      <w:r/>
    </w:p>
    <w:p>
      <w:pPr>
        <w:pStyle w:val="965"/>
      </w:pPr>
      <w:r/>
      <w:r/>
    </w:p>
    <w:p>
      <w:pPr>
        <w:pStyle w:val="965"/>
      </w:pPr>
      <w:r/>
      <w:r/>
    </w:p>
    <w:p>
      <w:pPr>
        <w:pStyle w:val="965"/>
      </w:pPr>
      <w:r/>
      <w:r/>
    </w:p>
    <w:p>
      <w:pPr>
        <w:pStyle w:val="965"/>
      </w:pPr>
      <w:r/>
      <w:r/>
    </w:p>
    <w:p>
      <w:pPr>
        <w:pStyle w:val="965"/>
      </w:pPr>
      <w:r/>
      <w:r/>
    </w:p>
    <w:p>
      <w:pPr>
        <w:pStyle w:val="965"/>
        <w:rPr>
          <w:lang w:val="en-US"/>
        </w:rPr>
      </w:pPr>
      <w:r>
        <w:rPr>
          <w:lang w:val="en-US"/>
        </w:rPr>
      </w:r>
      <w:r>
        <w:rPr>
          <w:lang w:val="en-US"/>
        </w:rPr>
      </w:r>
      <w:r>
        <w:rPr>
          <w:lang w:val="en-US"/>
        </w:rPr>
      </w:r>
    </w:p>
    <w:p>
      <w:pPr>
        <w:pStyle w:val="965"/>
        <w:rPr>
          <w:lang w:val="en-US"/>
        </w:rPr>
      </w:pPr>
      <w:r>
        <w:rPr>
          <w:lang w:val="en-US"/>
        </w:rPr>
      </w:r>
      <w:r>
        <w:rPr>
          <w:lang w:val="en-US"/>
        </w:rPr>
      </w:r>
      <w:r>
        <w:rPr>
          <w:lang w:val="en-US"/>
        </w:rPr>
      </w:r>
    </w:p>
    <w:p>
      <w:pPr>
        <w:pStyle w:val="965"/>
        <w:rPr>
          <w:lang w:val="en-US"/>
        </w:rPr>
      </w:pPr>
      <w:r>
        <w:rPr>
          <w:lang w:val="en-US"/>
        </w:rPr>
      </w:r>
      <w:r>
        <w:rPr>
          <w:lang w:val="en-US"/>
        </w:rPr>
      </w:r>
      <w:r>
        <w:rPr>
          <w:lang w:val="en-US"/>
        </w:rPr>
      </w:r>
    </w:p>
    <w:p>
      <w:pPr>
        <w:pStyle w:val="965"/>
      </w:pPr>
      <w:r/>
      <w:r/>
    </w:p>
    <w:p>
      <w:pPr>
        <w:pStyle w:val="965"/>
      </w:pPr>
      <w:r/>
      <w:r/>
    </w:p>
    <w:p>
      <w:pPr>
        <w:pStyle w:val="965"/>
      </w:pPr>
      <w:r/>
      <w:r/>
    </w:p>
    <w:p>
      <w:pPr>
        <w:pStyle w:val="965"/>
      </w:pPr>
      <w:r/>
      <w:r/>
    </w:p>
    <w:p>
      <w:pPr>
        <w:pStyle w:val="965"/>
      </w:pPr>
      <w:r/>
      <w:r/>
    </w:p>
    <w:p>
      <w:pPr>
        <w:pStyle w:val="965"/>
      </w:pPr>
      <w:r/>
      <w:r/>
    </w:p>
    <w:p>
      <w:pPr>
        <w:pStyle w:val="965"/>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p>
    <w:p>
      <w:pPr>
        <w:pStyle w:val="965"/>
        <w:rPr>
          <w:b/>
          <w:caps/>
          <w:sz w:val="22"/>
          <w:szCs w:val="22"/>
        </w:rPr>
      </w:pPr>
      <w:r>
        <w:br w:type="page" w:clear="all"/>
      </w:r>
      <w:r>
        <w:rPr>
          <w:b/>
          <w:caps/>
          <w:sz w:val="22"/>
          <w:szCs w:val="22"/>
        </w:rPr>
        <w:t xml:space="preserve">Содержание:</w:t>
      </w:r>
      <w:r>
        <w:rPr>
          <w:b/>
          <w:caps/>
          <w:sz w:val="22"/>
          <w:szCs w:val="22"/>
        </w:rPr>
      </w:r>
      <w:r>
        <w:rPr>
          <w:b/>
          <w:caps/>
          <w:sz w:val="22"/>
          <w:szCs w:val="22"/>
        </w:rPr>
      </w:r>
    </w:p>
    <w:p>
      <w:pPr>
        <w:pStyle w:val="965"/>
      </w:pPr>
      <w:r/>
      <w:r/>
    </w:p>
    <w:p>
      <w:pPr>
        <w:pStyle w:val="1008"/>
        <w:rPr>
          <w:rFonts w:ascii="Calibri" w:hAnsi="Calibri"/>
          <w:sz w:val="22"/>
          <w:szCs w:val="22"/>
        </w:rPr>
      </w:pPr>
      <w:r>
        <w:fldChar w:fldCharType="begin"/>
      </w:r>
      <w:r>
        <w:instrText xml:space="preserve"> TOC \h \z \u \t "Заголовок 4;1" </w:instrText>
      </w:r>
      <w:r>
        <w:fldChar w:fldCharType="separate"/>
      </w:r>
      <w:r>
        <w:rPr>
          <w:rStyle w:val="1009"/>
        </w:rPr>
        <w:fldChar w:fldCharType="begin"/>
      </w:r>
      <w:r>
        <w:rPr>
          <w:rStyle w:val="1009"/>
        </w:rPr>
        <w:instrText xml:space="preserve"> </w:instrText>
      </w:r>
      <w:r>
        <w:instrText xml:space="preserve">HYPERLINK \l "_Toc497902217"</w:instrText>
      </w:r>
      <w:r>
        <w:rPr>
          <w:rStyle w:val="1009"/>
        </w:rPr>
        <w:instrText xml:space="preserve"> </w:instrText>
      </w:r>
      <w:r>
        <w:rPr>
          <w:rStyle w:val="1009"/>
        </w:rPr>
        <w:fldChar w:fldCharType="separate"/>
      </w:r>
      <w:r>
        <w:rPr>
          <w:rStyle w:val="1009"/>
        </w:rPr>
        <w:t xml:space="preserve">Общие положения</w:t>
      </w:r>
      <w:r>
        <w:tab/>
      </w:r>
      <w:r>
        <w:fldChar w:fldCharType="begin"/>
      </w:r>
      <w:r>
        <w:instrText xml:space="preserve"> PAGEREF _Toc497902217 \h </w:instrText>
      </w:r>
      <w:r>
        <w:fldChar w:fldCharType="separate"/>
      </w:r>
      <w:r>
        <w:t xml:space="preserve">3</w:t>
      </w:r>
      <w:r>
        <w:fldChar w:fldCharType="end"/>
      </w:r>
      <w:r>
        <w:rPr>
          <w:rStyle w:val="1009"/>
        </w:rPr>
        <w:fldChar w:fldCharType="end"/>
      </w:r>
      <w:r>
        <w:rPr>
          <w:rFonts w:ascii="Calibri" w:hAnsi="Calibri"/>
          <w:sz w:val="22"/>
          <w:szCs w:val="22"/>
        </w:rPr>
      </w:r>
      <w:r>
        <w:rPr>
          <w:rFonts w:ascii="Calibri" w:hAnsi="Calibri"/>
          <w:sz w:val="22"/>
          <w:szCs w:val="22"/>
        </w:rPr>
      </w:r>
    </w:p>
    <w:p>
      <w:pPr>
        <w:pStyle w:val="1008"/>
        <w:rPr>
          <w:rFonts w:ascii="Calibri" w:hAnsi="Calibri"/>
          <w:sz w:val="22"/>
          <w:szCs w:val="22"/>
        </w:rPr>
      </w:pPr>
      <w:r>
        <w:rPr>
          <w:rStyle w:val="1009"/>
        </w:rPr>
        <w:fldChar w:fldCharType="begin"/>
      </w:r>
      <w:r>
        <w:rPr>
          <w:rStyle w:val="1009"/>
        </w:rPr>
        <w:instrText xml:space="preserve"> </w:instrText>
      </w:r>
      <w:r>
        <w:instrText xml:space="preserve">HYPERLINK \l "_Toc497902218"</w:instrText>
      </w:r>
      <w:r>
        <w:rPr>
          <w:rStyle w:val="1009"/>
        </w:rPr>
        <w:instrText xml:space="preserve"> </w:instrText>
      </w:r>
      <w:r>
        <w:rPr>
          <w:rStyle w:val="1009"/>
        </w:rPr>
        <w:fldChar w:fldCharType="separate"/>
      </w:r>
      <w:r>
        <w:rPr>
          <w:rStyle w:val="1009"/>
        </w:rPr>
        <w:t xml:space="preserve">1. Ведение корреспо</w:t>
      </w:r>
      <w:bookmarkStart w:id="0" w:name="_Hlt520282461"/>
      <w:r/>
      <w:bookmarkStart w:id="1" w:name="_Hlt520282462"/>
      <w:r>
        <w:rPr>
          <w:rStyle w:val="1009"/>
        </w:rPr>
        <w:t xml:space="preserve">н</w:t>
      </w:r>
      <w:bookmarkEnd w:id="0"/>
      <w:r/>
      <w:bookmarkEnd w:id="1"/>
      <w:r>
        <w:rPr>
          <w:rStyle w:val="1009"/>
        </w:rPr>
        <w:t xml:space="preserve">дентских счетов (для респондентов)</w:t>
      </w:r>
      <w:r>
        <w:tab/>
      </w:r>
      <w:r>
        <w:fldChar w:fldCharType="begin"/>
      </w:r>
      <w:r>
        <w:instrText xml:space="preserve"> PAGEREF _Toc497902218 \h </w:instrText>
      </w:r>
      <w:r>
        <w:fldChar w:fldCharType="separate"/>
      </w:r>
      <w:r>
        <w:t xml:space="preserve">4</w:t>
      </w:r>
      <w:r>
        <w:fldChar w:fldCharType="end"/>
      </w:r>
      <w:r>
        <w:rPr>
          <w:rStyle w:val="1009"/>
        </w:rPr>
        <w:fldChar w:fldCharType="end"/>
      </w:r>
      <w:r>
        <w:rPr>
          <w:rFonts w:ascii="Calibri" w:hAnsi="Calibri"/>
          <w:sz w:val="22"/>
          <w:szCs w:val="22"/>
        </w:rPr>
      </w:r>
      <w:r>
        <w:rPr>
          <w:rFonts w:ascii="Calibri" w:hAnsi="Calibri"/>
          <w:sz w:val="22"/>
          <w:szCs w:val="22"/>
        </w:rPr>
      </w:r>
    </w:p>
    <w:p>
      <w:pPr>
        <w:pStyle w:val="1008"/>
        <w:rPr>
          <w:rFonts w:ascii="Calibri" w:hAnsi="Calibri"/>
          <w:sz w:val="22"/>
          <w:szCs w:val="22"/>
        </w:rPr>
      </w:pPr>
      <w:r>
        <w:rPr>
          <w:rStyle w:val="1009"/>
        </w:rPr>
        <w:fldChar w:fldCharType="begin"/>
      </w:r>
      <w:r>
        <w:rPr>
          <w:rStyle w:val="1009"/>
        </w:rPr>
        <w:instrText xml:space="preserve"> </w:instrText>
      </w:r>
      <w:r>
        <w:instrText xml:space="preserve">HYPERLINK \l "_Toc497902219"</w:instrText>
      </w:r>
      <w:r>
        <w:rPr>
          <w:rStyle w:val="1009"/>
        </w:rPr>
        <w:instrText xml:space="preserve"> </w:instrText>
      </w:r>
      <w:r>
        <w:rPr>
          <w:rStyle w:val="1009"/>
        </w:rPr>
        <w:fldChar w:fldCharType="separate"/>
      </w:r>
      <w:r>
        <w:rPr>
          <w:rStyle w:val="1009"/>
        </w:rPr>
        <w:t xml:space="preserve">2. Расчетное обслуживание (для респондентов)</w:t>
      </w:r>
      <w:r>
        <w:tab/>
      </w:r>
      <w:r>
        <w:fldChar w:fldCharType="begin"/>
      </w:r>
      <w:r>
        <w:instrText xml:space="preserve"> PAGEREF _Toc497902219 \h </w:instrText>
      </w:r>
      <w:r>
        <w:fldChar w:fldCharType="separate"/>
      </w:r>
      <w:r>
        <w:t xml:space="preserve">5</w:t>
      </w:r>
      <w:r>
        <w:fldChar w:fldCharType="end"/>
      </w:r>
      <w:r>
        <w:rPr>
          <w:rStyle w:val="1009"/>
        </w:rPr>
        <w:fldChar w:fldCharType="end"/>
      </w:r>
      <w:r>
        <w:rPr>
          <w:rFonts w:ascii="Calibri" w:hAnsi="Calibri"/>
          <w:sz w:val="22"/>
          <w:szCs w:val="22"/>
        </w:rPr>
      </w:r>
      <w:r>
        <w:rPr>
          <w:rFonts w:ascii="Calibri" w:hAnsi="Calibri"/>
          <w:sz w:val="22"/>
          <w:szCs w:val="22"/>
        </w:rPr>
      </w:r>
    </w:p>
    <w:p>
      <w:pPr>
        <w:pStyle w:val="1008"/>
        <w:rPr>
          <w:rFonts w:ascii="Calibri" w:hAnsi="Calibri"/>
          <w:sz w:val="22"/>
          <w:szCs w:val="22"/>
        </w:rPr>
      </w:pPr>
      <w:r>
        <w:rPr>
          <w:rStyle w:val="1009"/>
        </w:rPr>
        <w:fldChar w:fldCharType="begin"/>
      </w:r>
      <w:r>
        <w:rPr>
          <w:rStyle w:val="1009"/>
        </w:rPr>
        <w:instrText xml:space="preserve"> </w:instrText>
      </w:r>
      <w:r>
        <w:instrText xml:space="preserve">HYPERLINK \l "_Toc497902220"</w:instrText>
      </w:r>
      <w:r>
        <w:rPr>
          <w:rStyle w:val="1009"/>
        </w:rPr>
        <w:instrText xml:space="preserve"> </w:instrText>
      </w:r>
      <w:r>
        <w:rPr>
          <w:rStyle w:val="1009"/>
        </w:rPr>
        <w:fldChar w:fldCharType="separate"/>
      </w:r>
      <w:r>
        <w:rPr>
          <w:rStyle w:val="1009"/>
        </w:rPr>
        <w:t xml:space="preserve">3. Конверсионные операции (для респондентов)</w:t>
      </w:r>
      <w:r>
        <w:tab/>
      </w:r>
      <w:r>
        <w:fldChar w:fldCharType="begin"/>
      </w:r>
      <w:r>
        <w:instrText xml:space="preserve"> PAGEREF _Toc497902220 \h </w:instrText>
      </w:r>
      <w:r>
        <w:fldChar w:fldCharType="separate"/>
      </w:r>
      <w:r>
        <w:t xml:space="preserve">6</w:t>
      </w:r>
      <w:r>
        <w:fldChar w:fldCharType="end"/>
      </w:r>
      <w:r>
        <w:rPr>
          <w:rStyle w:val="1009"/>
        </w:rPr>
        <w:fldChar w:fldCharType="end"/>
      </w:r>
      <w:r>
        <w:rPr>
          <w:rFonts w:ascii="Calibri" w:hAnsi="Calibri"/>
          <w:sz w:val="22"/>
          <w:szCs w:val="22"/>
        </w:rPr>
      </w:r>
      <w:r>
        <w:rPr>
          <w:rFonts w:ascii="Calibri" w:hAnsi="Calibri"/>
          <w:sz w:val="22"/>
          <w:szCs w:val="22"/>
        </w:rPr>
      </w:r>
    </w:p>
    <w:p>
      <w:pPr>
        <w:pStyle w:val="1008"/>
        <w:rPr>
          <w:rFonts w:ascii="Calibri" w:hAnsi="Calibri"/>
          <w:sz w:val="22"/>
          <w:szCs w:val="22"/>
        </w:rPr>
      </w:pPr>
      <w:r>
        <w:rPr>
          <w:rStyle w:val="1009"/>
        </w:rPr>
        <w:fldChar w:fldCharType="begin"/>
      </w:r>
      <w:r>
        <w:rPr>
          <w:rStyle w:val="1009"/>
        </w:rPr>
        <w:instrText xml:space="preserve"> </w:instrText>
      </w:r>
      <w:r>
        <w:instrText xml:space="preserve">HYPERLINK \l "_Toc497902221"</w:instrText>
      </w:r>
      <w:r>
        <w:rPr>
          <w:rStyle w:val="1009"/>
        </w:rPr>
        <w:instrText xml:space="preserve"> </w:instrText>
      </w:r>
      <w:r>
        <w:rPr>
          <w:rStyle w:val="1009"/>
        </w:rPr>
        <w:fldChar w:fldCharType="separate"/>
      </w:r>
      <w:r>
        <w:rPr>
          <w:rStyle w:val="1009"/>
        </w:rPr>
        <w:t xml:space="preserve">4. Документарные аккредитивы</w:t>
      </w:r>
      <w:r>
        <w:tab/>
      </w:r>
      <w:r>
        <w:fldChar w:fldCharType="begin"/>
      </w:r>
      <w:r>
        <w:instrText xml:space="preserve"> PAGEREF _Toc497902221 \h </w:instrText>
      </w:r>
      <w:r>
        <w:fldChar w:fldCharType="separate"/>
      </w:r>
      <w:r>
        <w:rPr>
          <w:b/>
          <w:bCs/>
        </w:rPr>
        <w:t xml:space="preserve">.</w:t>
      </w:r>
      <w:r>
        <w:fldChar w:fldCharType="end"/>
      </w:r>
      <w:r>
        <w:rPr>
          <w:rStyle w:val="1009"/>
        </w:rPr>
        <w:fldChar w:fldCharType="end"/>
      </w:r>
      <w:r>
        <w:rPr>
          <w:rFonts w:ascii="Calibri" w:hAnsi="Calibri"/>
          <w:sz w:val="22"/>
          <w:szCs w:val="22"/>
        </w:rPr>
      </w:r>
      <w:r>
        <w:rPr>
          <w:rFonts w:ascii="Calibri" w:hAnsi="Calibri"/>
          <w:sz w:val="22"/>
          <w:szCs w:val="22"/>
        </w:rPr>
      </w:r>
    </w:p>
    <w:p>
      <w:pPr>
        <w:pStyle w:val="1008"/>
        <w:rPr>
          <w:rFonts w:ascii="Calibri" w:hAnsi="Calibri"/>
          <w:sz w:val="22"/>
          <w:szCs w:val="22"/>
        </w:rPr>
      </w:pPr>
      <w:r>
        <w:rPr>
          <w:rStyle w:val="1009"/>
        </w:rPr>
        <w:fldChar w:fldCharType="begin"/>
      </w:r>
      <w:r>
        <w:rPr>
          <w:rStyle w:val="1009"/>
        </w:rPr>
        <w:instrText xml:space="preserve"> </w:instrText>
      </w:r>
      <w:r>
        <w:instrText xml:space="preserve">HYPERLINK \l "_Toc497902222"</w:instrText>
      </w:r>
      <w:r>
        <w:rPr>
          <w:rStyle w:val="1009"/>
        </w:rPr>
        <w:instrText xml:space="preserve"> </w:instrText>
      </w:r>
      <w:r>
        <w:rPr>
          <w:rStyle w:val="1009"/>
        </w:rPr>
        <w:fldChar w:fldCharType="separate"/>
      </w:r>
      <w:r>
        <w:rPr>
          <w:rStyle w:val="1009"/>
        </w:rPr>
        <w:t xml:space="preserve">5. Инкассовые операции</w:t>
      </w:r>
      <w:r>
        <w:tab/>
      </w:r>
      <w:r>
        <w:fldChar w:fldCharType="begin"/>
      </w:r>
      <w:r>
        <w:instrText xml:space="preserve"> PAGEREF _Toc497902222 \h </w:instrText>
      </w:r>
      <w:r>
        <w:fldChar w:fldCharType="separate"/>
      </w:r>
      <w:r>
        <w:rPr>
          <w:b/>
          <w:bCs/>
        </w:rPr>
        <w:t xml:space="preserve">.</w:t>
      </w:r>
      <w:r>
        <w:fldChar w:fldCharType="end"/>
      </w:r>
      <w:r>
        <w:rPr>
          <w:rStyle w:val="1009"/>
        </w:rPr>
        <w:fldChar w:fldCharType="end"/>
      </w:r>
      <w:r>
        <w:rPr>
          <w:rFonts w:ascii="Calibri" w:hAnsi="Calibri"/>
          <w:sz w:val="22"/>
          <w:szCs w:val="22"/>
        </w:rPr>
      </w:r>
      <w:r>
        <w:rPr>
          <w:rFonts w:ascii="Calibri" w:hAnsi="Calibri"/>
          <w:sz w:val="22"/>
          <w:szCs w:val="22"/>
        </w:rPr>
      </w:r>
    </w:p>
    <w:p>
      <w:pPr>
        <w:pStyle w:val="1008"/>
        <w:rPr>
          <w:rFonts w:ascii="Calibri" w:hAnsi="Calibri"/>
          <w:sz w:val="22"/>
          <w:szCs w:val="22"/>
        </w:rPr>
      </w:pPr>
      <w:r>
        <w:rPr>
          <w:rStyle w:val="1009"/>
        </w:rPr>
        <w:fldChar w:fldCharType="begin"/>
      </w:r>
      <w:r>
        <w:rPr>
          <w:rStyle w:val="1009"/>
        </w:rPr>
        <w:instrText xml:space="preserve"> </w:instrText>
      </w:r>
      <w:r>
        <w:instrText xml:space="preserve">HYPERLINK \l "_Toc497902223"</w:instrText>
      </w:r>
      <w:r>
        <w:rPr>
          <w:rStyle w:val="1009"/>
        </w:rPr>
        <w:instrText xml:space="preserve"> </w:instrText>
      </w:r>
      <w:r>
        <w:rPr>
          <w:rStyle w:val="1009"/>
        </w:rPr>
        <w:fldChar w:fldCharType="separate"/>
      </w:r>
      <w:r>
        <w:rPr>
          <w:rStyle w:val="1009"/>
        </w:rPr>
        <w:t xml:space="preserve">6. Гарантийные операции</w:t>
      </w:r>
      <w:r>
        <w:tab/>
      </w:r>
      <w:r>
        <w:fldChar w:fldCharType="begin"/>
      </w:r>
      <w:r>
        <w:instrText xml:space="preserve"> PAGEREF _Toc497902223 \h </w:instrText>
      </w:r>
      <w:r>
        <w:fldChar w:fldCharType="separate"/>
      </w:r>
      <w:r>
        <w:rPr>
          <w:b/>
          <w:bCs/>
        </w:rPr>
        <w:t xml:space="preserve">.</w:t>
      </w:r>
      <w:r>
        <w:fldChar w:fldCharType="end"/>
      </w:r>
      <w:r>
        <w:rPr>
          <w:rStyle w:val="1009"/>
        </w:rPr>
        <w:fldChar w:fldCharType="end"/>
      </w:r>
      <w:r>
        <w:rPr>
          <w:rFonts w:ascii="Calibri" w:hAnsi="Calibri"/>
          <w:sz w:val="22"/>
          <w:szCs w:val="22"/>
        </w:rPr>
      </w:r>
      <w:r>
        <w:rPr>
          <w:rFonts w:ascii="Calibri" w:hAnsi="Calibri"/>
          <w:sz w:val="22"/>
          <w:szCs w:val="22"/>
        </w:rPr>
      </w:r>
    </w:p>
    <w:p>
      <w:pPr>
        <w:pStyle w:val="1008"/>
        <w:rPr>
          <w:rFonts w:ascii="Calibri" w:hAnsi="Calibri"/>
          <w:sz w:val="22"/>
          <w:szCs w:val="22"/>
        </w:rPr>
      </w:pPr>
      <w:r>
        <w:rPr>
          <w:rStyle w:val="1009"/>
        </w:rPr>
        <w:fldChar w:fldCharType="begin"/>
      </w:r>
      <w:r>
        <w:rPr>
          <w:rStyle w:val="1009"/>
        </w:rPr>
        <w:instrText xml:space="preserve"> </w:instrText>
      </w:r>
      <w:r>
        <w:instrText xml:space="preserve">HYPERLINK \l "_Toc497902224"</w:instrText>
      </w:r>
      <w:r>
        <w:rPr>
          <w:rStyle w:val="1009"/>
        </w:rPr>
        <w:instrText xml:space="preserve"> </w:instrText>
      </w:r>
      <w:r>
        <w:rPr>
          <w:rStyle w:val="1009"/>
        </w:rPr>
        <w:fldChar w:fldCharType="separate"/>
      </w:r>
      <w:r>
        <w:rPr>
          <w:rStyle w:val="1009"/>
        </w:rPr>
        <w:t xml:space="preserve">7. Операции с наличной валютой</w:t>
      </w:r>
      <w:r>
        <w:tab/>
      </w:r>
      <w:r>
        <w:fldChar w:fldCharType="begin"/>
      </w:r>
      <w:r>
        <w:instrText xml:space="preserve"> PAGEREF _Toc497902224 \h </w:instrText>
      </w:r>
      <w:r>
        <w:fldChar w:fldCharType="separate"/>
      </w:r>
      <w:r>
        <w:t xml:space="preserve">7</w:t>
      </w:r>
      <w:r>
        <w:fldChar w:fldCharType="end"/>
      </w:r>
      <w:r>
        <w:rPr>
          <w:rStyle w:val="1009"/>
        </w:rPr>
        <w:fldChar w:fldCharType="end"/>
      </w:r>
      <w:r>
        <w:rPr>
          <w:rFonts w:ascii="Calibri" w:hAnsi="Calibri"/>
          <w:sz w:val="22"/>
          <w:szCs w:val="22"/>
        </w:rPr>
      </w:r>
      <w:r>
        <w:rPr>
          <w:rFonts w:ascii="Calibri" w:hAnsi="Calibri"/>
          <w:sz w:val="22"/>
          <w:szCs w:val="22"/>
        </w:rPr>
      </w:r>
    </w:p>
    <w:p>
      <w:pPr>
        <w:pStyle w:val="1008"/>
        <w:rPr>
          <w:rFonts w:ascii="Calibri" w:hAnsi="Calibri"/>
          <w:sz w:val="22"/>
          <w:szCs w:val="22"/>
        </w:rPr>
      </w:pPr>
      <w:r>
        <w:rPr>
          <w:rStyle w:val="1009"/>
        </w:rPr>
        <w:fldChar w:fldCharType="begin"/>
      </w:r>
      <w:r>
        <w:rPr>
          <w:rStyle w:val="1009"/>
        </w:rPr>
        <w:instrText xml:space="preserve"> </w:instrText>
      </w:r>
      <w:r>
        <w:instrText xml:space="preserve">HYPERLINK \l "_Toc497902225"</w:instrText>
      </w:r>
      <w:r>
        <w:rPr>
          <w:rStyle w:val="1009"/>
        </w:rPr>
        <w:instrText xml:space="preserve"> </w:instrText>
      </w:r>
      <w:r>
        <w:rPr>
          <w:rStyle w:val="1009"/>
        </w:rPr>
        <w:fldChar w:fldCharType="separate"/>
      </w:r>
      <w:r>
        <w:rPr>
          <w:rStyle w:val="1009"/>
        </w:rPr>
        <w:t xml:space="preserve">8. Операции с ценными бумагами</w:t>
      </w:r>
      <w:r>
        <w:tab/>
      </w:r>
      <w:r>
        <w:fldChar w:fldCharType="begin"/>
      </w:r>
      <w:r>
        <w:instrText xml:space="preserve"> PAGEREF _Toc497902225 \h </w:instrText>
      </w:r>
      <w:r>
        <w:fldChar w:fldCharType="separate"/>
      </w:r>
      <w:r>
        <w:t xml:space="preserve">12</w:t>
      </w:r>
      <w:r>
        <w:fldChar w:fldCharType="end"/>
      </w:r>
      <w:r>
        <w:rPr>
          <w:rStyle w:val="1009"/>
        </w:rPr>
        <w:fldChar w:fldCharType="end"/>
      </w:r>
      <w:r>
        <w:rPr>
          <w:rFonts w:ascii="Calibri" w:hAnsi="Calibri"/>
          <w:sz w:val="22"/>
          <w:szCs w:val="22"/>
        </w:rPr>
      </w:r>
      <w:r>
        <w:rPr>
          <w:rFonts w:ascii="Calibri" w:hAnsi="Calibri"/>
          <w:sz w:val="22"/>
          <w:szCs w:val="22"/>
        </w:rPr>
      </w:r>
    </w:p>
    <w:p>
      <w:pPr>
        <w:pStyle w:val="1008"/>
        <w:rPr>
          <w:rFonts w:ascii="Calibri" w:hAnsi="Calibri"/>
          <w:sz w:val="22"/>
          <w:szCs w:val="22"/>
        </w:rPr>
      </w:pPr>
      <w:r>
        <w:rPr>
          <w:rStyle w:val="1009"/>
        </w:rPr>
        <w:fldChar w:fldCharType="begin"/>
      </w:r>
      <w:r>
        <w:rPr>
          <w:rStyle w:val="1009"/>
        </w:rPr>
        <w:instrText xml:space="preserve"> </w:instrText>
      </w:r>
      <w:r>
        <w:instrText xml:space="preserve">HYPERLINK \l "_Toc497902226"</w:instrText>
      </w:r>
      <w:r>
        <w:rPr>
          <w:rStyle w:val="1009"/>
        </w:rPr>
        <w:instrText xml:space="preserve"> </w:instrText>
      </w:r>
      <w:r>
        <w:rPr>
          <w:rStyle w:val="1009"/>
        </w:rPr>
        <w:fldChar w:fldCharType="separate"/>
      </w:r>
      <w:r>
        <w:rPr>
          <w:rStyle w:val="1009"/>
        </w:rPr>
        <w:t xml:space="preserve">9. Депозитарные услуги</w:t>
      </w:r>
      <w:r>
        <w:rPr>
          <w:rStyle w:val="1009"/>
          <w:vertAlign w:val="superscript"/>
        </w:rPr>
        <w:t xml:space="preserve">4</w:t>
      </w:r>
      <w:r>
        <w:tab/>
      </w:r>
      <w:r>
        <w:fldChar w:fldCharType="begin"/>
      </w:r>
      <w:r>
        <w:instrText xml:space="preserve"> PAGEREF _Toc497902226 \h </w:instrText>
      </w:r>
      <w:r>
        <w:fldChar w:fldCharType="separate"/>
      </w:r>
      <w:r>
        <w:t xml:space="preserve">12</w:t>
      </w:r>
      <w:r>
        <w:fldChar w:fldCharType="end"/>
      </w:r>
      <w:r>
        <w:rPr>
          <w:rStyle w:val="1009"/>
        </w:rPr>
        <w:fldChar w:fldCharType="end"/>
      </w:r>
      <w:r>
        <w:rPr>
          <w:rFonts w:ascii="Calibri" w:hAnsi="Calibri"/>
          <w:sz w:val="22"/>
          <w:szCs w:val="22"/>
        </w:rPr>
      </w:r>
      <w:r>
        <w:rPr>
          <w:rFonts w:ascii="Calibri" w:hAnsi="Calibri"/>
          <w:sz w:val="22"/>
          <w:szCs w:val="22"/>
        </w:rPr>
      </w:r>
    </w:p>
    <w:p>
      <w:pPr>
        <w:pStyle w:val="1008"/>
        <w:rPr>
          <w:rFonts w:ascii="Calibri" w:hAnsi="Calibri"/>
          <w:sz w:val="22"/>
          <w:szCs w:val="22"/>
        </w:rPr>
      </w:pPr>
      <w:r>
        <w:rPr>
          <w:rStyle w:val="1009"/>
        </w:rPr>
        <w:fldChar w:fldCharType="begin"/>
      </w:r>
      <w:r>
        <w:rPr>
          <w:rStyle w:val="1009"/>
        </w:rPr>
        <w:instrText xml:space="preserve"> </w:instrText>
      </w:r>
      <w:r>
        <w:instrText xml:space="preserve">HYPERLINK \l "_Toc497902227"</w:instrText>
      </w:r>
      <w:r>
        <w:rPr>
          <w:rStyle w:val="1009"/>
        </w:rPr>
        <w:instrText xml:space="preserve"> </w:instrText>
      </w:r>
      <w:r>
        <w:rPr>
          <w:rStyle w:val="1009"/>
        </w:rPr>
        <w:fldChar w:fldCharType="separate"/>
      </w:r>
      <w:r>
        <w:rPr>
          <w:rStyle w:val="1009"/>
        </w:rPr>
        <w:t xml:space="preserve">10. Услуги платежного агента (при обслуживании эмитентов облигаций)</w:t>
      </w:r>
      <w:r>
        <w:tab/>
      </w:r>
      <w:r>
        <w:fldChar w:fldCharType="begin"/>
      </w:r>
      <w:r>
        <w:instrText xml:space="preserve"> PAGEREF _Toc497902227 \h </w:instrText>
      </w:r>
      <w:r>
        <w:fldChar w:fldCharType="separate"/>
      </w:r>
      <w:r>
        <w:t xml:space="preserve">17</w:t>
      </w:r>
      <w:r>
        <w:fldChar w:fldCharType="end"/>
      </w:r>
      <w:r>
        <w:rPr>
          <w:rStyle w:val="1009"/>
        </w:rPr>
        <w:fldChar w:fldCharType="end"/>
      </w:r>
      <w:r>
        <w:rPr>
          <w:rFonts w:ascii="Calibri" w:hAnsi="Calibri"/>
          <w:sz w:val="22"/>
          <w:szCs w:val="22"/>
        </w:rPr>
      </w:r>
      <w:r>
        <w:rPr>
          <w:rFonts w:ascii="Calibri" w:hAnsi="Calibri"/>
          <w:sz w:val="22"/>
          <w:szCs w:val="22"/>
        </w:rPr>
      </w:r>
    </w:p>
    <w:p>
      <w:pPr>
        <w:pStyle w:val="1008"/>
        <w:rPr>
          <w:rFonts w:ascii="Calibri" w:hAnsi="Calibri"/>
          <w:sz w:val="22"/>
          <w:szCs w:val="22"/>
        </w:rPr>
      </w:pPr>
      <w:r>
        <w:rPr>
          <w:rStyle w:val="1009"/>
        </w:rPr>
        <w:fldChar w:fldCharType="begin"/>
      </w:r>
      <w:r>
        <w:rPr>
          <w:rStyle w:val="1009"/>
        </w:rPr>
        <w:instrText xml:space="preserve"> </w:instrText>
      </w:r>
      <w:r>
        <w:instrText xml:space="preserve">HYPERLINK \l "_Toc497902228"</w:instrText>
      </w:r>
      <w:r>
        <w:rPr>
          <w:rStyle w:val="1009"/>
        </w:rPr>
        <w:instrText xml:space="preserve"> </w:instrText>
      </w:r>
      <w:r>
        <w:rPr>
          <w:rStyle w:val="1009"/>
        </w:rPr>
        <w:fldChar w:fldCharType="separate"/>
      </w:r>
      <w:r>
        <w:rPr>
          <w:rStyle w:val="1009"/>
        </w:rPr>
        <w:t xml:space="preserve">11. Операции с монетами из драгоценных металлов</w:t>
      </w:r>
      <w:r>
        <w:tab/>
      </w:r>
      <w:r>
        <w:fldChar w:fldCharType="begin"/>
      </w:r>
      <w:r>
        <w:instrText xml:space="preserve"> PAGEREF _Toc497902228 \h </w:instrText>
      </w:r>
      <w:r>
        <w:fldChar w:fldCharType="separate"/>
      </w:r>
      <w:r>
        <w:t xml:space="preserve">17</w:t>
      </w:r>
      <w:r>
        <w:fldChar w:fldCharType="end"/>
      </w:r>
      <w:r>
        <w:rPr>
          <w:rStyle w:val="1009"/>
        </w:rPr>
        <w:fldChar w:fldCharType="end"/>
      </w:r>
      <w:r>
        <w:rPr>
          <w:rFonts w:ascii="Calibri" w:hAnsi="Calibri"/>
          <w:sz w:val="22"/>
          <w:szCs w:val="22"/>
        </w:rPr>
      </w:r>
      <w:r>
        <w:rPr>
          <w:rFonts w:ascii="Calibri" w:hAnsi="Calibri"/>
          <w:sz w:val="22"/>
          <w:szCs w:val="22"/>
        </w:rPr>
      </w:r>
    </w:p>
    <w:p>
      <w:pPr>
        <w:pStyle w:val="1008"/>
        <w:rPr>
          <w:rFonts w:ascii="Calibri" w:hAnsi="Calibri"/>
          <w:sz w:val="22"/>
          <w:szCs w:val="22"/>
        </w:rPr>
      </w:pPr>
      <w:r>
        <w:rPr>
          <w:rStyle w:val="1009"/>
        </w:rPr>
        <w:fldChar w:fldCharType="begin"/>
      </w:r>
      <w:r>
        <w:rPr>
          <w:rStyle w:val="1009"/>
        </w:rPr>
        <w:instrText xml:space="preserve"> </w:instrText>
      </w:r>
      <w:r>
        <w:instrText xml:space="preserve">HYPERLINK \l "_Toc497902229"</w:instrText>
      </w:r>
      <w:r>
        <w:rPr>
          <w:rStyle w:val="1009"/>
        </w:rPr>
        <w:instrText xml:space="preserve"> </w:instrText>
      </w:r>
      <w:r>
        <w:rPr>
          <w:rStyle w:val="1009"/>
        </w:rPr>
        <w:fldChar w:fldCharType="separate"/>
      </w:r>
      <w:r>
        <w:rPr>
          <w:rStyle w:val="1009"/>
        </w:rPr>
        <w:t xml:space="preserve">12. Услуги перевозки денежной наличности, других ценностей  и обслуживания банкоматов, информационно-платежных терминалов</w:t>
      </w:r>
      <w:r>
        <w:tab/>
      </w:r>
      <w:r>
        <w:fldChar w:fldCharType="begin"/>
      </w:r>
      <w:r>
        <w:instrText xml:space="preserve"> PAGEREF _Toc497902229 \h </w:instrText>
      </w:r>
      <w:r>
        <w:fldChar w:fldCharType="separate"/>
      </w:r>
      <w:r>
        <w:t xml:space="preserve">18</w:t>
      </w:r>
      <w:r>
        <w:fldChar w:fldCharType="end"/>
      </w:r>
      <w:r>
        <w:rPr>
          <w:rStyle w:val="1009"/>
        </w:rPr>
        <w:fldChar w:fldCharType="end"/>
      </w:r>
      <w:r>
        <w:rPr>
          <w:rFonts w:ascii="Calibri" w:hAnsi="Calibri"/>
          <w:sz w:val="22"/>
          <w:szCs w:val="22"/>
        </w:rPr>
      </w:r>
      <w:r>
        <w:rPr>
          <w:rFonts w:ascii="Calibri" w:hAnsi="Calibri"/>
          <w:sz w:val="22"/>
          <w:szCs w:val="22"/>
        </w:rPr>
      </w:r>
    </w:p>
    <w:p>
      <w:pPr>
        <w:pStyle w:val="969"/>
        <w:ind w:left="421" w:right="3096" w:firstLine="2414"/>
        <w:jc w:val="center"/>
        <w:tabs>
          <w:tab w:val="clear" w:pos="4464" w:leader="none"/>
          <w:tab w:val="clear" w:pos="5760" w:leader="none"/>
        </w:tabs>
      </w:pPr>
      <w:r>
        <w:fldChar w:fldCharType="end"/>
      </w:r>
      <w:r>
        <w:br w:type="page" w:clear="all"/>
      </w:r>
      <w:bookmarkStart w:id="2" w:name="_Toc497902217"/>
      <w:r>
        <w:t xml:space="preserve">Общие Положения</w:t>
      </w:r>
      <w:bookmarkEnd w:id="2"/>
      <w:r/>
      <w:r/>
    </w:p>
    <w:p>
      <w:pPr>
        <w:pStyle w:val="965"/>
        <w:ind w:right="23" w:firstLine="720"/>
        <w:jc w:val="both"/>
        <w:spacing w:before="120"/>
        <w:tabs>
          <w:tab w:val="left" w:pos="1080" w:leader="none"/>
        </w:tabs>
      </w:pPr>
      <w:r>
        <w:t xml:space="preserve">1.</w:t>
        <w:tab/>
      </w:r>
      <w:r>
        <w:t xml:space="preserve">А</w:t>
      </w:r>
      <w:r>
        <w:t xml:space="preserve">кционерное общество «Российский Сельскохозяйственный банк» (далее - Банк) применяет Тарифы комиссионно</w:t>
      </w:r>
      <w:r>
        <w:t xml:space="preserve">го вознаграждения на услуги, предоставляемые кредитным организациям (далее – Тарифы), в том числе за выполнение поручений кредитных организаций-операторов по переводу денежных средств по корреспондентским счетам ЛОРО (далее - респонденты), открытым Банком.</w:t>
      </w:r>
      <w:r>
        <w:t xml:space="preserve"> </w:t>
      </w:r>
      <w:r>
        <w:t xml:space="preserve">  </w:t>
      </w:r>
      <w:r/>
    </w:p>
    <w:p>
      <w:pPr>
        <w:pStyle w:val="965"/>
        <w:ind w:firstLine="720"/>
        <w:jc w:val="both"/>
        <w:spacing w:before="120"/>
        <w:tabs>
          <w:tab w:val="left" w:pos="1080" w:leader="none"/>
        </w:tabs>
      </w:pPr>
      <w:r>
        <w:t xml:space="preserve">2.</w:t>
        <w:tab/>
        <w:t xml:space="preserve">Установление размера комиссионного вознагражд</w:t>
      </w:r>
      <w:r>
        <w:t xml:space="preserve">ения производится по усмотрению Банка. Банк может изменять перечень и размеры установленных тарифных ставок для каждой конкретной операции или устанавливать особый порядок расчетов в соответствии с отдельным соглашением с конкретной кредитной организацией.</w:t>
      </w:r>
      <w:r/>
    </w:p>
    <w:p>
      <w:pPr>
        <w:pStyle w:val="965"/>
        <w:ind w:firstLine="720"/>
        <w:jc w:val="both"/>
        <w:spacing w:before="120"/>
        <w:tabs>
          <w:tab w:val="left" w:pos="1080" w:leader="none"/>
        </w:tabs>
        <w:rPr>
          <w:color w:val="000000"/>
        </w:rPr>
      </w:pPr>
      <w:r>
        <w:t xml:space="preserve">3.</w:t>
        <w:tab/>
        <w:t xml:space="preserve">Внесение дополнений и изменений в настоящие Тарифы производится Банком в одностороннем порядке. Банк уведомляет кредитные организации об изменениях Тарифов в порядке, установленном соответствующими договорами,</w:t>
      </w:r>
      <w:r>
        <w:rPr>
          <w:color w:val="000000"/>
        </w:rPr>
        <w:t xml:space="preserve"> либо путем размещения действующей редакции Тарифов на официальном интернет-сайте </w:t>
      </w:r>
      <w:r>
        <w:rPr>
          <w:color w:val="000000"/>
        </w:rPr>
        <w:t xml:space="preserve">АО</w:t>
      </w:r>
      <w:r>
        <w:rPr>
          <w:color w:val="000000"/>
        </w:rPr>
        <w:t xml:space="preserve"> «Россельхозбанк».</w:t>
      </w:r>
      <w:r>
        <w:rPr>
          <w:color w:val="000000"/>
        </w:rPr>
      </w:r>
      <w:r>
        <w:rPr>
          <w:color w:val="000000"/>
        </w:rPr>
      </w:r>
    </w:p>
    <w:p>
      <w:pPr>
        <w:pStyle w:val="965"/>
        <w:ind w:firstLine="720"/>
        <w:jc w:val="both"/>
        <w:spacing w:before="120"/>
        <w:tabs>
          <w:tab w:val="left" w:pos="1080" w:leader="none"/>
        </w:tabs>
      </w:pPr>
      <w:r>
        <w:t xml:space="preserve">4.</w:t>
        <w:tab/>
        <w:t xml:space="preserve">Тарифы комиссионного вознаграждения в региональных филиалах Банка могут отличаться от Тарифов, установленных Банком, в зависимости от региона местонахождения регионального филиала.</w:t>
      </w:r>
      <w:r/>
    </w:p>
    <w:p>
      <w:pPr>
        <w:pStyle w:val="965"/>
        <w:ind w:firstLine="720"/>
        <w:jc w:val="both"/>
        <w:spacing w:before="120"/>
        <w:tabs>
          <w:tab w:val="left" w:pos="1080" w:leader="none"/>
        </w:tabs>
      </w:pPr>
      <w:r>
        <w:t xml:space="preserve">5.</w:t>
        <w:tab/>
      </w:r>
      <w:r>
        <w:t xml:space="preserve">Уплата (взимание) комиссионного вознаграждения и возмещение расходов Банка за проведение операций, имеющих фиксированное значение в долларах США, производятся в долларах США или в российских рублях в сумме, эквивалентн</w:t>
      </w:r>
      <w:r>
        <w:t xml:space="preserve">ой размеру комиссии в долларах США, рассчитанной по курсу Банка России, действующему на день осуществления операции. В случае проведения операций в иностранной валюте, отличной от доллара США, и, если иное не предусмотрено отдельным соглашением, комиссионн</w:t>
      </w:r>
      <w:r>
        <w:t xml:space="preserve">ое вознаграждение взимается в валюте операции в сумме, эквивалентной размеру комиссии в долларах США, рассчитанной по курсу Банка России, действующему на день осуществления операции, если иное не предусмотрено настоящими Тарифами или отдельным соглашением.</w:t>
      </w:r>
      <w:r/>
    </w:p>
    <w:p>
      <w:pPr>
        <w:pStyle w:val="965"/>
        <w:ind w:firstLine="720"/>
        <w:jc w:val="both"/>
        <w:spacing w:before="120"/>
        <w:tabs>
          <w:tab w:val="left" w:pos="1080" w:leader="none"/>
        </w:tabs>
      </w:pPr>
      <w:r>
        <w:t xml:space="preserve">Комиссионное вознаграждение, установленное в процентах от суммы, взимается в валюте операции, если иное не предусмотрено настоящими Тарифами или отдельным соглашением.</w:t>
      </w:r>
      <w:r/>
    </w:p>
    <w:p>
      <w:pPr>
        <w:pStyle w:val="965"/>
        <w:ind w:firstLine="720"/>
        <w:jc w:val="both"/>
        <w:spacing w:before="120"/>
        <w:tabs>
          <w:tab w:val="left" w:pos="1080" w:leader="none"/>
        </w:tabs>
      </w:pPr>
      <w:r>
        <w:t xml:space="preserve">Комиссионное вознаграждение за услуги, оказанные респондентам Банка, списывается с корреспондентских счетов ЛОРО в валюте счета. В случае отсутствия или недостатка средств на счете респондента, комиссии и иные расходы Банка за проведение операций</w:t>
      </w:r>
      <w:r>
        <w:t xml:space="preserve"> списываются с иного счета респондента в российских рублях или в другой валюте в сумме, эквивалентной комиссии в долларах США/ЕВРО (в случае применения к операции фиксированного значения комиссии в долларах США/ЕВРО) или в валюте операции (в случае примене</w:t>
      </w:r>
      <w:r>
        <w:t xml:space="preserve">ния тарифа, установленного в процентах от суммы), рассчитанные по курсу/кросс-курсу Банка России, действующему на день списания комиссий и иных расходов Банка за проведение операций, если иное не предусмотрено настоящими Тарифами или отдельным соглашением.</w:t>
      </w:r>
      <w:r/>
    </w:p>
    <w:p>
      <w:pPr>
        <w:pStyle w:val="965"/>
        <w:ind w:firstLine="708"/>
        <w:jc w:val="both"/>
      </w:pPr>
      <w:r>
        <w:t xml:space="preserve">Кредитные организации, не имеющие корреспондентского счета ЛОРО в Банке, осуществляют у</w:t>
      </w:r>
      <w:r>
        <w:t xml:space="preserve">плату комиссии и возмещение произведенных расходов Банка путем перевода денежных средств на корреспондентский счет Банка в соответствии с реквизитами, указанными в соответствующем соглашении (договоре) или в любой иной принятой в банковской практике форме.</w:t>
      </w:r>
      <w:r/>
    </w:p>
    <w:p>
      <w:pPr>
        <w:pStyle w:val="979"/>
        <w:ind w:left="0" w:right="0" w:firstLine="720"/>
        <w:spacing w:before="120"/>
        <w:tabs>
          <w:tab w:val="left" w:pos="1080" w:leader="none"/>
        </w:tabs>
      </w:pPr>
      <w:r>
        <w:t xml:space="preserve">6.</w:t>
        <w:tab/>
        <w:t xml:space="preserve">Переводы денежных средств с корреспондентских счетов ЛОРО в пользу налоговых, таможенных и других органов в случаях, установленных законодательством Российской Федерации, выполняются Банком без взимания комиссии.</w:t>
      </w:r>
      <w:r/>
    </w:p>
    <w:p>
      <w:pPr>
        <w:pStyle w:val="965"/>
        <w:ind w:right="23" w:firstLine="720"/>
        <w:jc w:val="both"/>
        <w:spacing w:before="120"/>
        <w:tabs>
          <w:tab w:val="left" w:pos="1080" w:leader="none"/>
        </w:tabs>
      </w:pPr>
      <w:r>
        <w:t xml:space="preserve">7</w:t>
      </w:r>
      <w:r>
        <w:t xml:space="preserve">.</w:t>
        <w:tab/>
        <w:t xml:space="preserve">Возмещение почтовых и других расходов Банка, а также комиссий и расходов третьих банков (банков-посредников) </w:t>
      </w:r>
      <w:r>
        <w:rPr>
          <w:iCs/>
        </w:rPr>
        <w:t xml:space="preserve">по документарным операциям</w:t>
      </w:r>
      <w:r>
        <w:t xml:space="preserve">, если таковые возникают, осуществляется банками-контрагентами дополнительно к комиссиям, указанным в Тарифах.</w:t>
      </w:r>
      <w:r/>
    </w:p>
    <w:p>
      <w:pPr>
        <w:pStyle w:val="984"/>
        <w:ind w:right="21"/>
        <w:tabs>
          <w:tab w:val="left" w:pos="1080" w:leader="none"/>
        </w:tabs>
        <w:rPr>
          <w:sz w:val="24"/>
          <w:szCs w:val="24"/>
        </w:rPr>
      </w:pPr>
      <w:r>
        <w:rPr>
          <w:sz w:val="24"/>
          <w:szCs w:val="24"/>
        </w:rPr>
        <w:t xml:space="preserve">8</w:t>
      </w:r>
      <w:r>
        <w:rPr>
          <w:sz w:val="24"/>
          <w:szCs w:val="24"/>
        </w:rPr>
        <w:t xml:space="preserve">.</w:t>
        <w:tab/>
        <w:t xml:space="preserve">Комиссии, взысканные Банком за оказание услуг (кроме ошибочно удержанных), возврату не подлежат.</w:t>
      </w:r>
      <w:r>
        <w:rPr>
          <w:sz w:val="24"/>
          <w:szCs w:val="24"/>
        </w:rPr>
      </w:r>
      <w:r>
        <w:rPr>
          <w:sz w:val="24"/>
          <w:szCs w:val="24"/>
        </w:rPr>
      </w:r>
    </w:p>
    <w:p>
      <w:pPr>
        <w:pStyle w:val="965"/>
      </w:pPr>
      <w:r/>
      <w:r/>
    </w:p>
    <w:p>
      <w:pPr>
        <w:pStyle w:val="969"/>
      </w:pPr>
      <w:r/>
      <w:bookmarkStart w:id="3" w:name="_Toc497902218"/>
      <w:r>
        <w:t xml:space="preserve">1. Ведение корреспондентских счетов (для респондентов)</w:t>
      </w:r>
      <w:bookmarkEnd w:id="3"/>
      <w:r/>
      <w:r/>
    </w:p>
    <w:p>
      <w:pPr>
        <w:pStyle w:val="965"/>
      </w:pPr>
      <w: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88"/>
        <w:gridCol w:w="4968"/>
        <w:gridCol w:w="1989"/>
        <w:gridCol w:w="2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5000" w:type="pct"/>
            <w:vAlign w:val="top"/>
            <w:textDirection w:val="lrTb"/>
            <w:noWrap w:val="false"/>
          </w:tcPr>
          <w:p>
            <w:pPr>
              <w:pStyle w:val="965"/>
              <w:jc w:val="center"/>
              <w:tabs>
                <w:tab w:val="left" w:pos="709" w:leader="none"/>
              </w:tabs>
              <w:rPr>
                <w:rFonts w:eastAsia="Calibri"/>
                <w:iCs/>
                <w:sz w:val="20"/>
              </w:rPr>
            </w:pPr>
            <w:r>
              <w:rPr>
                <w:rFonts w:eastAsia="Calibri"/>
                <w:b/>
                <w:sz w:val="20"/>
              </w:rPr>
              <w:t xml:space="preserve">1. Ведение корреспондентских счетов (для респондентов)</w:t>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center"/>
            <w:textDirection w:val="lrTb"/>
            <w:noWrap w:val="false"/>
          </w:tcPr>
          <w:p>
            <w:pPr>
              <w:pStyle w:val="965"/>
              <w:tabs>
                <w:tab w:val="left" w:pos="709" w:leader="none"/>
              </w:tabs>
              <w:rPr>
                <w:rFonts w:eastAsia="Calibri"/>
                <w:iCs/>
                <w:sz w:val="20"/>
              </w:rPr>
            </w:pPr>
            <w:r>
              <w:rPr>
                <w:rFonts w:eastAsia="Calibri"/>
                <w:iCs/>
                <w:sz w:val="20"/>
              </w:rPr>
              <w:t xml:space="preserve">№      п/п</w:t>
            </w:r>
            <w:r>
              <w:rPr>
                <w:rFonts w:eastAsia="Calibri"/>
                <w:iCs/>
                <w:sz w:val="20"/>
              </w:rPr>
            </w:r>
            <w:r>
              <w:rPr>
                <w:rFonts w:eastAsia="Calibri"/>
                <w:iCs/>
                <w:sz w:val="20"/>
              </w:rPr>
            </w:r>
          </w:p>
        </w:tc>
        <w:tc>
          <w:tcPr>
            <w:tcW w:w="2456" w:type="pct"/>
            <w:vAlign w:val="center"/>
            <w:textDirection w:val="lrTb"/>
            <w:noWrap w:val="false"/>
          </w:tcPr>
          <w:p>
            <w:pPr>
              <w:pStyle w:val="965"/>
              <w:tabs>
                <w:tab w:val="left" w:pos="709" w:leader="none"/>
              </w:tabs>
              <w:rPr>
                <w:rFonts w:eastAsia="Calibri"/>
                <w:iCs/>
                <w:sz w:val="20"/>
              </w:rPr>
            </w:pPr>
            <w:r>
              <w:rPr>
                <w:rFonts w:eastAsia="Calibri"/>
                <w:iCs/>
                <w:sz w:val="20"/>
              </w:rPr>
              <w:t xml:space="preserve">Наименование услуги</w:t>
            </w:r>
            <w:r>
              <w:rPr>
                <w:rFonts w:eastAsia="Calibri"/>
                <w:iCs/>
                <w:sz w:val="20"/>
              </w:rPr>
            </w:r>
            <w:r>
              <w:rPr>
                <w:rFonts w:eastAsia="Calibri"/>
                <w:iCs/>
                <w:sz w:val="20"/>
              </w:rPr>
            </w:r>
          </w:p>
        </w:tc>
        <w:tc>
          <w:tcPr>
            <w:tcW w:w="983" w:type="pct"/>
            <w:vAlign w:val="center"/>
            <w:textDirection w:val="lrTb"/>
            <w:noWrap w:val="false"/>
          </w:tcPr>
          <w:p>
            <w:pPr>
              <w:pStyle w:val="965"/>
              <w:tabs>
                <w:tab w:val="left" w:pos="709" w:leader="none"/>
              </w:tabs>
              <w:rPr>
                <w:rFonts w:eastAsia="Calibri"/>
                <w:iCs/>
                <w:sz w:val="20"/>
              </w:rPr>
            </w:pPr>
            <w:r/>
            <w:bookmarkStart w:id="4" w:name="_Toc95617936"/>
            <w:r>
              <w:rPr>
                <w:rFonts w:eastAsia="Calibri"/>
                <w:iCs/>
                <w:sz w:val="20"/>
              </w:rPr>
              <w:t xml:space="preserve">Тариф</w:t>
            </w:r>
            <w:bookmarkEnd w:id="4"/>
            <w:r>
              <w:rPr>
                <w:rFonts w:eastAsia="Calibri"/>
                <w:iCs/>
                <w:sz w:val="20"/>
              </w:rPr>
            </w:r>
            <w:r>
              <w:rPr>
                <w:rFonts w:eastAsia="Calibri"/>
                <w:iCs/>
                <w:sz w:val="20"/>
              </w:rPr>
            </w:r>
          </w:p>
        </w:tc>
        <w:tc>
          <w:tcPr>
            <w:tcW w:w="1122" w:type="pct"/>
            <w:vAlign w:val="center"/>
            <w:textDirection w:val="lrTb"/>
            <w:noWrap w:val="false"/>
          </w:tcPr>
          <w:p>
            <w:pPr>
              <w:pStyle w:val="965"/>
              <w:tabs>
                <w:tab w:val="left" w:pos="709" w:leader="none"/>
              </w:tabs>
              <w:rPr>
                <w:rFonts w:eastAsia="Calibri"/>
                <w:iCs/>
                <w:sz w:val="20"/>
              </w:rPr>
            </w:pPr>
            <w:r>
              <w:rPr>
                <w:rFonts w:eastAsia="Calibri"/>
                <w:iCs/>
                <w:sz w:val="20"/>
              </w:rPr>
              <w:t xml:space="preserve">Примечание</w:t>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
                <w:bCs/>
                <w:sz w:val="20"/>
              </w:rPr>
              <w:t xml:space="preserve">1.1.</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Cs/>
                <w:sz w:val="20"/>
              </w:rPr>
            </w:pPr>
            <w:r>
              <w:rPr>
                <w:rFonts w:eastAsia="Calibri"/>
                <w:b/>
                <w:bCs/>
                <w:sz w:val="20"/>
              </w:rPr>
              <w:t xml:space="preserve">Открытие корреспондентского счета</w:t>
            </w:r>
            <w:r>
              <w:rPr>
                <w:rFonts w:eastAsia="Calibri"/>
                <w:bCs/>
                <w:sz w:val="20"/>
              </w:rPr>
            </w:r>
            <w:r>
              <w:rPr>
                <w:rFonts w:eastAsia="Calibri"/>
                <w:bCs/>
                <w:sz w:val="20"/>
              </w:rPr>
            </w:r>
          </w:p>
        </w:tc>
        <w:tc>
          <w:tcPr>
            <w:tcW w:w="983" w:type="pct"/>
            <w:vAlign w:val="top"/>
            <w:textDirection w:val="lrTb"/>
            <w:noWrap w:val="false"/>
          </w:tcPr>
          <w:p>
            <w:pPr>
              <w:pStyle w:val="965"/>
              <w:tabs>
                <w:tab w:val="left" w:pos="709" w:leader="none"/>
              </w:tabs>
              <w:rPr>
                <w:rFonts w:eastAsia="Calibri"/>
                <w:sz w:val="20"/>
              </w:rPr>
            </w:pPr>
            <w:r>
              <w:rPr>
                <w:rFonts w:eastAsia="Calibri"/>
                <w:sz w:val="20"/>
              </w:rPr>
              <w:t xml:space="preserve">Комиссия не взимается</w:t>
            </w:r>
            <w:r>
              <w:rPr>
                <w:rFonts w:eastAsia="Calibri"/>
                <w:sz w:val="20"/>
              </w:rPr>
              <w:t xml:space="preserve"> </w:t>
            </w:r>
            <w:r>
              <w:rPr>
                <w:rFonts w:eastAsia="Calibri"/>
                <w:sz w:val="20"/>
              </w:rPr>
            </w:r>
            <w:r>
              <w:rPr>
                <w:rFonts w:eastAsia="Calibri"/>
                <w:sz w:val="20"/>
              </w:rPr>
            </w:r>
          </w:p>
        </w:tc>
        <w:tc>
          <w:tcPr>
            <w:tcW w:w="1122"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
                <w:bCs/>
                <w:sz w:val="20"/>
              </w:rPr>
              <w:t xml:space="preserve">1.2.</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
                <w:bCs/>
                <w:sz w:val="20"/>
              </w:rPr>
            </w:pPr>
            <w:r>
              <w:rPr>
                <w:rFonts w:eastAsia="Calibri"/>
                <w:b/>
                <w:bCs/>
                <w:sz w:val="20"/>
              </w:rPr>
              <w:t xml:space="preserve">Открытие корреспондентского счета специального назначения для кредитной организации - участника закупок</w:t>
            </w:r>
            <w:r>
              <w:rPr>
                <w:rFonts w:eastAsia="Calibri"/>
                <w:b/>
                <w:bCs/>
                <w:sz w:val="20"/>
              </w:rPr>
            </w:r>
            <w:r>
              <w:rPr>
                <w:rFonts w:eastAsia="Calibri"/>
                <w:b/>
                <w:bCs/>
                <w:sz w:val="20"/>
              </w:rPr>
            </w:r>
          </w:p>
        </w:tc>
        <w:tc>
          <w:tcPr>
            <w:tcW w:w="983" w:type="pct"/>
            <w:vAlign w:val="top"/>
            <w:textDirection w:val="lrTb"/>
            <w:noWrap w:val="false"/>
          </w:tcPr>
          <w:p>
            <w:pPr>
              <w:pStyle w:val="965"/>
              <w:tabs>
                <w:tab w:val="left" w:pos="709" w:leader="none"/>
              </w:tabs>
              <w:rPr>
                <w:rFonts w:eastAsia="Calibri"/>
                <w:sz w:val="20"/>
              </w:rPr>
            </w:pPr>
            <w:r>
              <w:rPr>
                <w:rFonts w:eastAsia="Calibri"/>
                <w:sz w:val="20"/>
              </w:rPr>
              <w:t xml:space="preserve">Комиссия не взимается</w:t>
            </w:r>
            <w:r>
              <w:rPr>
                <w:rFonts w:eastAsia="Calibri"/>
                <w:sz w:val="20"/>
              </w:rPr>
            </w:r>
            <w:r>
              <w:rPr>
                <w:rFonts w:eastAsia="Calibri"/>
                <w:sz w:val="20"/>
              </w:rPr>
            </w:r>
          </w:p>
        </w:tc>
        <w:tc>
          <w:tcPr>
            <w:tcW w:w="1122"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
                <w:bCs/>
                <w:sz w:val="20"/>
              </w:rPr>
              <w:t xml:space="preserve">1.3.</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
                <w:bCs/>
                <w:sz w:val="20"/>
              </w:rPr>
            </w:pPr>
            <w:r>
              <w:rPr>
                <w:rFonts w:eastAsia="Calibri"/>
                <w:b/>
                <w:bCs/>
                <w:sz w:val="20"/>
              </w:rPr>
              <w:t xml:space="preserve">Открытие корреспондентского счета в драгоценных металлах</w:t>
            </w:r>
            <w:r>
              <w:rPr>
                <w:rFonts w:eastAsia="Calibri"/>
                <w:b/>
                <w:bCs/>
                <w:sz w:val="20"/>
              </w:rPr>
            </w:r>
            <w:r>
              <w:rPr>
                <w:rFonts w:eastAsia="Calibri"/>
                <w:b/>
                <w:bCs/>
                <w:sz w:val="20"/>
              </w:rPr>
            </w:r>
          </w:p>
          <w:p>
            <w:pPr>
              <w:pStyle w:val="965"/>
              <w:spacing w:line="80" w:lineRule="atLeast"/>
              <w:tabs>
                <w:tab w:val="left" w:pos="709" w:leader="none"/>
              </w:tabs>
              <w:rPr>
                <w:rFonts w:eastAsia="Calibri"/>
                <w:bCs/>
                <w:sz w:val="20"/>
              </w:rPr>
            </w:pPr>
            <w:r>
              <w:rPr>
                <w:rFonts w:eastAsia="Calibri"/>
                <w:bCs/>
                <w:sz w:val="20"/>
              </w:rPr>
              <w:t xml:space="preserve">в золоте</w:t>
            </w:r>
            <w:r>
              <w:rPr>
                <w:rFonts w:eastAsia="Calibri"/>
                <w:bCs/>
                <w:sz w:val="20"/>
              </w:rPr>
            </w:r>
            <w:r>
              <w:rPr>
                <w:rFonts w:eastAsia="Calibri"/>
                <w:bCs/>
                <w:sz w:val="20"/>
              </w:rPr>
            </w:r>
          </w:p>
          <w:p>
            <w:pPr>
              <w:pStyle w:val="965"/>
              <w:spacing w:line="80" w:lineRule="atLeast"/>
              <w:tabs>
                <w:tab w:val="left" w:pos="709" w:leader="none"/>
              </w:tabs>
              <w:rPr>
                <w:rFonts w:eastAsia="Calibri"/>
                <w:bCs/>
                <w:sz w:val="20"/>
              </w:rPr>
            </w:pPr>
            <w:r>
              <w:rPr>
                <w:rFonts w:eastAsia="Calibri"/>
                <w:bCs/>
                <w:sz w:val="20"/>
              </w:rPr>
              <w:t xml:space="preserve">в серебре</w:t>
            </w:r>
            <w:r>
              <w:rPr>
                <w:rFonts w:eastAsia="Calibri"/>
                <w:bCs/>
                <w:sz w:val="20"/>
              </w:rPr>
            </w:r>
            <w:r>
              <w:rPr>
                <w:rFonts w:eastAsia="Calibri"/>
                <w:bCs/>
                <w:sz w:val="20"/>
              </w:rPr>
            </w:r>
          </w:p>
          <w:p>
            <w:pPr>
              <w:pStyle w:val="965"/>
              <w:spacing w:line="80" w:lineRule="atLeast"/>
              <w:tabs>
                <w:tab w:val="left" w:pos="709" w:leader="none"/>
              </w:tabs>
              <w:rPr>
                <w:rFonts w:eastAsia="Calibri"/>
                <w:bCs/>
                <w:sz w:val="20"/>
              </w:rPr>
            </w:pPr>
            <w:r>
              <w:rPr>
                <w:rFonts w:eastAsia="Calibri"/>
                <w:bCs/>
                <w:sz w:val="20"/>
              </w:rPr>
              <w:t xml:space="preserve">в платине</w:t>
            </w:r>
            <w:r>
              <w:rPr>
                <w:rFonts w:eastAsia="Calibri"/>
                <w:bCs/>
                <w:sz w:val="20"/>
              </w:rPr>
            </w:r>
            <w:r>
              <w:rPr>
                <w:rFonts w:eastAsia="Calibri"/>
                <w:bCs/>
                <w:sz w:val="20"/>
              </w:rPr>
            </w:r>
          </w:p>
          <w:p>
            <w:pPr>
              <w:pStyle w:val="965"/>
              <w:spacing w:line="80" w:lineRule="atLeast"/>
              <w:tabs>
                <w:tab w:val="left" w:pos="709" w:leader="none"/>
              </w:tabs>
              <w:rPr>
                <w:rFonts w:eastAsia="Calibri"/>
                <w:b/>
                <w:bCs/>
                <w:sz w:val="20"/>
              </w:rPr>
            </w:pPr>
            <w:r>
              <w:rPr>
                <w:rFonts w:eastAsia="Calibri"/>
                <w:bCs/>
                <w:sz w:val="20"/>
              </w:rPr>
              <w:t xml:space="preserve">в палладии</w:t>
            </w:r>
            <w:r>
              <w:rPr>
                <w:rFonts w:eastAsia="Calibri"/>
                <w:b/>
                <w:bCs/>
                <w:sz w:val="20"/>
              </w:rPr>
            </w:r>
            <w:r>
              <w:rPr>
                <w:rFonts w:eastAsia="Calibri"/>
                <w:b/>
                <w:bCs/>
                <w:sz w:val="20"/>
              </w:rPr>
            </w:r>
          </w:p>
        </w:tc>
        <w:tc>
          <w:tcPr>
            <w:tcW w:w="983" w:type="pct"/>
            <w:vAlign w:val="top"/>
            <w:textDirection w:val="lrTb"/>
            <w:noWrap w:val="false"/>
          </w:tcPr>
          <w:p>
            <w:pPr>
              <w:pStyle w:val="965"/>
              <w:tabs>
                <w:tab w:val="left" w:pos="709" w:leader="none"/>
              </w:tabs>
              <w:rPr>
                <w:rFonts w:eastAsia="Calibri"/>
                <w:sz w:val="20"/>
              </w:rPr>
            </w:pPr>
            <w:r>
              <w:rPr>
                <w:rFonts w:eastAsia="Calibri"/>
                <w:sz w:val="20"/>
              </w:rPr>
              <w:t xml:space="preserve">Комиссия не взимается</w:t>
            </w:r>
            <w:r>
              <w:rPr>
                <w:rFonts w:eastAsia="Calibri"/>
                <w:sz w:val="20"/>
              </w:rPr>
            </w:r>
            <w:r>
              <w:rPr>
                <w:rFonts w:eastAsia="Calibri"/>
                <w:sz w:val="20"/>
              </w:rPr>
            </w:r>
          </w:p>
        </w:tc>
        <w:tc>
          <w:tcPr>
            <w:tcW w:w="1122" w:type="pct"/>
            <w:vAlign w:val="top"/>
            <w:textDirection w:val="lrTb"/>
            <w:noWrap w:val="false"/>
          </w:tcPr>
          <w:p>
            <w:pPr>
              <w:pStyle w:val="965"/>
              <w:tabs>
                <w:tab w:val="left" w:pos="709" w:leader="none"/>
              </w:tabs>
              <w:rPr>
                <w:rFonts w:eastAsia="Calibri"/>
                <w:sz w:val="20"/>
              </w:rPr>
            </w:pPr>
            <w:r>
              <w:rPr>
                <w:rFonts w:eastAsia="Calibri"/>
                <w:sz w:val="20"/>
              </w:rPr>
              <w:t xml:space="preserve">При условии открытия/наличия корреспондентского счета в российских рублях</w:t>
            </w:r>
            <w:r>
              <w:rPr>
                <w:rFonts w:eastAsia="Calibri"/>
                <w:sz w:val="20"/>
              </w:rPr>
            </w:r>
            <w:r>
              <w:rPr>
                <w:rFonts w:eastAsia="Calibri"/>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
                <w:bCs/>
                <w:sz w:val="20"/>
              </w:rPr>
              <w:t xml:space="preserve">1.4.</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
                <w:bCs/>
                <w:sz w:val="20"/>
              </w:rPr>
            </w:pPr>
            <w:r>
              <w:rPr>
                <w:rFonts w:eastAsia="Calibri"/>
                <w:b/>
                <w:bCs/>
                <w:sz w:val="20"/>
              </w:rPr>
              <w:t xml:space="preserve">Ведение корреспондентского счета:</w:t>
            </w:r>
            <w:r>
              <w:rPr>
                <w:rFonts w:eastAsia="Calibri"/>
                <w:b/>
                <w:bCs/>
                <w:sz w:val="20"/>
              </w:rPr>
            </w:r>
            <w:r>
              <w:rPr>
                <w:rFonts w:eastAsia="Calibri"/>
                <w:b/>
                <w:bCs/>
                <w:sz w:val="20"/>
              </w:rPr>
            </w:r>
          </w:p>
        </w:tc>
        <w:tc>
          <w:tcPr>
            <w:tcW w:w="983"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1122" w:type="pct"/>
            <w:vAlign w:val="top"/>
            <w:textDirection w:val="lrTb"/>
            <w:noWrap w:val="false"/>
          </w:tcPr>
          <w:p>
            <w:pPr>
              <w:pStyle w:val="965"/>
              <w:tabs>
                <w:tab w:val="left" w:pos="709" w:leader="none"/>
              </w:tabs>
              <w:rPr>
                <w:rFonts w:eastAsia="Calibri"/>
                <w:iCs/>
                <w:sz w:val="20"/>
              </w:rPr>
            </w:pPr>
            <w:r>
              <w:rPr>
                <w:rFonts w:eastAsia="Calibri"/>
                <w:iCs/>
                <w:sz w:val="20"/>
              </w:rPr>
              <w:t xml:space="preserve"> </w:t>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t xml:space="preserve">1.4.1.</w:t>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в российских рублях</w:t>
            </w:r>
            <w:r>
              <w:rPr>
                <w:rFonts w:eastAsia="Calibri"/>
                <w:sz w:val="20"/>
              </w:rPr>
            </w:r>
            <w:r>
              <w:rPr>
                <w:rFonts w:eastAsia="Calibri"/>
                <w:sz w:val="20"/>
              </w:rPr>
            </w:r>
          </w:p>
        </w:tc>
        <w:tc>
          <w:tcPr>
            <w:tcW w:w="983" w:type="pct"/>
            <w:vAlign w:val="top"/>
            <w:textDirection w:val="lrTb"/>
            <w:noWrap w:val="false"/>
          </w:tcPr>
          <w:p>
            <w:pPr>
              <w:pStyle w:val="965"/>
              <w:tabs>
                <w:tab w:val="left" w:pos="709" w:leader="none"/>
              </w:tabs>
              <w:rPr>
                <w:rFonts w:eastAsia="Calibri"/>
                <w:sz w:val="20"/>
              </w:rPr>
            </w:pPr>
            <w:r>
              <w:rPr>
                <w:rFonts w:eastAsia="Calibri"/>
                <w:sz w:val="20"/>
              </w:rPr>
              <w:t xml:space="preserve">Комиссия не взимается</w:t>
            </w:r>
            <w:r>
              <w:rPr>
                <w:rFonts w:eastAsia="Calibri"/>
                <w:sz w:val="20"/>
              </w:rPr>
            </w:r>
            <w:r>
              <w:rPr>
                <w:rFonts w:eastAsia="Calibri"/>
                <w:sz w:val="20"/>
              </w:rPr>
            </w:r>
          </w:p>
        </w:tc>
        <w:tc>
          <w:tcPr>
            <w:tcW w:w="1122"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t xml:space="preserve">1.4.2.</w:t>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в иностранной валюте кроме евро</w:t>
            </w:r>
            <w:r>
              <w:rPr>
                <w:rFonts w:eastAsia="Calibri"/>
                <w:sz w:val="20"/>
              </w:rPr>
            </w:r>
            <w:r>
              <w:rPr>
                <w:rFonts w:eastAsia="Calibri"/>
                <w:sz w:val="20"/>
              </w:rPr>
            </w:r>
          </w:p>
        </w:tc>
        <w:tc>
          <w:tcPr>
            <w:tcW w:w="983" w:type="pct"/>
            <w:vAlign w:val="top"/>
            <w:textDirection w:val="lrTb"/>
            <w:noWrap w:val="false"/>
          </w:tcPr>
          <w:p>
            <w:pPr>
              <w:pStyle w:val="965"/>
              <w:tabs>
                <w:tab w:val="left" w:pos="709" w:leader="none"/>
              </w:tabs>
              <w:rPr>
                <w:rFonts w:eastAsia="Calibri"/>
                <w:sz w:val="20"/>
              </w:rPr>
            </w:pPr>
            <w:r>
              <w:rPr>
                <w:rFonts w:eastAsia="Calibri"/>
                <w:sz w:val="20"/>
              </w:rPr>
              <w:t xml:space="preserve">Комиссия не взимается</w:t>
            </w:r>
            <w:r>
              <w:rPr>
                <w:rFonts w:eastAsia="Calibri"/>
                <w:sz w:val="20"/>
              </w:rPr>
            </w:r>
            <w:r>
              <w:rPr>
                <w:rFonts w:eastAsia="Calibri"/>
                <w:sz w:val="20"/>
              </w:rPr>
            </w:r>
          </w:p>
        </w:tc>
        <w:tc>
          <w:tcPr>
            <w:tcW w:w="1122" w:type="pct"/>
            <w:vAlign w:val="top"/>
            <w:textDirection w:val="lrTb"/>
            <w:noWrap w:val="false"/>
          </w:tcPr>
          <w:p>
            <w:pPr>
              <w:pStyle w:val="965"/>
              <w:tabs>
                <w:tab w:val="left" w:pos="709" w:leader="none"/>
              </w:tabs>
              <w:rPr>
                <w:rFonts w:eastAsia="Calibri"/>
                <w:iCs/>
                <w:sz w:val="20"/>
              </w:rPr>
            </w:pPr>
            <w:r>
              <w:rPr>
                <w:rFonts w:eastAsia="Calibri"/>
                <w:iCs/>
                <w:sz w:val="20"/>
              </w:rPr>
              <w:t xml:space="preserve">Открытие счета осуществляется по согласованию с </w:t>
              <w:br w:type="textWrapping" w:clear="all"/>
              <w:t xml:space="preserve">АО «Россельхозбанк»</w:t>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restart"/>
            <w:textDirection w:val="lrTb"/>
            <w:noWrap w:val="false"/>
          </w:tcPr>
          <w:p>
            <w:pPr>
              <w:pStyle w:val="965"/>
              <w:tabs>
                <w:tab w:val="left" w:pos="709" w:leader="none"/>
              </w:tabs>
              <w:rPr>
                <w:rFonts w:eastAsia="Calibri"/>
                <w:sz w:val="20"/>
              </w:rPr>
            </w:pPr>
            <w:r>
              <w:rPr>
                <w:rFonts w:eastAsia="Calibri"/>
                <w:sz w:val="20"/>
              </w:rPr>
              <w:t xml:space="preserve">1.4.3.</w:t>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в евро:</w:t>
            </w:r>
            <w:r>
              <w:rPr>
                <w:rFonts w:eastAsia="Calibri"/>
                <w:sz w:val="20"/>
              </w:rPr>
            </w:r>
            <w:r>
              <w:rPr>
                <w:rFonts w:eastAsia="Calibri"/>
                <w:sz w:val="20"/>
              </w:rPr>
            </w:r>
          </w:p>
        </w:tc>
        <w:tc>
          <w:tcPr>
            <w:tcW w:w="983"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1122" w:type="pct"/>
            <w:vAlign w:val="top"/>
            <w:vMerge w:val="restart"/>
            <w:textDirection w:val="lrTb"/>
            <w:noWrap w:val="false"/>
          </w:tcPr>
          <w:p>
            <w:pPr>
              <w:pStyle w:val="965"/>
              <w:tabs>
                <w:tab w:val="left" w:pos="709" w:leader="none"/>
              </w:tabs>
              <w:rPr>
                <w:rFonts w:eastAsia="Calibri"/>
                <w:bCs/>
                <w:sz w:val="20"/>
              </w:rPr>
            </w:pPr>
            <w:r>
              <w:rPr>
                <w:rFonts w:eastAsia="Calibri"/>
                <w:bCs/>
                <w:sz w:val="20"/>
              </w:rPr>
              <w:t xml:space="preserve">Комиссия рассчитывается исходя из фактического входящего остатка на счете за каждый день в течение календарного месяца, включая выходные и праздничные нерабочие дни Российской Федерации.</w:t>
            </w:r>
            <w:r>
              <w:rPr>
                <w:rFonts w:eastAsia="Calibri"/>
                <w:bCs/>
                <w:sz w:val="20"/>
              </w:rPr>
            </w:r>
            <w:r>
              <w:rPr>
                <w:rFonts w:eastAsia="Calibri"/>
                <w:bCs/>
                <w:sz w:val="20"/>
              </w:rPr>
            </w:r>
          </w:p>
          <w:p>
            <w:pPr>
              <w:pStyle w:val="965"/>
              <w:tabs>
                <w:tab w:val="left" w:pos="709" w:leader="none"/>
              </w:tabs>
              <w:rPr>
                <w:rFonts w:eastAsia="Calibri"/>
                <w:iCs/>
                <w:sz w:val="20"/>
              </w:rPr>
            </w:pPr>
            <w:r>
              <w:rPr>
                <w:rFonts w:eastAsia="Calibri"/>
                <w:bCs/>
                <w:sz w:val="20"/>
              </w:rPr>
              <w:t xml:space="preserve">Комиссия взимается ежемесячно не позднее 5-го рабочего дня месяца, следующего за отчетным месяцем</w:t>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965"/>
              <w:tabs>
                <w:tab w:val="left" w:pos="709" w:leader="none"/>
              </w:tabs>
              <w:rPr>
                <w:rFonts w:eastAsia="Calibri"/>
                <w:b/>
                <w:bCs/>
                <w:sz w:val="20"/>
              </w:rPr>
            </w:pPr>
            <w:r>
              <w:rPr>
                <w:rFonts w:eastAsia="Calibri"/>
                <w:b/>
                <w:bCs/>
                <w:sz w:val="20"/>
              </w:rPr>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Cs/>
                <w:sz w:val="20"/>
              </w:rPr>
            </w:pPr>
            <w:r>
              <w:rPr>
                <w:rFonts w:eastAsia="Calibri"/>
                <w:bCs/>
                <w:sz w:val="20"/>
              </w:rPr>
              <w:t xml:space="preserve">При сумме остатка до </w:t>
            </w:r>
            <w:r>
              <w:rPr>
                <w:rFonts w:eastAsia="Calibri"/>
                <w:bCs/>
                <w:sz w:val="20"/>
              </w:rPr>
            </w:r>
            <w:r>
              <w:rPr>
                <w:rFonts w:eastAsia="Calibri"/>
                <w:bCs/>
                <w:sz w:val="20"/>
              </w:rPr>
            </w:r>
          </w:p>
          <w:p>
            <w:pPr>
              <w:pStyle w:val="965"/>
              <w:tabs>
                <w:tab w:val="left" w:pos="709" w:leader="none"/>
              </w:tabs>
              <w:rPr>
                <w:rFonts w:eastAsia="Calibri"/>
                <w:sz w:val="20"/>
              </w:rPr>
            </w:pPr>
            <w:r>
              <w:rPr>
                <w:rFonts w:eastAsia="Calibri"/>
                <w:bCs/>
                <w:sz w:val="20"/>
              </w:rPr>
              <w:t xml:space="preserve">3 000 000.00 евро (включительно)</w:t>
            </w:r>
            <w:r>
              <w:rPr>
                <w:rFonts w:eastAsia="Calibri"/>
                <w:sz w:val="20"/>
              </w:rPr>
            </w:r>
            <w:r>
              <w:rPr>
                <w:rFonts w:eastAsia="Calibri"/>
                <w:sz w:val="20"/>
              </w:rPr>
            </w:r>
          </w:p>
        </w:tc>
        <w:tc>
          <w:tcPr>
            <w:tcW w:w="983" w:type="pct"/>
            <w:vAlign w:val="top"/>
            <w:textDirection w:val="lrTb"/>
            <w:noWrap w:val="false"/>
          </w:tcPr>
          <w:p>
            <w:pPr>
              <w:pStyle w:val="965"/>
              <w:tabs>
                <w:tab w:val="left" w:pos="709" w:leader="none"/>
              </w:tabs>
              <w:rPr>
                <w:rFonts w:eastAsia="Calibri"/>
                <w:sz w:val="20"/>
              </w:rPr>
            </w:pPr>
            <w:r>
              <w:rPr>
                <w:rFonts w:eastAsia="Calibri"/>
                <w:bCs/>
                <w:sz w:val="20"/>
              </w:rPr>
              <w:t xml:space="preserve">Комиссия не взимается</w:t>
            </w:r>
            <w:r>
              <w:rPr>
                <w:rFonts w:eastAsia="Calibri"/>
                <w:sz w:val="20"/>
              </w:rPr>
            </w:r>
            <w:r>
              <w:rPr>
                <w:rFonts w:eastAsia="Calibri"/>
                <w:sz w:val="20"/>
              </w:rPr>
            </w:r>
          </w:p>
        </w:tc>
        <w:tc>
          <w:tcPr>
            <w:tcW w:w="1122" w:type="pct"/>
            <w:vAlign w:val="top"/>
            <w:vMerge w:val="continue"/>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965"/>
              <w:tabs>
                <w:tab w:val="left" w:pos="709" w:leader="none"/>
              </w:tabs>
              <w:rPr>
                <w:rFonts w:eastAsia="Calibri"/>
                <w:b/>
                <w:bCs/>
                <w:sz w:val="20"/>
              </w:rPr>
            </w:pPr>
            <w:r>
              <w:rPr>
                <w:rFonts w:eastAsia="Calibri"/>
                <w:b/>
                <w:bCs/>
                <w:sz w:val="20"/>
              </w:rPr>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Cs/>
                <w:sz w:val="20"/>
              </w:rPr>
            </w:pPr>
            <w:r>
              <w:rPr>
                <w:rFonts w:eastAsia="Calibri"/>
                <w:bCs/>
                <w:sz w:val="20"/>
              </w:rPr>
              <w:t xml:space="preserve">При сумме остатка свыше </w:t>
            </w:r>
            <w:r>
              <w:rPr>
                <w:rFonts w:eastAsia="Calibri"/>
                <w:bCs/>
                <w:sz w:val="20"/>
              </w:rPr>
            </w:r>
            <w:r>
              <w:rPr>
                <w:rFonts w:eastAsia="Calibri"/>
                <w:bCs/>
                <w:sz w:val="20"/>
              </w:rPr>
            </w:r>
          </w:p>
          <w:p>
            <w:pPr>
              <w:pStyle w:val="965"/>
              <w:tabs>
                <w:tab w:val="left" w:pos="709" w:leader="none"/>
              </w:tabs>
              <w:rPr>
                <w:rFonts w:eastAsia="Calibri"/>
                <w:sz w:val="20"/>
              </w:rPr>
            </w:pPr>
            <w:r>
              <w:rPr>
                <w:rFonts w:eastAsia="Calibri"/>
                <w:bCs/>
                <w:sz w:val="20"/>
              </w:rPr>
              <w:t xml:space="preserve">3 000 000.00 евро</w:t>
            </w:r>
            <w:r>
              <w:rPr>
                <w:rFonts w:eastAsia="Calibri"/>
                <w:sz w:val="20"/>
              </w:rPr>
            </w:r>
            <w:r>
              <w:rPr>
                <w:rFonts w:eastAsia="Calibri"/>
                <w:sz w:val="20"/>
              </w:rPr>
            </w:r>
          </w:p>
        </w:tc>
        <w:tc>
          <w:tcPr>
            <w:tcW w:w="983" w:type="pct"/>
            <w:vAlign w:val="top"/>
            <w:textDirection w:val="lrTb"/>
            <w:noWrap w:val="false"/>
          </w:tcPr>
          <w:p>
            <w:pPr>
              <w:pStyle w:val="965"/>
              <w:tabs>
                <w:tab w:val="left" w:pos="709" w:leader="none"/>
              </w:tabs>
              <w:rPr>
                <w:rFonts w:eastAsia="Calibri"/>
                <w:sz w:val="20"/>
              </w:rPr>
            </w:pPr>
            <w:r>
              <w:rPr>
                <w:rFonts w:eastAsia="Calibri"/>
                <w:bCs/>
                <w:sz w:val="20"/>
              </w:rPr>
              <w:t xml:space="preserve">65 евро в день + 65 евро в день за каждые 3 млн. евро, превышающие остаток в размере 3 млн. евро</w:t>
            </w:r>
            <w:r>
              <w:rPr>
                <w:rFonts w:eastAsia="Calibri"/>
                <w:sz w:val="20"/>
              </w:rPr>
            </w:r>
            <w:r>
              <w:rPr>
                <w:rFonts w:eastAsia="Calibri"/>
                <w:sz w:val="20"/>
              </w:rPr>
            </w:r>
          </w:p>
        </w:tc>
        <w:tc>
          <w:tcPr>
            <w:tcW w:w="1122" w:type="pct"/>
            <w:vAlign w:val="top"/>
            <w:vMerge w:val="continue"/>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Cs/>
                <w:sz w:val="20"/>
              </w:rPr>
            </w:pPr>
            <w:r>
              <w:rPr>
                <w:rFonts w:eastAsia="Calibri"/>
                <w:bCs/>
                <w:sz w:val="20"/>
              </w:rPr>
              <w:t xml:space="preserve">1.4.4.</w:t>
            </w:r>
            <w:r>
              <w:rPr>
                <w:rFonts w:eastAsia="Calibri"/>
                <w:bCs/>
                <w:sz w:val="20"/>
              </w:rPr>
            </w:r>
            <w:r>
              <w:rPr>
                <w:rFonts w:eastAsia="Calibri"/>
                <w:bCs/>
                <w:sz w:val="20"/>
              </w:rPr>
            </w:r>
          </w:p>
        </w:tc>
        <w:tc>
          <w:tcPr>
            <w:tcW w:w="2456" w:type="pct"/>
            <w:vAlign w:val="top"/>
            <w:textDirection w:val="lrTb"/>
            <w:noWrap w:val="false"/>
          </w:tcPr>
          <w:p>
            <w:pPr>
              <w:pStyle w:val="965"/>
              <w:tabs>
                <w:tab w:val="left" w:pos="709" w:leader="none"/>
              </w:tabs>
              <w:rPr>
                <w:rFonts w:eastAsia="Calibri"/>
                <w:bCs/>
                <w:sz w:val="20"/>
              </w:rPr>
            </w:pPr>
            <w:r>
              <w:rPr>
                <w:rFonts w:eastAsia="Calibri"/>
                <w:bCs/>
                <w:sz w:val="20"/>
              </w:rPr>
              <w:t xml:space="preserve">Ведение корреспондентского счета специального назначения для кредитной организации - участника закупок</w:t>
              <w:tab/>
            </w:r>
            <w:r>
              <w:rPr>
                <w:rFonts w:eastAsia="Calibri"/>
                <w:bCs/>
                <w:sz w:val="20"/>
              </w:rPr>
            </w:r>
            <w:r>
              <w:rPr>
                <w:rFonts w:eastAsia="Calibri"/>
                <w:bCs/>
                <w:sz w:val="20"/>
              </w:rPr>
            </w:r>
          </w:p>
        </w:tc>
        <w:tc>
          <w:tcPr>
            <w:tcW w:w="983" w:type="pct"/>
            <w:vAlign w:val="top"/>
            <w:textDirection w:val="lrTb"/>
            <w:noWrap w:val="false"/>
          </w:tcPr>
          <w:p>
            <w:pPr>
              <w:pStyle w:val="965"/>
              <w:tabs>
                <w:tab w:val="left" w:pos="709" w:leader="none"/>
              </w:tabs>
              <w:rPr>
                <w:rFonts w:eastAsia="Calibri"/>
                <w:bCs/>
                <w:sz w:val="20"/>
              </w:rPr>
            </w:pPr>
            <w:r>
              <w:rPr>
                <w:rFonts w:eastAsia="Calibri"/>
                <w:bCs/>
                <w:sz w:val="20"/>
              </w:rPr>
              <w:t xml:space="preserve">Комиссия не взимается</w:t>
            </w:r>
            <w:r>
              <w:rPr>
                <w:rFonts w:eastAsia="Calibri"/>
                <w:bCs/>
                <w:sz w:val="20"/>
              </w:rPr>
            </w:r>
            <w:r>
              <w:rPr>
                <w:rFonts w:eastAsia="Calibri"/>
                <w:bCs/>
                <w:sz w:val="20"/>
              </w:rPr>
            </w:r>
          </w:p>
        </w:tc>
        <w:tc>
          <w:tcPr>
            <w:tcW w:w="1122"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Cs/>
                <w:sz w:val="20"/>
              </w:rPr>
            </w:pPr>
            <w:r>
              <w:rPr>
                <w:rFonts w:eastAsia="Calibri"/>
                <w:bCs/>
                <w:sz w:val="20"/>
              </w:rPr>
              <w:t xml:space="preserve">1.4.5.</w:t>
            </w:r>
            <w:r>
              <w:rPr>
                <w:rFonts w:eastAsia="Calibri"/>
                <w:bCs/>
                <w:sz w:val="20"/>
              </w:rPr>
            </w:r>
            <w:r>
              <w:rPr>
                <w:rFonts w:eastAsia="Calibri"/>
                <w:bCs/>
                <w:sz w:val="20"/>
              </w:rPr>
            </w:r>
          </w:p>
        </w:tc>
        <w:tc>
          <w:tcPr>
            <w:tcW w:w="2456" w:type="pct"/>
            <w:vAlign w:val="top"/>
            <w:textDirection w:val="lrTb"/>
            <w:noWrap w:val="false"/>
          </w:tcPr>
          <w:p>
            <w:pPr>
              <w:pStyle w:val="965"/>
              <w:tabs>
                <w:tab w:val="left" w:pos="709" w:leader="none"/>
              </w:tabs>
              <w:rPr>
                <w:rFonts w:eastAsia="Calibri"/>
                <w:bCs/>
                <w:sz w:val="20"/>
              </w:rPr>
            </w:pPr>
            <w:r>
              <w:rPr>
                <w:rFonts w:eastAsia="Calibri"/>
                <w:bCs/>
                <w:sz w:val="20"/>
              </w:rPr>
              <w:t xml:space="preserve">Ведение корреспондентского счета в драгоценных металлах</w:t>
            </w:r>
            <w:r>
              <w:rPr>
                <w:rFonts w:eastAsia="Calibri"/>
                <w:bCs/>
                <w:sz w:val="20"/>
              </w:rPr>
            </w:r>
            <w:r>
              <w:rPr>
                <w:rFonts w:eastAsia="Calibri"/>
                <w:bCs/>
                <w:sz w:val="20"/>
              </w:rPr>
            </w:r>
          </w:p>
        </w:tc>
        <w:tc>
          <w:tcPr>
            <w:tcW w:w="983" w:type="pct"/>
            <w:vAlign w:val="top"/>
            <w:textDirection w:val="lrTb"/>
            <w:noWrap w:val="false"/>
          </w:tcPr>
          <w:p>
            <w:pPr>
              <w:pStyle w:val="965"/>
              <w:tabs>
                <w:tab w:val="left" w:pos="709" w:leader="none"/>
              </w:tabs>
              <w:rPr>
                <w:rFonts w:eastAsia="Calibri"/>
                <w:bCs/>
                <w:sz w:val="20"/>
              </w:rPr>
            </w:pPr>
            <w:r>
              <w:rPr>
                <w:rFonts w:eastAsia="Calibri"/>
                <w:bCs/>
                <w:sz w:val="20"/>
              </w:rPr>
              <w:t xml:space="preserve">Комиссия не взимается</w:t>
            </w:r>
            <w:r>
              <w:rPr>
                <w:rFonts w:eastAsia="Calibri"/>
                <w:bCs/>
                <w:sz w:val="20"/>
              </w:rPr>
            </w:r>
            <w:r>
              <w:rPr>
                <w:rFonts w:eastAsia="Calibri"/>
                <w:bCs/>
                <w:sz w:val="20"/>
              </w:rPr>
            </w:r>
          </w:p>
        </w:tc>
        <w:tc>
          <w:tcPr>
            <w:tcW w:w="1122"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
                <w:bCs/>
                <w:sz w:val="20"/>
              </w:rPr>
              <w:t xml:space="preserve">1.5.</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
                <w:bCs/>
                <w:sz w:val="20"/>
              </w:rPr>
            </w:pPr>
            <w:r>
              <w:rPr>
                <w:rFonts w:eastAsia="Calibri"/>
                <w:b/>
                <w:bCs/>
                <w:sz w:val="20"/>
              </w:rPr>
              <w:t xml:space="preserve">Закрытие корреспондентского счета</w:t>
            </w:r>
            <w:r>
              <w:rPr>
                <w:rFonts w:eastAsia="Calibri"/>
                <w:sz w:val="20"/>
              </w:rPr>
              <w:t xml:space="preserve"> </w:t>
            </w:r>
            <w:r>
              <w:rPr>
                <w:rFonts w:eastAsia="Calibri"/>
                <w:b/>
                <w:bCs/>
                <w:sz w:val="20"/>
              </w:rPr>
            </w:r>
            <w:r>
              <w:rPr>
                <w:rFonts w:eastAsia="Calibri"/>
                <w:b/>
                <w:bCs/>
                <w:sz w:val="20"/>
              </w:rPr>
            </w:r>
          </w:p>
        </w:tc>
        <w:tc>
          <w:tcPr>
            <w:tcW w:w="983" w:type="pct"/>
            <w:vAlign w:val="top"/>
            <w:textDirection w:val="lrTb"/>
            <w:noWrap w:val="false"/>
          </w:tcPr>
          <w:p>
            <w:pPr>
              <w:pStyle w:val="965"/>
              <w:tabs>
                <w:tab w:val="left" w:pos="709" w:leader="none"/>
              </w:tabs>
              <w:rPr>
                <w:rFonts w:eastAsia="Calibri"/>
                <w:sz w:val="20"/>
              </w:rPr>
            </w:pPr>
            <w:r>
              <w:rPr>
                <w:rFonts w:eastAsia="Calibri"/>
                <w:sz w:val="20"/>
              </w:rPr>
              <w:t xml:space="preserve">Комиссия не взимается</w:t>
            </w:r>
            <w:r>
              <w:rPr>
                <w:rFonts w:eastAsia="Calibri"/>
                <w:sz w:val="20"/>
              </w:rPr>
            </w:r>
            <w:r>
              <w:rPr>
                <w:rFonts w:eastAsia="Calibri"/>
                <w:sz w:val="20"/>
              </w:rPr>
            </w:r>
          </w:p>
        </w:tc>
        <w:tc>
          <w:tcPr>
            <w:tcW w:w="1122" w:type="pct"/>
            <w:vAlign w:val="top"/>
            <w:textDirection w:val="lrTb"/>
            <w:noWrap w:val="false"/>
          </w:tcPr>
          <w:p>
            <w:pPr>
              <w:pStyle w:val="965"/>
              <w:tabs>
                <w:tab w:val="left" w:pos="709" w:leader="none"/>
              </w:tabs>
              <w:rPr>
                <w:rFonts w:eastAsia="Calibri"/>
                <w:iCs/>
                <w:sz w:val="20"/>
              </w:rPr>
            </w:pPr>
            <w:r>
              <w:rPr>
                <w:rFonts w:eastAsia="Calibri"/>
                <w:iCs/>
                <w:sz w:val="20"/>
              </w:rPr>
              <w:t xml:space="preserve"> </w:t>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Cs/>
                <w:sz w:val="20"/>
              </w:rPr>
            </w:pPr>
            <w:r>
              <w:rPr>
                <w:rFonts w:eastAsia="Calibri"/>
                <w:bCs/>
                <w:sz w:val="20"/>
              </w:rPr>
              <w:t xml:space="preserve">1.5.1.</w:t>
            </w:r>
            <w:r>
              <w:rPr>
                <w:rFonts w:eastAsia="Calibri"/>
                <w:bCs/>
                <w:sz w:val="20"/>
              </w:rPr>
            </w:r>
            <w:r>
              <w:rPr>
                <w:rFonts w:eastAsia="Calibri"/>
                <w:bCs/>
                <w:sz w:val="20"/>
              </w:rPr>
            </w:r>
          </w:p>
        </w:tc>
        <w:tc>
          <w:tcPr>
            <w:tcW w:w="2456" w:type="pct"/>
            <w:vAlign w:val="top"/>
            <w:textDirection w:val="lrTb"/>
            <w:noWrap w:val="false"/>
          </w:tcPr>
          <w:p>
            <w:pPr>
              <w:pStyle w:val="965"/>
              <w:tabs>
                <w:tab w:val="left" w:pos="709" w:leader="none"/>
              </w:tabs>
              <w:rPr>
                <w:rFonts w:eastAsia="Calibri"/>
                <w:bCs/>
                <w:sz w:val="20"/>
              </w:rPr>
            </w:pPr>
            <w:r>
              <w:rPr>
                <w:rFonts w:eastAsia="Calibri"/>
                <w:bCs/>
                <w:sz w:val="20"/>
              </w:rPr>
              <w:t xml:space="preserve">Закрытие корреспондентского счета специального назначения для кредитной организации - участника закупок</w:t>
              <w:tab/>
            </w:r>
            <w:r>
              <w:rPr>
                <w:rFonts w:eastAsia="Calibri"/>
                <w:bCs/>
                <w:sz w:val="20"/>
              </w:rPr>
            </w:r>
            <w:r>
              <w:rPr>
                <w:rFonts w:eastAsia="Calibri"/>
                <w:bCs/>
                <w:sz w:val="20"/>
              </w:rPr>
            </w:r>
          </w:p>
        </w:tc>
        <w:tc>
          <w:tcPr>
            <w:tcW w:w="983" w:type="pct"/>
            <w:vAlign w:val="top"/>
            <w:textDirection w:val="lrTb"/>
            <w:noWrap w:val="false"/>
          </w:tcPr>
          <w:p>
            <w:pPr>
              <w:pStyle w:val="965"/>
              <w:tabs>
                <w:tab w:val="left" w:pos="709" w:leader="none"/>
              </w:tabs>
              <w:rPr>
                <w:rFonts w:eastAsia="Calibri"/>
                <w:sz w:val="20"/>
              </w:rPr>
            </w:pPr>
            <w:r>
              <w:rPr>
                <w:rFonts w:eastAsia="Calibri"/>
                <w:sz w:val="20"/>
              </w:rPr>
              <w:t xml:space="preserve">Комиссия не взимается</w:t>
            </w:r>
            <w:r>
              <w:rPr>
                <w:rFonts w:eastAsia="Calibri"/>
                <w:sz w:val="20"/>
              </w:rPr>
            </w:r>
            <w:r>
              <w:rPr>
                <w:rFonts w:eastAsia="Calibri"/>
                <w:sz w:val="20"/>
              </w:rPr>
            </w:r>
          </w:p>
        </w:tc>
        <w:tc>
          <w:tcPr>
            <w:tcW w:w="1122"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Cs/>
                <w:sz w:val="20"/>
              </w:rPr>
            </w:pPr>
            <w:r>
              <w:rPr>
                <w:rFonts w:eastAsia="Calibri"/>
                <w:bCs/>
                <w:sz w:val="20"/>
              </w:rPr>
              <w:t xml:space="preserve">1.5.2.</w:t>
            </w:r>
            <w:r>
              <w:rPr>
                <w:rFonts w:eastAsia="Calibri"/>
                <w:bCs/>
                <w:sz w:val="20"/>
              </w:rPr>
            </w:r>
            <w:r>
              <w:rPr>
                <w:rFonts w:eastAsia="Calibri"/>
                <w:bCs/>
                <w:sz w:val="20"/>
              </w:rPr>
            </w:r>
          </w:p>
        </w:tc>
        <w:tc>
          <w:tcPr>
            <w:tcW w:w="2456" w:type="pct"/>
            <w:vAlign w:val="top"/>
            <w:textDirection w:val="lrTb"/>
            <w:noWrap w:val="false"/>
          </w:tcPr>
          <w:p>
            <w:pPr>
              <w:pStyle w:val="965"/>
              <w:tabs>
                <w:tab w:val="left" w:pos="709" w:leader="none"/>
              </w:tabs>
              <w:rPr>
                <w:rFonts w:eastAsia="Calibri"/>
                <w:bCs/>
                <w:sz w:val="20"/>
              </w:rPr>
            </w:pPr>
            <w:r>
              <w:rPr>
                <w:rFonts w:eastAsia="Calibri"/>
                <w:bCs/>
                <w:sz w:val="20"/>
              </w:rPr>
              <w:t xml:space="preserve">Закрытие корреспондентского счета в драгоценных металлах</w:t>
            </w:r>
            <w:r>
              <w:rPr>
                <w:rFonts w:eastAsia="Calibri"/>
                <w:bCs/>
                <w:sz w:val="20"/>
              </w:rPr>
            </w:r>
            <w:r>
              <w:rPr>
                <w:rFonts w:eastAsia="Calibri"/>
                <w:bCs/>
                <w:sz w:val="20"/>
              </w:rPr>
            </w:r>
          </w:p>
        </w:tc>
        <w:tc>
          <w:tcPr>
            <w:tcW w:w="983" w:type="pct"/>
            <w:vAlign w:val="top"/>
            <w:textDirection w:val="lrTb"/>
            <w:noWrap w:val="false"/>
          </w:tcPr>
          <w:p>
            <w:pPr>
              <w:pStyle w:val="965"/>
              <w:tabs>
                <w:tab w:val="left" w:pos="709" w:leader="none"/>
              </w:tabs>
              <w:rPr>
                <w:rFonts w:eastAsia="Calibri"/>
                <w:sz w:val="20"/>
              </w:rPr>
            </w:pPr>
            <w:r>
              <w:rPr>
                <w:rFonts w:eastAsia="Calibri"/>
                <w:sz w:val="20"/>
              </w:rPr>
              <w:t xml:space="preserve">Комиссия не взимается</w:t>
            </w:r>
            <w:r>
              <w:rPr>
                <w:rFonts w:eastAsia="Calibri"/>
                <w:sz w:val="20"/>
              </w:rPr>
            </w:r>
            <w:r>
              <w:rPr>
                <w:rFonts w:eastAsia="Calibri"/>
                <w:sz w:val="20"/>
              </w:rPr>
            </w:r>
          </w:p>
        </w:tc>
        <w:tc>
          <w:tcPr>
            <w:tcW w:w="1122"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lang w:val="en-US"/>
              </w:rPr>
            </w:pPr>
            <w:r>
              <w:rPr>
                <w:rFonts w:eastAsia="Calibri"/>
                <w:b/>
                <w:bCs/>
                <w:sz w:val="20"/>
              </w:rPr>
              <w:t xml:space="preserve">1.6</w:t>
            </w:r>
            <w:r>
              <w:rPr>
                <w:rFonts w:eastAsia="Calibri"/>
                <w:b/>
                <w:bCs/>
                <w:sz w:val="20"/>
                <w:lang w:val="en-US"/>
              </w:rPr>
              <w:t xml:space="preserve">.</w:t>
            </w:r>
            <w:r>
              <w:rPr>
                <w:rFonts w:eastAsia="Calibri"/>
                <w:b/>
                <w:bCs/>
                <w:sz w:val="20"/>
                <w:lang w:val="en-US"/>
              </w:rPr>
            </w:r>
            <w:r>
              <w:rPr>
                <w:rFonts w:eastAsia="Calibri"/>
                <w:b/>
                <w:bCs/>
                <w:sz w:val="20"/>
                <w:lang w:val="en-US"/>
              </w:rPr>
            </w:r>
          </w:p>
        </w:tc>
        <w:tc>
          <w:tcPr>
            <w:tcW w:w="2456" w:type="pct"/>
            <w:vAlign w:val="top"/>
            <w:textDirection w:val="lrTb"/>
            <w:noWrap w:val="false"/>
          </w:tcPr>
          <w:p>
            <w:pPr>
              <w:pStyle w:val="965"/>
              <w:tabs>
                <w:tab w:val="left" w:pos="709" w:leader="none"/>
              </w:tabs>
              <w:rPr>
                <w:rFonts w:eastAsia="Calibri"/>
                <w:b/>
                <w:bCs/>
                <w:sz w:val="20"/>
              </w:rPr>
            </w:pPr>
            <w:r>
              <w:rPr>
                <w:rFonts w:eastAsia="Calibri"/>
                <w:b/>
                <w:bCs/>
                <w:sz w:val="20"/>
              </w:rPr>
              <w:t xml:space="preserve">Направление выписок, дебетовых и кредитовых авизо по системам SWIFT, TELEX, Системе передачи финансовых сообщений Банка России</w:t>
            </w:r>
            <w:r>
              <w:rPr>
                <w:rFonts w:eastAsia="Calibri"/>
                <w:b/>
                <w:bCs/>
                <w:sz w:val="20"/>
              </w:rPr>
            </w:r>
            <w:r>
              <w:rPr>
                <w:rFonts w:eastAsia="Calibri"/>
                <w:b/>
                <w:bCs/>
                <w:sz w:val="20"/>
              </w:rPr>
            </w:r>
          </w:p>
        </w:tc>
        <w:tc>
          <w:tcPr>
            <w:tcW w:w="983" w:type="pct"/>
            <w:vAlign w:val="top"/>
            <w:textDirection w:val="lrTb"/>
            <w:noWrap w:val="false"/>
          </w:tcPr>
          <w:p>
            <w:pPr>
              <w:pStyle w:val="965"/>
              <w:tabs>
                <w:tab w:val="left" w:pos="709" w:leader="none"/>
              </w:tabs>
              <w:rPr>
                <w:rFonts w:eastAsia="Calibri"/>
                <w:sz w:val="20"/>
              </w:rPr>
            </w:pPr>
            <w:r>
              <w:rPr>
                <w:rFonts w:eastAsia="Calibri"/>
                <w:sz w:val="20"/>
              </w:rPr>
              <w:t xml:space="preserve">Комиссия не взимается</w:t>
            </w:r>
            <w:r>
              <w:rPr>
                <w:rFonts w:eastAsia="Calibri"/>
                <w:sz w:val="20"/>
              </w:rPr>
            </w:r>
            <w:r>
              <w:rPr>
                <w:rFonts w:eastAsia="Calibri"/>
                <w:sz w:val="20"/>
              </w:rPr>
            </w:r>
          </w:p>
        </w:tc>
        <w:tc>
          <w:tcPr>
            <w:tcW w:w="1122"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
                <w:bCs/>
                <w:sz w:val="20"/>
              </w:rPr>
              <w:t xml:space="preserve">1.7.</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
                <w:bCs/>
                <w:sz w:val="20"/>
              </w:rPr>
            </w:pPr>
            <w:r>
              <w:rPr>
                <w:rFonts w:eastAsia="Calibri"/>
                <w:b/>
                <w:bCs/>
                <w:sz w:val="20"/>
              </w:rPr>
              <w:t xml:space="preserve">Направление выписок, дебетовых и кредитовых авизо по почте, по факсу и электронной почте по запросу респондента</w:t>
            </w:r>
            <w:r>
              <w:rPr>
                <w:rFonts w:eastAsia="Calibri"/>
                <w:b/>
                <w:bCs/>
                <w:sz w:val="20"/>
              </w:rPr>
            </w:r>
            <w:r>
              <w:rPr>
                <w:rFonts w:eastAsia="Calibri"/>
                <w:b/>
                <w:bCs/>
                <w:sz w:val="20"/>
              </w:rPr>
            </w:r>
          </w:p>
        </w:tc>
        <w:tc>
          <w:tcPr>
            <w:tcW w:w="983" w:type="pct"/>
            <w:vAlign w:val="top"/>
            <w:textDirection w:val="lrTb"/>
            <w:noWrap w:val="false"/>
          </w:tcPr>
          <w:p>
            <w:pPr>
              <w:pStyle w:val="965"/>
              <w:tabs>
                <w:tab w:val="left" w:pos="709" w:leader="none"/>
              </w:tabs>
              <w:rPr>
                <w:rFonts w:eastAsia="Calibri"/>
                <w:sz w:val="20"/>
              </w:rPr>
            </w:pPr>
            <w:r>
              <w:rPr>
                <w:rFonts w:eastAsia="Calibri"/>
                <w:sz w:val="20"/>
              </w:rPr>
              <w:t xml:space="preserve">15 долларов США за каждый документ</w:t>
            </w:r>
            <w:r>
              <w:rPr>
                <w:rFonts w:eastAsia="Calibri"/>
                <w:sz w:val="20"/>
              </w:rPr>
            </w:r>
            <w:r>
              <w:rPr>
                <w:rFonts w:eastAsia="Calibri"/>
                <w:sz w:val="20"/>
              </w:rPr>
            </w:r>
          </w:p>
        </w:tc>
        <w:tc>
          <w:tcPr>
            <w:tcW w:w="1122"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
                <w:bCs/>
                <w:sz w:val="20"/>
              </w:rPr>
              <w:t xml:space="preserve">1.8.</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
                <w:bCs/>
                <w:sz w:val="20"/>
              </w:rPr>
            </w:pPr>
            <w:r>
              <w:rPr>
                <w:rFonts w:eastAsia="Calibri"/>
                <w:b/>
                <w:bCs/>
                <w:sz w:val="20"/>
              </w:rPr>
              <w:t xml:space="preserve">Направление дубликатов выписок, дебетовых и кредитовых авизо по запросу респондента</w:t>
            </w:r>
            <w:r>
              <w:rPr>
                <w:rFonts w:eastAsia="Calibri"/>
                <w:b/>
                <w:bCs/>
                <w:sz w:val="20"/>
              </w:rPr>
            </w:r>
            <w:r>
              <w:rPr>
                <w:rFonts w:eastAsia="Calibri"/>
                <w:b/>
                <w:bCs/>
                <w:sz w:val="20"/>
              </w:rPr>
            </w:r>
          </w:p>
        </w:tc>
        <w:tc>
          <w:tcPr>
            <w:tcW w:w="983" w:type="pct"/>
            <w:vAlign w:val="top"/>
            <w:textDirection w:val="lrTb"/>
            <w:noWrap w:val="false"/>
          </w:tcPr>
          <w:p>
            <w:pPr>
              <w:pStyle w:val="965"/>
              <w:tabs>
                <w:tab w:val="left" w:pos="709" w:leader="none"/>
              </w:tabs>
              <w:rPr>
                <w:rFonts w:eastAsia="Calibri"/>
                <w:sz w:val="20"/>
              </w:rPr>
            </w:pPr>
            <w:r>
              <w:rPr>
                <w:rFonts w:eastAsia="Calibri"/>
                <w:sz w:val="20"/>
              </w:rPr>
              <w:t xml:space="preserve">50 долларов США за каждый документ</w:t>
            </w:r>
            <w:r>
              <w:rPr>
                <w:rFonts w:eastAsia="Calibri"/>
                <w:sz w:val="20"/>
              </w:rPr>
            </w:r>
            <w:r>
              <w:rPr>
                <w:rFonts w:eastAsia="Calibri"/>
                <w:sz w:val="20"/>
              </w:rPr>
            </w:r>
          </w:p>
        </w:tc>
        <w:tc>
          <w:tcPr>
            <w:tcW w:w="1122"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
                <w:bCs/>
                <w:sz w:val="20"/>
              </w:rPr>
              <w:t xml:space="preserve">1.9.</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sz w:val="20"/>
              </w:rPr>
            </w:pPr>
            <w:r>
              <w:rPr>
                <w:rFonts w:eastAsia="Calibri"/>
                <w:b/>
                <w:bCs/>
                <w:sz w:val="20"/>
              </w:rPr>
              <w:t xml:space="preserve">Начисление процентов</w:t>
            </w:r>
            <w:r>
              <w:rPr>
                <w:rFonts w:eastAsia="Calibri"/>
                <w:b/>
                <w:bCs/>
                <w:sz w:val="20"/>
                <w:vertAlign w:val="superscript"/>
              </w:rPr>
              <w:footnoteReference w:id="2"/>
            </w:r>
            <w:r>
              <w:rPr>
                <w:rFonts w:eastAsia="Calibri"/>
                <w:sz w:val="20"/>
              </w:rPr>
              <w:t xml:space="preserve">:</w:t>
            </w:r>
            <w:r>
              <w:rPr>
                <w:rFonts w:eastAsia="Calibri"/>
                <w:sz w:val="20"/>
              </w:rPr>
            </w:r>
            <w:r>
              <w:rPr>
                <w:rFonts w:eastAsia="Calibri"/>
                <w:sz w:val="20"/>
              </w:rPr>
            </w:r>
          </w:p>
        </w:tc>
        <w:tc>
          <w:tcPr>
            <w:tcW w:w="983" w:type="pct"/>
            <w:vAlign w:val="top"/>
            <w:vMerge w:val="restart"/>
            <w:textDirection w:val="lrTb"/>
            <w:noWrap w:val="false"/>
          </w:tcPr>
          <w:p>
            <w:pPr>
              <w:pStyle w:val="965"/>
              <w:tabs>
                <w:tab w:val="left" w:pos="709" w:leader="none"/>
              </w:tabs>
              <w:rPr>
                <w:rFonts w:eastAsia="Calibri"/>
                <w:sz w:val="20"/>
              </w:rPr>
            </w:pPr>
            <w:r>
              <w:rPr>
                <w:rFonts w:eastAsia="Calibri"/>
                <w:bCs/>
                <w:sz w:val="20"/>
              </w:rPr>
              <w:t xml:space="preserve">В соответствии с решением головного офиса Банка (уполномоченного органа либо уполномоченного лица в пределах установленных полномочий)</w:t>
            </w:r>
            <w:r>
              <w:rPr>
                <w:rFonts w:eastAsia="Calibri"/>
                <w:sz w:val="20"/>
              </w:rPr>
            </w:r>
            <w:r>
              <w:rPr>
                <w:rFonts w:eastAsia="Calibri"/>
                <w:sz w:val="20"/>
              </w:rPr>
            </w:r>
          </w:p>
        </w:tc>
        <w:tc>
          <w:tcPr>
            <w:tcW w:w="1122" w:type="pct"/>
            <w:vAlign w:val="top"/>
            <w:textDirection w:val="lrTb"/>
            <w:noWrap w:val="false"/>
          </w:tcPr>
          <w:p>
            <w:pPr>
              <w:pStyle w:val="965"/>
              <w:tabs>
                <w:tab w:val="left" w:pos="709" w:leader="none"/>
              </w:tabs>
              <w:rPr>
                <w:rFonts w:eastAsia="Calibri"/>
                <w:iCs/>
                <w:sz w:val="20"/>
              </w:rPr>
            </w:pPr>
            <w:r>
              <w:rPr>
                <w:rFonts w:eastAsia="Calibri"/>
                <w:sz w:val="20"/>
              </w:rPr>
              <w:t xml:space="preserve">по отдельному соглашению</w:t>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numPr>
                <w:ilvl w:val="0"/>
                <w:numId w:val="9"/>
              </w:numPr>
              <w:ind w:hanging="1036"/>
              <w:tabs>
                <w:tab w:val="num" w:pos="360" w:leader="none"/>
                <w:tab w:val="left" w:pos="709" w:leader="none"/>
              </w:tabs>
              <w:rPr>
                <w:rFonts w:eastAsia="Calibri"/>
                <w:bCs/>
                <w:sz w:val="20"/>
              </w:rPr>
            </w:pPr>
            <w:r>
              <w:rPr>
                <w:rFonts w:eastAsia="Calibri"/>
                <w:bCs/>
                <w:sz w:val="20"/>
              </w:rPr>
              <w:t xml:space="preserve">на кредитовый остаток</w:t>
            </w:r>
            <w:r>
              <w:rPr>
                <w:rFonts w:eastAsia="Calibri"/>
                <w:bCs/>
                <w:sz w:val="20"/>
              </w:rPr>
            </w:r>
            <w:r>
              <w:rPr>
                <w:rFonts w:eastAsia="Calibri"/>
                <w:bCs/>
                <w:sz w:val="20"/>
              </w:rPr>
            </w:r>
          </w:p>
        </w:tc>
        <w:tc>
          <w:tcPr>
            <w:tcW w:w="983" w:type="pct"/>
            <w:vAlign w:val="top"/>
            <w:vMerge w:val="continue"/>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1122" w:type="pct"/>
            <w:vAlign w:val="top"/>
            <w:textDirection w:val="lrTb"/>
            <w:noWrap w:val="false"/>
          </w:tcPr>
          <w:p>
            <w:pPr>
              <w:pStyle w:val="965"/>
              <w:tabs>
                <w:tab w:val="left" w:pos="709" w:leader="none"/>
              </w:tabs>
              <w:rPr>
                <w:rFonts w:eastAsia="Calibri"/>
                <w:sz w:val="20"/>
              </w:rPr>
            </w:pPr>
            <w:r>
              <w:rPr>
                <w:rFonts w:eastAsia="Calibri"/>
                <w:sz w:val="20"/>
              </w:rPr>
              <w:t xml:space="preserve">по отдельному соглашению</w:t>
            </w:r>
            <w:r>
              <w:rPr>
                <w:rFonts w:eastAsia="Calibri"/>
                <w:sz w:val="20"/>
              </w:rPr>
            </w:r>
            <w:r>
              <w:rPr>
                <w:rFonts w:eastAsia="Calibri"/>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numPr>
                <w:ilvl w:val="0"/>
                <w:numId w:val="9"/>
              </w:numPr>
              <w:ind w:hanging="1036"/>
              <w:tabs>
                <w:tab w:val="num" w:pos="360" w:leader="none"/>
                <w:tab w:val="left" w:pos="709" w:leader="none"/>
              </w:tabs>
              <w:rPr>
                <w:rFonts w:eastAsia="Calibri"/>
                <w:bCs/>
                <w:sz w:val="20"/>
              </w:rPr>
            </w:pPr>
            <w:r>
              <w:rPr>
                <w:rFonts w:eastAsia="Calibri"/>
                <w:bCs/>
                <w:sz w:val="20"/>
              </w:rPr>
              <w:t xml:space="preserve">за овердрафт</w:t>
            </w:r>
            <w:r>
              <w:rPr>
                <w:rFonts w:eastAsia="Calibri"/>
                <w:bCs/>
                <w:sz w:val="20"/>
              </w:rPr>
            </w:r>
            <w:r>
              <w:rPr>
                <w:rFonts w:eastAsia="Calibri"/>
                <w:bCs/>
                <w:sz w:val="20"/>
              </w:rPr>
            </w:r>
          </w:p>
        </w:tc>
        <w:tc>
          <w:tcPr>
            <w:tcW w:w="983" w:type="pct"/>
            <w:vAlign w:val="top"/>
            <w:vMerge w:val="continue"/>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1122" w:type="pct"/>
            <w:vAlign w:val="top"/>
            <w:textDirection w:val="lrTb"/>
            <w:noWrap w:val="false"/>
          </w:tcPr>
          <w:p>
            <w:pPr>
              <w:pStyle w:val="965"/>
              <w:tabs>
                <w:tab w:val="left" w:pos="709" w:leader="none"/>
              </w:tabs>
              <w:rPr>
                <w:rFonts w:eastAsia="Calibri"/>
                <w:sz w:val="20"/>
              </w:rPr>
            </w:pPr>
            <w:r>
              <w:rPr>
                <w:rFonts w:eastAsia="Calibri"/>
                <w:sz w:val="20"/>
              </w:rPr>
              <w:t xml:space="preserve">по отдельному соглашению</w:t>
            </w:r>
            <w:r>
              <w:rPr>
                <w:rFonts w:eastAsia="Calibri"/>
                <w:sz w:val="20"/>
              </w:rPr>
            </w:r>
            <w:r>
              <w:rPr>
                <w:rFonts w:eastAsia="Calibri"/>
                <w:sz w:val="20"/>
              </w:rPr>
            </w:r>
          </w:p>
        </w:tc>
      </w:tr>
    </w:tbl>
    <w:p>
      <w:pPr>
        <w:pStyle w:val="965"/>
      </w:pPr>
      <w:r/>
      <w:r/>
    </w:p>
    <w:p>
      <w:pPr>
        <w:pStyle w:val="969"/>
      </w:pPr>
      <w:r/>
      <w:bookmarkStart w:id="5" w:name="_Toc95617938"/>
      <w:r/>
      <w:bookmarkStart w:id="6" w:name="_Toc497902219"/>
      <w:r>
        <w:t xml:space="preserve">2. </w:t>
      </w:r>
      <w:bookmarkEnd w:id="5"/>
      <w:r>
        <w:t xml:space="preserve">Расчетное обслуживание (для респондентов)</w:t>
      </w:r>
      <w:bookmarkEnd w:id="6"/>
      <w:r/>
      <w:r/>
    </w:p>
    <w:p>
      <w:pPr>
        <w:pStyle w:val="965"/>
      </w:pPr>
      <w: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89"/>
        <w:gridCol w:w="4968"/>
        <w:gridCol w:w="1881"/>
        <w:gridCol w:w="23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5000" w:type="pct"/>
            <w:vAlign w:val="center"/>
            <w:textDirection w:val="lrTb"/>
            <w:noWrap w:val="false"/>
          </w:tcPr>
          <w:p>
            <w:pPr>
              <w:pStyle w:val="965"/>
              <w:jc w:val="center"/>
              <w:tabs>
                <w:tab w:val="left" w:pos="709" w:leader="none"/>
              </w:tabs>
              <w:rPr>
                <w:rFonts w:eastAsia="Calibri"/>
                <w:b/>
                <w:bCs/>
                <w:sz w:val="20"/>
              </w:rPr>
            </w:pPr>
            <w:r>
              <w:rPr>
                <w:rFonts w:eastAsia="Calibri"/>
                <w:b/>
                <w:bCs/>
                <w:sz w:val="20"/>
              </w:rPr>
              <w:t xml:space="preserve">2. Расчетное обслуживание (для респондентов)</w:t>
            </w:r>
            <w:r>
              <w:rPr>
                <w:rFonts w:eastAsia="Calibri"/>
                <w:b/>
                <w:bCs/>
                <w:sz w:val="20"/>
              </w:rPr>
            </w:r>
            <w:r>
              <w:rPr>
                <w:rFonts w:eastAsia="Calibri"/>
                <w:b/>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center"/>
            <w:textDirection w:val="lrTb"/>
            <w:noWrap w:val="false"/>
          </w:tcPr>
          <w:p>
            <w:pPr>
              <w:pStyle w:val="965"/>
              <w:tabs>
                <w:tab w:val="left" w:pos="709" w:leader="none"/>
              </w:tabs>
              <w:rPr>
                <w:rFonts w:eastAsia="Calibri"/>
                <w:iCs/>
                <w:sz w:val="20"/>
              </w:rPr>
            </w:pPr>
            <w:r>
              <w:rPr>
                <w:rFonts w:eastAsia="Calibri"/>
                <w:iCs/>
                <w:sz w:val="20"/>
              </w:rPr>
              <w:t xml:space="preserve">№ п/п</w:t>
            </w:r>
            <w:r>
              <w:rPr>
                <w:rFonts w:eastAsia="Calibri"/>
                <w:iCs/>
                <w:sz w:val="20"/>
              </w:rPr>
            </w:r>
            <w:r>
              <w:rPr>
                <w:rFonts w:eastAsia="Calibri"/>
                <w:iCs/>
                <w:sz w:val="20"/>
              </w:rPr>
            </w:r>
          </w:p>
        </w:tc>
        <w:tc>
          <w:tcPr>
            <w:tcW w:w="2456" w:type="pct"/>
            <w:vAlign w:val="center"/>
            <w:textDirection w:val="lrTb"/>
            <w:noWrap w:val="false"/>
          </w:tcPr>
          <w:p>
            <w:pPr>
              <w:pStyle w:val="965"/>
              <w:tabs>
                <w:tab w:val="left" w:pos="709" w:leader="none"/>
              </w:tabs>
              <w:rPr>
                <w:rFonts w:eastAsia="Calibri"/>
                <w:iCs/>
                <w:sz w:val="20"/>
              </w:rPr>
            </w:pPr>
            <w:r>
              <w:rPr>
                <w:rFonts w:eastAsia="Calibri"/>
                <w:iCs/>
                <w:sz w:val="20"/>
              </w:rPr>
              <w:t xml:space="preserve">Наименование услуги</w:t>
            </w:r>
            <w:r>
              <w:rPr>
                <w:rFonts w:eastAsia="Calibri"/>
                <w:iCs/>
                <w:sz w:val="20"/>
              </w:rPr>
            </w:r>
            <w:r>
              <w:rPr>
                <w:rFonts w:eastAsia="Calibri"/>
                <w:iCs/>
                <w:sz w:val="20"/>
              </w:rPr>
            </w:r>
          </w:p>
        </w:tc>
        <w:tc>
          <w:tcPr>
            <w:tcW w:w="930" w:type="pct"/>
            <w:vAlign w:val="center"/>
            <w:textDirection w:val="lrTb"/>
            <w:noWrap w:val="false"/>
          </w:tcPr>
          <w:p>
            <w:pPr>
              <w:pStyle w:val="965"/>
              <w:tabs>
                <w:tab w:val="left" w:pos="709" w:leader="none"/>
              </w:tabs>
              <w:rPr>
                <w:rFonts w:eastAsia="Calibri"/>
                <w:iCs/>
                <w:sz w:val="20"/>
              </w:rPr>
            </w:pPr>
            <w:r>
              <w:rPr>
                <w:rFonts w:eastAsia="Calibri"/>
                <w:iCs/>
                <w:sz w:val="20"/>
              </w:rPr>
              <w:t xml:space="preserve">Тариф</w:t>
            </w:r>
            <w:r>
              <w:rPr>
                <w:rFonts w:eastAsia="Calibri"/>
                <w:iCs/>
                <w:sz w:val="20"/>
              </w:rPr>
            </w:r>
            <w:r>
              <w:rPr>
                <w:rFonts w:eastAsia="Calibri"/>
                <w:iCs/>
                <w:sz w:val="20"/>
              </w:rPr>
            </w:r>
          </w:p>
        </w:tc>
        <w:tc>
          <w:tcPr>
            <w:tcW w:w="1176" w:type="pct"/>
            <w:vAlign w:val="center"/>
            <w:textDirection w:val="lrTb"/>
            <w:noWrap w:val="false"/>
          </w:tcPr>
          <w:p>
            <w:pPr>
              <w:pStyle w:val="965"/>
              <w:tabs>
                <w:tab w:val="left" w:pos="709" w:leader="none"/>
              </w:tabs>
              <w:rPr>
                <w:rFonts w:eastAsia="Calibri"/>
                <w:iCs/>
                <w:sz w:val="20"/>
              </w:rPr>
            </w:pPr>
            <w:r>
              <w:rPr>
                <w:rFonts w:eastAsia="Calibri"/>
                <w:iCs/>
                <w:sz w:val="20"/>
              </w:rPr>
              <w:t xml:space="preserve">Примечание</w:t>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
                <w:bCs/>
                <w:sz w:val="20"/>
              </w:rPr>
              <w:t xml:space="preserve">2.1.</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
                <w:bCs/>
                <w:sz w:val="20"/>
              </w:rPr>
            </w:pPr>
            <w:r>
              <w:rPr>
                <w:rFonts w:eastAsia="Calibri"/>
                <w:b/>
                <w:bCs/>
                <w:sz w:val="20"/>
              </w:rPr>
              <w:t xml:space="preserve">Переводы в валюте Российской Федерации: </w:t>
            </w:r>
            <w:r>
              <w:rPr>
                <w:rFonts w:eastAsia="Calibri"/>
                <w:b/>
                <w:bCs/>
                <w:sz w:val="20"/>
              </w:rPr>
            </w:r>
            <w:r>
              <w:rPr>
                <w:rFonts w:eastAsia="Calibri"/>
                <w:b/>
                <w:bCs/>
                <w:sz w:val="20"/>
              </w:rPr>
            </w:r>
          </w:p>
        </w:tc>
        <w:tc>
          <w:tcPr>
            <w:tcW w:w="930"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t xml:space="preserve">2.1.1.</w:t>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Зачисление средств на корреспондентский счет</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Комиссия не взимается</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t xml:space="preserve">2.1.2.</w:t>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Списание средств с корреспондентского счета:</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restart"/>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numPr>
                <w:ilvl w:val="0"/>
                <w:numId w:val="4"/>
              </w:numPr>
              <w:tabs>
                <w:tab w:val="num" w:pos="224" w:leader="none"/>
                <w:tab w:val="left" w:pos="709" w:leader="none"/>
              </w:tabs>
              <w:rPr>
                <w:rFonts w:eastAsia="Calibri"/>
                <w:sz w:val="20"/>
              </w:rPr>
            </w:pPr>
            <w:r>
              <w:rPr>
                <w:rFonts w:eastAsia="Calibri"/>
                <w:sz w:val="20"/>
              </w:rPr>
              <w:t xml:space="preserve">переводы внутри Банка</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iCs/>
                <w:sz w:val="20"/>
              </w:rPr>
            </w:pPr>
            <w:r>
              <w:rPr>
                <w:rFonts w:eastAsia="Calibri"/>
                <w:sz w:val="20"/>
              </w:rPr>
              <w:t xml:space="preserve">Комиссия не взимается</w:t>
            </w:r>
            <w:r>
              <w:rPr>
                <w:rFonts w:eastAsia="Calibri"/>
                <w:iCs/>
                <w:sz w:val="20"/>
              </w:rPr>
            </w:r>
            <w:r>
              <w:rPr>
                <w:rFonts w:eastAsia="Calibri"/>
                <w:iCs/>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numPr>
                <w:ilvl w:val="0"/>
                <w:numId w:val="4"/>
              </w:numPr>
              <w:tabs>
                <w:tab w:val="num" w:pos="224" w:leader="none"/>
                <w:tab w:val="left" w:pos="709" w:leader="none"/>
              </w:tabs>
              <w:rPr>
                <w:rFonts w:eastAsia="Calibri"/>
                <w:sz w:val="20"/>
              </w:rPr>
            </w:pPr>
            <w:r>
              <w:rPr>
                <w:rFonts w:eastAsia="Calibri"/>
                <w:sz w:val="20"/>
              </w:rPr>
              <w:t xml:space="preserve">переводы через платежную систему Банка России:</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39" w:type="pct"/>
            <w:vAlign w:val="top"/>
            <w:vMerge w:val="continue"/>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 переводы с использованием сервиса несрочного перевода Банка России по распоряжениям, принятым до установленного времени, указанного в договоре</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23 рубля за одно платежное поручение</w:t>
            </w:r>
            <w:r>
              <w:rPr>
                <w:rFonts w:eastAsia="Calibri"/>
                <w:sz w:val="20"/>
              </w:rPr>
            </w:r>
            <w:r>
              <w:rPr>
                <w:rFonts w:eastAsia="Calibri"/>
                <w:sz w:val="20"/>
              </w:rPr>
            </w:r>
          </w:p>
        </w:tc>
        <w:tc>
          <w:tcPr>
            <w:tcW w:w="1176" w:type="pct"/>
            <w:vAlign w:val="center"/>
            <w:vMerge w:val="restart"/>
            <w:textDirection w:val="lrTb"/>
            <w:noWrap w:val="false"/>
          </w:tcPr>
          <w:p>
            <w:pPr>
              <w:pStyle w:val="965"/>
              <w:tabs>
                <w:tab w:val="left" w:pos="709" w:leader="none"/>
              </w:tabs>
              <w:rPr>
                <w:rFonts w:eastAsia="Calibri"/>
                <w:iCs/>
                <w:sz w:val="20"/>
              </w:rPr>
            </w:pPr>
            <w:r>
              <w:rPr>
                <w:rFonts w:eastAsia="Calibri"/>
                <w:iCs/>
                <w:sz w:val="20"/>
              </w:rPr>
              <w:t xml:space="preserve">Тариф ЦБ РФ за телеграфный перевод оплачивается дополнительно</w:t>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 переводы с использованием сервиса срочного перевода Банка России по распоряжениям, принятым до установленного времени, указанного в договоре</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30 рублей </w:t>
              <w:br w:type="textWrapping" w:clear="all"/>
              <w:t xml:space="preserve">за одно платежное поручение</w:t>
            </w:r>
            <w:r>
              <w:rPr>
                <w:rFonts w:eastAsia="Calibri"/>
                <w:sz w:val="20"/>
              </w:rPr>
            </w:r>
            <w:r>
              <w:rPr>
                <w:rFonts w:eastAsia="Calibri"/>
                <w:sz w:val="20"/>
              </w:rPr>
            </w:r>
          </w:p>
        </w:tc>
        <w:tc>
          <w:tcPr>
            <w:tcW w:w="1176" w:type="pct"/>
            <w:vAlign w:val="top"/>
            <w:vMerge w:val="continue"/>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 переводы по распоряжениям, принятым после установленного времени, указанного в договоре (при наличии возможности)</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300 рублей </w:t>
              <w:br w:type="textWrapping" w:clear="all"/>
              <w:t xml:space="preserve">за одно платежное поручение</w:t>
            </w:r>
            <w:r>
              <w:rPr>
                <w:rFonts w:eastAsia="Calibri"/>
                <w:sz w:val="20"/>
              </w:rPr>
            </w:r>
            <w:r>
              <w:rPr>
                <w:rFonts w:eastAsia="Calibri"/>
                <w:sz w:val="20"/>
              </w:rPr>
            </w:r>
          </w:p>
        </w:tc>
        <w:tc>
          <w:tcPr>
            <w:tcW w:w="1176" w:type="pct"/>
            <w:vAlign w:val="top"/>
            <w:vMerge w:val="continue"/>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t xml:space="preserve">2.1.3.</w:t>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Изменение реквизитов переводов, возврат/аннуляция распоряжения о переводе, запрос о дате зачисления средств на корреспондентский счет в банке-получателе</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500 рублей </w:t>
              <w:br w:type="textWrapping" w:clear="all"/>
              <w:t xml:space="preserve">за каждый перевод</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
                <w:bCs/>
                <w:sz w:val="20"/>
              </w:rPr>
              <w:t xml:space="preserve">2.2.</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
                <w:bCs/>
                <w:sz w:val="20"/>
              </w:rPr>
            </w:pPr>
            <w:r>
              <w:rPr>
                <w:rFonts w:eastAsia="Calibri"/>
                <w:b/>
                <w:bCs/>
                <w:sz w:val="20"/>
              </w:rPr>
              <w:t xml:space="preserve">Переводы в иностранной валюте:</w:t>
            </w:r>
            <w:r>
              <w:rPr>
                <w:rFonts w:eastAsia="Calibri"/>
                <w:b/>
                <w:bCs/>
                <w:sz w:val="20"/>
              </w:rPr>
            </w:r>
            <w:r>
              <w:rPr>
                <w:rFonts w:eastAsia="Calibri"/>
                <w:b/>
                <w:bCs/>
                <w:sz w:val="20"/>
              </w:rPr>
            </w:r>
          </w:p>
        </w:tc>
        <w:tc>
          <w:tcPr>
            <w:tcW w:w="930"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t xml:space="preserve">2.2.1.</w:t>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Зачисление средств на корреспондентский счет</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Комиссия не взимается</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t xml:space="preserve">2.2.2.</w:t>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Списание средств с корреспондентского счета:</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restart"/>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numPr>
                <w:ilvl w:val="0"/>
                <w:numId w:val="4"/>
              </w:numPr>
              <w:jc w:val="both"/>
              <w:tabs>
                <w:tab w:val="num" w:pos="224" w:leader="none"/>
                <w:tab w:val="left" w:pos="709" w:leader="none"/>
              </w:tabs>
              <w:rPr>
                <w:rFonts w:eastAsia="Calibri"/>
                <w:sz w:val="20"/>
              </w:rPr>
            </w:pPr>
            <w:r>
              <w:rPr>
                <w:rFonts w:eastAsia="Calibri"/>
                <w:sz w:val="20"/>
              </w:rPr>
              <w:t xml:space="preserve">Переводы в пользу бенефициара-клиента Банка</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Комиссия не взимается</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numPr>
                <w:ilvl w:val="0"/>
                <w:numId w:val="4"/>
              </w:numPr>
              <w:jc w:val="both"/>
              <w:tabs>
                <w:tab w:val="num" w:pos="224" w:leader="none"/>
                <w:tab w:val="left" w:pos="709" w:leader="none"/>
              </w:tabs>
              <w:rPr>
                <w:rFonts w:eastAsia="Calibri"/>
                <w:sz w:val="20"/>
              </w:rPr>
            </w:pPr>
            <w:r>
              <w:rPr>
                <w:rFonts w:eastAsia="Calibri"/>
                <w:sz w:val="20"/>
              </w:rPr>
              <w:t xml:space="preserve">Переводы с использованием корреспондентской сети ЛОРО АО «Россельхозбанк»</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Комиссия не взимается</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numPr>
                <w:ilvl w:val="0"/>
                <w:numId w:val="4"/>
              </w:numPr>
              <w:jc w:val="both"/>
              <w:tabs>
                <w:tab w:val="num" w:pos="224" w:leader="none"/>
                <w:tab w:val="left" w:pos="709" w:leader="none"/>
              </w:tabs>
              <w:rPr>
                <w:rFonts w:eastAsia="Calibri"/>
                <w:b/>
                <w:bCs/>
                <w:sz w:val="20"/>
              </w:rPr>
            </w:pPr>
            <w:r>
              <w:rPr>
                <w:rFonts w:eastAsia="Calibri"/>
                <w:sz w:val="20"/>
              </w:rPr>
              <w:t xml:space="preserve">Переводы в пользу бенефициара-клиента другого банка с использованием счетов НОСТРО </w:t>
              <w:br w:type="textWrapping" w:clear="all"/>
              <w:t xml:space="preserve">АО «Россельхозбанк»:</w:t>
            </w:r>
            <w:r>
              <w:rPr>
                <w:rFonts w:eastAsia="Calibri"/>
                <w:b/>
                <w:bCs/>
                <w:sz w:val="20"/>
              </w:rPr>
            </w:r>
            <w:r>
              <w:rPr>
                <w:rFonts w:eastAsia="Calibri"/>
                <w:b/>
                <w:bCs/>
                <w:sz w:val="20"/>
              </w:rPr>
            </w:r>
          </w:p>
        </w:tc>
        <w:tc>
          <w:tcPr>
            <w:tcW w:w="930"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«BEN» - все расходы относятся на счет бенефициара</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12 долларов США</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«OUR» - все расходы относятся на счет отправителя</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12 долларов США</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t xml:space="preserve">Комиссии третьих банков взимаются дополнительно</w:t>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«SHA» - все расходы на стороне отправителя относятся на счет отправителя</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12 долларов США</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t xml:space="preserve">Комиссия, взимаемая остальными участниками перевода, взимается за счет бенефициара</w:t>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t xml:space="preserve">2.2.3.</w:t>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Межбанковские переводы</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Комиссия не взимается</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t xml:space="preserve">Взимаются только комиссии третьих банков</w:t>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t xml:space="preserve">2.2.4.</w:t>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Исполнение распоряжений, полученных после установленного времени, указанного в договоре (распоряжении), но не позднее 17:30 мск сроком валютирования «сегодня» (по возможности) </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50 долларов США</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t xml:space="preserve">Комиссии третьих банков взимаются дополнительно</w:t>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t xml:space="preserve">2.2.5.</w:t>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Изменение реквизитов переводов, возврат/аннуляция распоряжения о переводе, запрос о дате кредитования счета бенефициара</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50 долларов США за каждый перевод</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t xml:space="preserve">Комиссии третьих банков взимаются дополнительно</w:t>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t xml:space="preserve">2.2.6.</w:t>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Возврат переводоотправителю поступившего в Банк перевода ввиду невозможности исполнения</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25 долларов США за каждый перевод на сумму свыше 1000 долларов США</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sz w:val="20"/>
              </w:rPr>
            </w:pPr>
            <w:r>
              <w:rPr>
                <w:rFonts w:eastAsia="Calibri"/>
                <w:b/>
                <w:sz w:val="20"/>
              </w:rPr>
              <w:t xml:space="preserve">2.3.</w:t>
            </w:r>
            <w:r>
              <w:rPr>
                <w:rFonts w:eastAsia="Calibri"/>
                <w:b/>
                <w:sz w:val="20"/>
              </w:rPr>
            </w:r>
            <w:r>
              <w:rPr>
                <w:rFonts w:eastAsia="Calibri"/>
                <w:b/>
                <w:sz w:val="20"/>
              </w:rPr>
            </w:r>
          </w:p>
        </w:tc>
        <w:tc>
          <w:tcPr>
            <w:tcW w:w="2456" w:type="pct"/>
            <w:vAlign w:val="top"/>
            <w:textDirection w:val="lrTb"/>
            <w:noWrap w:val="false"/>
          </w:tcPr>
          <w:p>
            <w:pPr>
              <w:pStyle w:val="965"/>
              <w:tabs>
                <w:tab w:val="left" w:pos="709" w:leader="none"/>
              </w:tabs>
              <w:rPr>
                <w:rFonts w:eastAsia="Calibri"/>
                <w:sz w:val="20"/>
              </w:rPr>
            </w:pPr>
            <w:r>
              <w:rPr>
                <w:rFonts w:eastAsia="Calibri"/>
                <w:b/>
                <w:bCs/>
                <w:sz w:val="20"/>
              </w:rPr>
              <w:t xml:space="preserve">Зачисление драгоценного металла на счет:</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trPr>
        <w:tc>
          <w:tcPr>
            <w:tcW w:w="439"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numPr>
                <w:ilvl w:val="0"/>
                <w:numId w:val="4"/>
              </w:numPr>
              <w:tabs>
                <w:tab w:val="num" w:pos="224" w:leader="none"/>
                <w:tab w:val="left" w:pos="709" w:leader="none"/>
              </w:tabs>
              <w:rPr>
                <w:rFonts w:eastAsia="Calibri"/>
                <w:sz w:val="20"/>
              </w:rPr>
            </w:pPr>
            <w:r>
              <w:rPr>
                <w:rFonts w:eastAsia="Calibri"/>
                <w:sz w:val="20"/>
              </w:rPr>
              <w:t xml:space="preserve">внесенного респондентом в виде слитков в хранилище ценностей</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По соглашению сторон</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numPr>
                <w:ilvl w:val="0"/>
                <w:numId w:val="4"/>
              </w:numPr>
              <w:tabs>
                <w:tab w:val="num" w:pos="224" w:leader="none"/>
                <w:tab w:val="left" w:pos="709" w:leader="none"/>
              </w:tabs>
              <w:rPr>
                <w:rFonts w:eastAsia="Calibri"/>
                <w:sz w:val="20"/>
              </w:rPr>
            </w:pPr>
            <w:r>
              <w:rPr>
                <w:rFonts w:eastAsia="Calibri"/>
                <w:sz w:val="20"/>
              </w:rPr>
              <w:t xml:space="preserve">поступившего с иного корреспондентского счета в драгоценных металлах</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Комиссия</w:t>
            </w:r>
            <w:r>
              <w:rPr>
                <w:rFonts w:eastAsia="Calibri"/>
                <w:sz w:val="20"/>
              </w:rPr>
            </w:r>
            <w:r>
              <w:rPr>
                <w:rFonts w:eastAsia="Calibri"/>
                <w:sz w:val="20"/>
              </w:rPr>
            </w:r>
          </w:p>
          <w:p>
            <w:pPr>
              <w:pStyle w:val="965"/>
              <w:tabs>
                <w:tab w:val="left" w:pos="709" w:leader="none"/>
              </w:tabs>
              <w:rPr>
                <w:rFonts w:eastAsia="Calibri"/>
                <w:sz w:val="20"/>
              </w:rPr>
            </w:pPr>
            <w:r>
              <w:rPr>
                <w:rFonts w:eastAsia="Calibri"/>
                <w:sz w:val="20"/>
              </w:rPr>
              <w:t xml:space="preserve">не взимается</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numPr>
                <w:ilvl w:val="0"/>
                <w:numId w:val="4"/>
              </w:numPr>
              <w:tabs>
                <w:tab w:val="num" w:pos="224" w:leader="none"/>
                <w:tab w:val="left" w:pos="709" w:leader="none"/>
              </w:tabs>
              <w:rPr>
                <w:rFonts w:eastAsia="Calibri"/>
                <w:sz w:val="20"/>
              </w:rPr>
            </w:pPr>
            <w:r>
              <w:rPr>
                <w:rFonts w:eastAsia="Calibri"/>
                <w:sz w:val="20"/>
              </w:rPr>
              <w:t xml:space="preserve">поступившего от Банка по сделкам с драгоценным металлом</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Комиссия</w:t>
            </w:r>
            <w:r>
              <w:rPr>
                <w:rFonts w:eastAsia="Calibri"/>
                <w:sz w:val="20"/>
              </w:rPr>
            </w:r>
            <w:r>
              <w:rPr>
                <w:rFonts w:eastAsia="Calibri"/>
                <w:sz w:val="20"/>
              </w:rPr>
            </w:r>
          </w:p>
          <w:p>
            <w:pPr>
              <w:pStyle w:val="965"/>
              <w:tabs>
                <w:tab w:val="left" w:pos="709" w:leader="none"/>
              </w:tabs>
              <w:rPr>
                <w:rFonts w:eastAsia="Calibri"/>
                <w:sz w:val="20"/>
              </w:rPr>
            </w:pPr>
            <w:r>
              <w:rPr>
                <w:rFonts w:eastAsia="Calibri"/>
                <w:sz w:val="20"/>
              </w:rPr>
              <w:t xml:space="preserve">не взимается</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t xml:space="preserve">2.3.1.</w:t>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bCs/>
                <w:sz w:val="20"/>
              </w:rPr>
              <w:t xml:space="preserve">Списание драгоценного металла со счета:</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numPr>
                <w:ilvl w:val="0"/>
                <w:numId w:val="4"/>
              </w:numPr>
              <w:tabs>
                <w:tab w:val="num" w:pos="224" w:leader="none"/>
                <w:tab w:val="left" w:pos="709" w:leader="none"/>
              </w:tabs>
              <w:rPr>
                <w:rFonts w:eastAsia="Calibri"/>
                <w:sz w:val="20"/>
              </w:rPr>
            </w:pPr>
            <w:r>
              <w:rPr>
                <w:rFonts w:eastAsia="Calibri"/>
                <w:sz w:val="20"/>
              </w:rPr>
              <w:t xml:space="preserve">с последующей выдачей слитков респонденту в хранилище ценностей</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bCs/>
                <w:sz w:val="20"/>
              </w:rPr>
              <w:t xml:space="preserve">По соглашению сторон</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numPr>
                <w:ilvl w:val="0"/>
                <w:numId w:val="4"/>
              </w:numPr>
              <w:tabs>
                <w:tab w:val="num" w:pos="224" w:leader="none"/>
                <w:tab w:val="left" w:pos="709" w:leader="none"/>
              </w:tabs>
              <w:rPr>
                <w:rFonts w:eastAsia="Calibri"/>
                <w:sz w:val="20"/>
              </w:rPr>
            </w:pPr>
            <w:r>
              <w:rPr>
                <w:rFonts w:eastAsia="Calibri"/>
                <w:sz w:val="20"/>
              </w:rPr>
              <w:t xml:space="preserve">для зачисления на иной корреспондентский счет в драгоценных металлах</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bCs/>
                <w:sz w:val="20"/>
              </w:rPr>
            </w:pPr>
            <w:r>
              <w:rPr>
                <w:rFonts w:eastAsia="Calibri"/>
                <w:bCs/>
                <w:sz w:val="20"/>
              </w:rPr>
              <w:t xml:space="preserve">Комиссия</w:t>
            </w:r>
            <w:r>
              <w:rPr>
                <w:rFonts w:eastAsia="Calibri"/>
                <w:bCs/>
                <w:sz w:val="20"/>
              </w:rPr>
            </w:r>
            <w:r>
              <w:rPr>
                <w:rFonts w:eastAsia="Calibri"/>
                <w:bCs/>
                <w:sz w:val="20"/>
              </w:rPr>
            </w:r>
          </w:p>
          <w:p>
            <w:pPr>
              <w:pStyle w:val="965"/>
              <w:tabs>
                <w:tab w:val="left" w:pos="709" w:leader="none"/>
              </w:tabs>
              <w:rPr>
                <w:rFonts w:eastAsia="Calibri"/>
                <w:sz w:val="20"/>
              </w:rPr>
            </w:pPr>
            <w:r>
              <w:rPr>
                <w:rFonts w:eastAsia="Calibri"/>
                <w:bCs/>
                <w:sz w:val="20"/>
              </w:rPr>
              <w:t xml:space="preserve">не взимается</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sz w:val="20"/>
              </w:rPr>
            </w:pPr>
            <w:r>
              <w:rPr>
                <w:rFonts w:eastAsia="Calibri"/>
                <w:iCs/>
                <w:sz w:val="20"/>
              </w:rPr>
              <w:t xml:space="preserve">Комиссии третьих банков взимаются дополнительно</w:t>
            </w:r>
            <w:r>
              <w:rPr>
                <w:rFonts w:eastAsia="Calibri"/>
                <w:sz w:val="20"/>
              </w:rPr>
            </w:r>
            <w:r>
              <w:rPr>
                <w:rFonts w:eastAsia="Calibri"/>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Cs/>
                <w:sz w:val="20"/>
                <w:u w:val="single"/>
              </w:rPr>
            </w:pPr>
            <w:r>
              <w:rPr>
                <w:rFonts w:eastAsia="Calibri"/>
                <w:bCs/>
                <w:sz w:val="20"/>
                <w:u w:val="single"/>
              </w:rPr>
            </w:r>
            <w:r>
              <w:rPr>
                <w:rFonts w:eastAsia="Calibri"/>
                <w:bCs/>
                <w:sz w:val="20"/>
                <w:u w:val="single"/>
              </w:rPr>
            </w:r>
            <w:r>
              <w:rPr>
                <w:rFonts w:eastAsia="Calibri"/>
                <w:bCs/>
                <w:sz w:val="20"/>
                <w:u w:val="single"/>
              </w:rPr>
            </w:r>
          </w:p>
        </w:tc>
        <w:tc>
          <w:tcPr>
            <w:tcW w:w="2456" w:type="pct"/>
            <w:vAlign w:val="top"/>
            <w:textDirection w:val="lrTb"/>
            <w:noWrap w:val="false"/>
          </w:tcPr>
          <w:p>
            <w:pPr>
              <w:pStyle w:val="965"/>
              <w:numPr>
                <w:ilvl w:val="0"/>
                <w:numId w:val="4"/>
              </w:numPr>
              <w:tabs>
                <w:tab w:val="num" w:pos="224" w:leader="none"/>
                <w:tab w:val="left" w:pos="709" w:leader="none"/>
              </w:tabs>
              <w:rPr>
                <w:rFonts w:eastAsia="Calibri"/>
                <w:sz w:val="20"/>
              </w:rPr>
            </w:pPr>
            <w:r>
              <w:rPr>
                <w:rFonts w:eastAsia="Calibri"/>
                <w:sz w:val="20"/>
              </w:rPr>
              <w:t xml:space="preserve">в пользу Банка от респондента по сделкам с драгоценным металлом</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bCs/>
                <w:sz w:val="20"/>
              </w:rPr>
            </w:pPr>
            <w:r>
              <w:rPr>
                <w:rFonts w:eastAsia="Calibri"/>
                <w:bCs/>
                <w:sz w:val="20"/>
              </w:rPr>
              <w:t xml:space="preserve">Комиссия</w:t>
            </w:r>
            <w:r>
              <w:rPr>
                <w:rFonts w:eastAsia="Calibri"/>
                <w:bCs/>
                <w:sz w:val="20"/>
              </w:rPr>
            </w:r>
            <w:r>
              <w:rPr>
                <w:rFonts w:eastAsia="Calibri"/>
                <w:bCs/>
                <w:sz w:val="20"/>
              </w:rPr>
            </w:r>
          </w:p>
          <w:p>
            <w:pPr>
              <w:pStyle w:val="965"/>
              <w:tabs>
                <w:tab w:val="left" w:pos="709" w:leader="none"/>
              </w:tabs>
              <w:rPr>
                <w:rFonts w:eastAsia="Calibri"/>
                <w:sz w:val="20"/>
              </w:rPr>
            </w:pPr>
            <w:r>
              <w:rPr>
                <w:rFonts w:eastAsia="Calibri"/>
                <w:bCs/>
                <w:sz w:val="20"/>
              </w:rPr>
              <w:t xml:space="preserve">не взимается</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Cs/>
                <w:sz w:val="20"/>
              </w:rPr>
            </w:pPr>
            <w:r>
              <w:rPr>
                <w:rFonts w:eastAsia="Calibri"/>
                <w:bCs/>
                <w:sz w:val="20"/>
              </w:rPr>
              <w:t xml:space="preserve">2.3.2.</w:t>
            </w:r>
            <w:r>
              <w:rPr>
                <w:rFonts w:eastAsia="Calibri"/>
                <w:bCs/>
                <w:sz w:val="20"/>
              </w:rPr>
            </w:r>
            <w:r>
              <w:rPr>
                <w:rFonts w:eastAsia="Calibri"/>
                <w:bCs/>
                <w:sz w:val="20"/>
              </w:rPr>
            </w:r>
          </w:p>
        </w:tc>
        <w:tc>
          <w:tcPr>
            <w:tcW w:w="2456" w:type="pct"/>
            <w:vAlign w:val="top"/>
            <w:textDirection w:val="lrTb"/>
            <w:noWrap w:val="false"/>
          </w:tcPr>
          <w:p>
            <w:pPr>
              <w:pStyle w:val="965"/>
              <w:tabs>
                <w:tab w:val="left" w:pos="0" w:leader="none"/>
              </w:tabs>
              <w:rPr>
                <w:rFonts w:eastAsia="Calibri"/>
                <w:b/>
                <w:sz w:val="20"/>
              </w:rPr>
            </w:pPr>
            <w:r>
              <w:rPr>
                <w:rFonts w:eastAsia="Calibri"/>
                <w:b/>
                <w:sz w:val="20"/>
              </w:rPr>
              <w:t xml:space="preserve">Иные операции с драгоценным металлом, предусмотренные законодательством Российской Федерации и нормативными актами Банка России</w:t>
            </w:r>
            <w:r>
              <w:rPr>
                <w:rFonts w:eastAsia="Calibri"/>
                <w:b/>
                <w:sz w:val="20"/>
              </w:rPr>
            </w:r>
            <w:r>
              <w:rPr>
                <w:rFonts w:eastAsia="Calibri"/>
                <w:b/>
                <w:sz w:val="20"/>
              </w:rPr>
            </w:r>
          </w:p>
        </w:tc>
        <w:tc>
          <w:tcPr>
            <w:tcW w:w="930" w:type="pct"/>
            <w:vAlign w:val="top"/>
            <w:textDirection w:val="lrTb"/>
            <w:noWrap w:val="false"/>
          </w:tcPr>
          <w:p>
            <w:pPr>
              <w:pStyle w:val="965"/>
              <w:tabs>
                <w:tab w:val="left" w:pos="709" w:leader="none"/>
              </w:tabs>
              <w:rPr>
                <w:rFonts w:eastAsia="Calibri"/>
                <w:bCs/>
                <w:sz w:val="20"/>
              </w:rPr>
            </w:pPr>
            <w:r>
              <w:rPr>
                <w:rFonts w:eastAsia="Calibri"/>
                <w:bCs/>
                <w:sz w:val="20"/>
              </w:rPr>
              <w:t xml:space="preserve">По соглашению сторон</w:t>
            </w:r>
            <w:r>
              <w:rPr>
                <w:rFonts w:eastAsia="Calibri"/>
                <w:bCs/>
                <w:sz w:val="20"/>
              </w:rPr>
            </w:r>
            <w:r>
              <w:rPr>
                <w:rFonts w:eastAsia="Calibri"/>
                <w:bCs/>
                <w:sz w:val="20"/>
              </w:rPr>
            </w:r>
          </w:p>
        </w:tc>
        <w:tc>
          <w:tcPr>
            <w:tcW w:w="1176" w:type="pct"/>
            <w:vAlign w:val="top"/>
            <w:textDirection w:val="lrTb"/>
            <w:noWrap w:val="false"/>
          </w:tcPr>
          <w:p>
            <w:pPr>
              <w:pStyle w:val="965"/>
              <w:tabs>
                <w:tab w:val="left" w:pos="709" w:leader="none"/>
              </w:tabs>
              <w:rPr>
                <w:rFonts w:eastAsia="Calibri"/>
                <w:sz w:val="20"/>
              </w:rPr>
            </w:pPr>
            <w:r>
              <w:rPr>
                <w:rFonts w:eastAsia="Calibri"/>
                <w:sz w:val="20"/>
              </w:rPr>
              <w:t xml:space="preserve">По отдельному соглашению</w:t>
            </w:r>
            <w:r>
              <w:rPr>
                <w:rFonts w:eastAsia="Calibri"/>
                <w:sz w:val="20"/>
              </w:rPr>
            </w:r>
            <w:r>
              <w:rPr>
                <w:rFonts w:eastAsia="Calibri"/>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
                <w:bCs/>
                <w:sz w:val="20"/>
              </w:rPr>
              <w:t xml:space="preserve">2.4.</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
                <w:bCs/>
                <w:sz w:val="20"/>
              </w:rPr>
            </w:pPr>
            <w:r>
              <w:rPr>
                <w:rFonts w:eastAsia="Calibri"/>
                <w:b/>
                <w:bCs/>
                <w:sz w:val="20"/>
              </w:rPr>
              <w:t xml:space="preserve">Прием распоряжений о переводе денежных средств в валюте Российской Федерации и иностранной валюте на бумажном носителе (ручная обработка)</w:t>
            </w:r>
            <w:r>
              <w:rPr>
                <w:rFonts w:eastAsia="Calibri"/>
                <w:b/>
                <w:bCs/>
                <w:sz w:val="20"/>
              </w:rPr>
            </w:r>
            <w:r>
              <w:rPr>
                <w:rFonts w:eastAsia="Calibri"/>
                <w:b/>
                <w:bCs/>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20 долларов США за каждое распоряжение </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
                <w:bCs/>
                <w:sz w:val="20"/>
              </w:rPr>
              <w:t xml:space="preserve">2.5.</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
                <w:bCs/>
                <w:sz w:val="20"/>
              </w:rPr>
            </w:pPr>
            <w:r>
              <w:rPr>
                <w:rFonts w:eastAsia="Calibri"/>
                <w:b/>
                <w:sz w:val="20"/>
              </w:rPr>
              <w:t xml:space="preserve">Прием распоряжений о переводе денежных средств в валюте Российской Федерации и иностранной валюте по системе TELEX (ручная обработка)</w:t>
            </w:r>
            <w:r>
              <w:rPr>
                <w:rFonts w:eastAsia="Calibri"/>
                <w:b/>
                <w:bCs/>
                <w:sz w:val="20"/>
              </w:rPr>
            </w:r>
            <w:r>
              <w:rPr>
                <w:rFonts w:eastAsia="Calibri"/>
                <w:b/>
                <w:bCs/>
                <w:sz w:val="20"/>
              </w:rPr>
            </w:r>
          </w:p>
        </w:tc>
        <w:tc>
          <w:tcPr>
            <w:tcW w:w="930" w:type="pct"/>
            <w:vAlign w:val="top"/>
            <w:textDirection w:val="lrTb"/>
            <w:noWrap w:val="false"/>
          </w:tcPr>
          <w:p>
            <w:pPr>
              <w:pStyle w:val="965"/>
              <w:tabs>
                <w:tab w:val="left" w:pos="709" w:leader="none"/>
              </w:tabs>
              <w:rPr>
                <w:rFonts w:eastAsia="Calibri"/>
                <w:b/>
                <w:bCs/>
                <w:sz w:val="20"/>
              </w:rPr>
            </w:pPr>
            <w:r>
              <w:rPr>
                <w:rFonts w:eastAsia="Calibri"/>
                <w:b/>
                <w:bCs/>
                <w:sz w:val="20"/>
              </w:rPr>
            </w:r>
            <w:r>
              <w:rPr>
                <w:rFonts w:eastAsia="Calibri"/>
                <w:b/>
                <w:bCs/>
                <w:sz w:val="20"/>
              </w:rPr>
            </w:r>
            <w:r>
              <w:rPr>
                <w:rFonts w:eastAsia="Calibri"/>
                <w:b/>
                <w:bCs/>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Cs/>
                <w:sz w:val="20"/>
                <w:lang w:val="en-US"/>
              </w:rPr>
              <w:t xml:space="preserve">2.</w:t>
            </w:r>
            <w:r>
              <w:rPr>
                <w:rFonts w:eastAsia="Calibri"/>
                <w:bCs/>
                <w:sz w:val="20"/>
              </w:rPr>
              <w:t xml:space="preserve">5</w:t>
            </w:r>
            <w:r>
              <w:rPr>
                <w:rFonts w:eastAsia="Calibri"/>
                <w:bCs/>
                <w:sz w:val="20"/>
                <w:lang w:val="en-US"/>
              </w:rPr>
              <w:t xml:space="preserve">.1.</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
                <w:bCs/>
                <w:sz w:val="20"/>
              </w:rPr>
            </w:pPr>
            <w:r>
              <w:rPr>
                <w:rFonts w:eastAsia="Calibri"/>
                <w:bCs/>
                <w:sz w:val="20"/>
              </w:rPr>
              <w:t xml:space="preserve">Для кредитных организаций – резидентов Российской Федерации (</w:t>
            </w:r>
            <w:r>
              <w:rPr>
                <w:rFonts w:eastAsia="Calibri"/>
                <w:sz w:val="20"/>
              </w:rPr>
              <w:t xml:space="preserve">кредитных организаций, созданных в соответствии с законодательством Российской Федерации</w:t>
            </w:r>
            <w:r>
              <w:rPr>
                <w:rFonts w:eastAsia="Calibri"/>
                <w:bCs/>
                <w:sz w:val="20"/>
              </w:rPr>
              <w:t xml:space="preserve">)</w:t>
            </w:r>
            <w:r>
              <w:rPr>
                <w:rFonts w:eastAsia="Calibri"/>
                <w:b/>
                <w:bCs/>
                <w:sz w:val="20"/>
              </w:rPr>
            </w:r>
            <w:r>
              <w:rPr>
                <w:rFonts w:eastAsia="Calibri"/>
                <w:b/>
                <w:bCs/>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20 долларов США за каждое распоряжение</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Cs/>
                <w:sz w:val="20"/>
                <w:lang w:val="en-US"/>
              </w:rPr>
              <w:t xml:space="preserve">2.</w:t>
            </w:r>
            <w:r>
              <w:rPr>
                <w:rFonts w:eastAsia="Calibri"/>
                <w:bCs/>
                <w:sz w:val="20"/>
              </w:rPr>
              <w:t xml:space="preserve">5</w:t>
            </w:r>
            <w:r>
              <w:rPr>
                <w:rFonts w:eastAsia="Calibri"/>
                <w:bCs/>
                <w:sz w:val="20"/>
                <w:lang w:val="en-US"/>
              </w:rPr>
              <w:t xml:space="preserve">.2.</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
                <w:bCs/>
                <w:sz w:val="20"/>
              </w:rPr>
            </w:pPr>
            <w:r>
              <w:rPr>
                <w:rFonts w:eastAsia="Calibri"/>
                <w:bCs/>
                <w:sz w:val="20"/>
              </w:rPr>
              <w:t xml:space="preserve">Для кредитных организаций – нерезидентов (</w:t>
            </w:r>
            <w:r>
              <w:rPr>
                <w:rFonts w:eastAsia="Calibri"/>
                <w:sz w:val="20"/>
              </w:rPr>
              <w:t xml:space="preserve">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r>
              <w:rPr>
                <w:rFonts w:eastAsia="Calibri"/>
                <w:b/>
                <w:bCs/>
                <w:sz w:val="20"/>
              </w:rPr>
            </w:r>
            <w:r>
              <w:rPr>
                <w:rFonts w:eastAsia="Calibri"/>
                <w:b/>
                <w:bCs/>
                <w:sz w:val="20"/>
              </w:rPr>
            </w:r>
          </w:p>
        </w:tc>
        <w:tc>
          <w:tcPr>
            <w:tcW w:w="930" w:type="pct"/>
            <w:vAlign w:val="top"/>
            <w:textDirection w:val="lrTb"/>
            <w:noWrap w:val="false"/>
          </w:tcPr>
          <w:p>
            <w:pPr>
              <w:pStyle w:val="965"/>
              <w:tabs>
                <w:tab w:val="left" w:pos="709" w:leader="none"/>
              </w:tabs>
              <w:rPr>
                <w:rFonts w:eastAsia="Calibri"/>
                <w:sz w:val="20"/>
              </w:rPr>
            </w:pPr>
            <w:r>
              <w:rPr>
                <w:rFonts w:eastAsia="Calibri"/>
                <w:bCs/>
                <w:sz w:val="20"/>
              </w:rPr>
              <w:t xml:space="preserve">Комиссия не взимается</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
                <w:bCs/>
                <w:sz w:val="20"/>
              </w:rPr>
              <w:t xml:space="preserve">2.6.</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
                <w:bCs/>
                <w:sz w:val="20"/>
              </w:rPr>
            </w:pPr>
            <w:r>
              <w:rPr>
                <w:rFonts w:eastAsia="Calibri"/>
                <w:b/>
                <w:bCs/>
                <w:sz w:val="20"/>
              </w:rPr>
              <w:t xml:space="preserve">Подтверждение наличия корреспондентских счетов, открытых в Банке, выдача иных справочных материалов о состоянии счета по письменному запросу Респондента давностью:</w:t>
            </w:r>
            <w:r>
              <w:rPr>
                <w:rFonts w:eastAsia="Calibri"/>
                <w:b/>
                <w:bCs/>
                <w:sz w:val="20"/>
              </w:rPr>
            </w:r>
            <w:r>
              <w:rPr>
                <w:rFonts w:eastAsia="Calibri"/>
                <w:b/>
                <w:bCs/>
                <w:sz w:val="20"/>
              </w:rPr>
            </w:r>
          </w:p>
        </w:tc>
        <w:tc>
          <w:tcPr>
            <w:tcW w:w="930" w:type="pct"/>
            <w:vAlign w:val="top"/>
            <w:textDirection w:val="lrTb"/>
            <w:noWrap w:val="false"/>
          </w:tcPr>
          <w:p>
            <w:pPr>
              <w:pStyle w:val="965"/>
              <w:tabs>
                <w:tab w:val="left" w:pos="709" w:leader="none"/>
              </w:tabs>
              <w:rPr>
                <w:rFonts w:eastAsia="Calibri"/>
                <w:b/>
                <w:bCs/>
                <w:sz w:val="20"/>
              </w:rPr>
            </w:pPr>
            <w:r>
              <w:rPr>
                <w:rFonts w:eastAsia="Calibri"/>
                <w:b/>
                <w:bCs/>
                <w:sz w:val="20"/>
              </w:rPr>
            </w:r>
            <w:r>
              <w:rPr>
                <w:rFonts w:eastAsia="Calibri"/>
                <w:b/>
                <w:bCs/>
                <w:sz w:val="20"/>
              </w:rPr>
            </w:r>
            <w:r>
              <w:rPr>
                <w:rFonts w:eastAsia="Calibri"/>
                <w:b/>
                <w:bCs/>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restart"/>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до трех календарных месяцев</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20 долларов США за каждый счет</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965"/>
              <w:tabs>
                <w:tab w:val="left" w:pos="709" w:leader="none"/>
              </w:tabs>
              <w:rPr>
                <w:rFonts w:eastAsia="Calibri"/>
                <w:sz w:val="20"/>
              </w:rPr>
            </w:pPr>
            <w:r>
              <w:rPr>
                <w:rFonts w:eastAsia="Calibri"/>
                <w:sz w:val="20"/>
              </w:rPr>
            </w:r>
            <w:r>
              <w:rPr>
                <w:rFonts w:eastAsia="Calibri"/>
                <w:sz w:val="20"/>
              </w:rPr>
            </w:r>
            <w:r>
              <w:rPr>
                <w:rFonts w:eastAsia="Calibri"/>
                <w:sz w:val="20"/>
              </w:rPr>
            </w:r>
          </w:p>
        </w:tc>
        <w:tc>
          <w:tcPr>
            <w:tcW w:w="2456" w:type="pct"/>
            <w:vAlign w:val="top"/>
            <w:textDirection w:val="lrTb"/>
            <w:noWrap w:val="false"/>
          </w:tcPr>
          <w:p>
            <w:pPr>
              <w:pStyle w:val="965"/>
              <w:tabs>
                <w:tab w:val="left" w:pos="709" w:leader="none"/>
              </w:tabs>
              <w:rPr>
                <w:rFonts w:eastAsia="Calibri"/>
                <w:sz w:val="20"/>
              </w:rPr>
            </w:pPr>
            <w:r>
              <w:rPr>
                <w:rFonts w:eastAsia="Calibri"/>
                <w:sz w:val="20"/>
              </w:rPr>
              <w:t xml:space="preserve">свыше трех календарных месяцев</w:t>
            </w:r>
            <w:r>
              <w:rPr>
                <w:rFonts w:eastAsia="Calibri"/>
                <w:sz w:val="20"/>
              </w:rPr>
            </w:r>
            <w:r>
              <w:rPr>
                <w:rFonts w:eastAsia="Calibri"/>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30 долларов США за каждый счет</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iCs/>
                <w:sz w:val="20"/>
              </w:rPr>
            </w:pPr>
            <w:r>
              <w:rPr>
                <w:rFonts w:eastAsia="Calibri"/>
                <w:iCs/>
                <w:sz w:val="20"/>
              </w:rPr>
            </w:r>
            <w:r>
              <w:rPr>
                <w:rFonts w:eastAsia="Calibri"/>
                <w:iCs/>
                <w:sz w:val="20"/>
              </w:rPr>
            </w:r>
            <w:r>
              <w:rPr>
                <w:rFonts w:eastAsia="Calibr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
                <w:bCs/>
                <w:sz w:val="20"/>
              </w:rPr>
              <w:t xml:space="preserve">2.7.</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
                <w:bCs/>
                <w:sz w:val="20"/>
              </w:rPr>
            </w:pPr>
            <w:r>
              <w:rPr>
                <w:rFonts w:eastAsia="Calibri"/>
                <w:b/>
                <w:bCs/>
                <w:sz w:val="20"/>
              </w:rPr>
              <w:t xml:space="preserve">Предоставление информации по счетам Респондента для Аудиторской компании на основании письменного запроса Респондента</w:t>
            </w:r>
            <w:r>
              <w:rPr>
                <w:rFonts w:eastAsia="Calibri"/>
                <w:b/>
                <w:bCs/>
                <w:sz w:val="20"/>
              </w:rPr>
            </w:r>
            <w:r>
              <w:rPr>
                <w:rFonts w:eastAsia="Calibri"/>
                <w:b/>
                <w:bCs/>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60 долларов США за каждый счет </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b/>
                <w:bCs/>
                <w:sz w:val="20"/>
              </w:rPr>
            </w:pPr>
            <w:r>
              <w:rPr>
                <w:rFonts w:eastAsia="Calibri"/>
                <w:b/>
                <w:bCs/>
                <w:sz w:val="20"/>
              </w:rPr>
            </w:r>
            <w:r>
              <w:rPr>
                <w:rFonts w:eastAsia="Calibri"/>
                <w:b/>
                <w:bCs/>
                <w:sz w:val="20"/>
              </w:rPr>
            </w:r>
            <w:r>
              <w:rPr>
                <w:rFonts w:eastAsia="Calibri"/>
                <w:b/>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965"/>
              <w:tabs>
                <w:tab w:val="left" w:pos="709" w:leader="none"/>
              </w:tabs>
              <w:rPr>
                <w:rFonts w:eastAsia="Calibri"/>
                <w:b/>
                <w:bCs/>
                <w:sz w:val="20"/>
              </w:rPr>
            </w:pPr>
            <w:r>
              <w:rPr>
                <w:rFonts w:eastAsia="Calibri"/>
                <w:b/>
                <w:bCs/>
                <w:sz w:val="20"/>
              </w:rPr>
              <w:t xml:space="preserve">2.8.</w:t>
            </w:r>
            <w:r>
              <w:rPr>
                <w:rFonts w:eastAsia="Calibri"/>
                <w:b/>
                <w:bCs/>
                <w:sz w:val="20"/>
              </w:rPr>
            </w:r>
            <w:r>
              <w:rPr>
                <w:rFonts w:eastAsia="Calibri"/>
                <w:b/>
                <w:bCs/>
                <w:sz w:val="20"/>
              </w:rPr>
            </w:r>
          </w:p>
        </w:tc>
        <w:tc>
          <w:tcPr>
            <w:tcW w:w="2456" w:type="pct"/>
            <w:vAlign w:val="top"/>
            <w:textDirection w:val="lrTb"/>
            <w:noWrap w:val="false"/>
          </w:tcPr>
          <w:p>
            <w:pPr>
              <w:pStyle w:val="965"/>
              <w:tabs>
                <w:tab w:val="left" w:pos="709" w:leader="none"/>
              </w:tabs>
              <w:rPr>
                <w:rFonts w:eastAsia="Calibri"/>
                <w:b/>
                <w:bCs/>
                <w:sz w:val="20"/>
              </w:rPr>
            </w:pPr>
            <w:r>
              <w:rPr>
                <w:rFonts w:eastAsia="Calibri"/>
                <w:b/>
                <w:bCs/>
                <w:sz w:val="20"/>
              </w:rPr>
              <w:t xml:space="preserve">Проведение расследований перед зачислением</w:t>
            </w:r>
            <w:r>
              <w:rPr>
                <w:rFonts w:eastAsia="Calibri"/>
                <w:b/>
                <w:bCs/>
                <w:sz w:val="20"/>
              </w:rPr>
            </w:r>
            <w:r>
              <w:rPr>
                <w:rFonts w:eastAsia="Calibri"/>
                <w:b/>
                <w:bCs/>
                <w:sz w:val="20"/>
              </w:rPr>
            </w:r>
          </w:p>
        </w:tc>
        <w:tc>
          <w:tcPr>
            <w:tcW w:w="930" w:type="pct"/>
            <w:vAlign w:val="top"/>
            <w:textDirection w:val="lrTb"/>
            <w:noWrap w:val="false"/>
          </w:tcPr>
          <w:p>
            <w:pPr>
              <w:pStyle w:val="965"/>
              <w:tabs>
                <w:tab w:val="left" w:pos="709" w:leader="none"/>
              </w:tabs>
              <w:rPr>
                <w:rFonts w:eastAsia="Calibri"/>
                <w:sz w:val="20"/>
              </w:rPr>
            </w:pPr>
            <w:r>
              <w:rPr>
                <w:rFonts w:eastAsia="Calibri"/>
                <w:sz w:val="20"/>
              </w:rPr>
              <w:t xml:space="preserve">25 долларов США за каждый перевод на сумму свыше 1000 долларов США </w:t>
            </w:r>
            <w:r>
              <w:rPr>
                <w:rFonts w:eastAsia="Calibri"/>
                <w:sz w:val="20"/>
              </w:rPr>
            </w:r>
            <w:r>
              <w:rPr>
                <w:rFonts w:eastAsia="Calibri"/>
                <w:sz w:val="20"/>
              </w:rPr>
            </w:r>
          </w:p>
        </w:tc>
        <w:tc>
          <w:tcPr>
            <w:tcW w:w="1176" w:type="pct"/>
            <w:vAlign w:val="top"/>
            <w:textDirection w:val="lrTb"/>
            <w:noWrap w:val="false"/>
          </w:tcPr>
          <w:p>
            <w:pPr>
              <w:pStyle w:val="965"/>
              <w:tabs>
                <w:tab w:val="left" w:pos="709" w:leader="none"/>
              </w:tabs>
              <w:rPr>
                <w:rFonts w:eastAsia="Calibri"/>
                <w:b/>
                <w:bCs/>
                <w:sz w:val="20"/>
              </w:rPr>
            </w:pPr>
            <w:r>
              <w:rPr>
                <w:rFonts w:eastAsia="Calibri"/>
                <w:b/>
                <w:bCs/>
                <w:sz w:val="20"/>
              </w:rPr>
            </w:r>
            <w:r>
              <w:rPr>
                <w:rFonts w:eastAsia="Calibri"/>
                <w:b/>
                <w:bCs/>
                <w:sz w:val="20"/>
              </w:rPr>
            </w:r>
            <w:r>
              <w:rPr>
                <w:rFonts w:eastAsia="Calibri"/>
                <w:b/>
                <w:bCs/>
                <w:sz w:val="20"/>
              </w:rPr>
            </w:r>
          </w:p>
        </w:tc>
      </w:tr>
    </w:tbl>
    <w:p>
      <w:r/>
      <w:r/>
    </w:p>
    <w:p>
      <w:r/>
      <w:r/>
    </w:p>
    <w:p>
      <w:pPr>
        <w:pStyle w:val="965"/>
      </w:pPr>
      <w:r/>
      <w:r/>
    </w:p>
    <w:p>
      <w:pPr>
        <w:pStyle w:val="965"/>
      </w:pPr>
      <w:r/>
      <w:r/>
    </w:p>
    <w:p>
      <w:pPr>
        <w:pStyle w:val="969"/>
        <w:ind w:left="421" w:right="-18" w:firstLine="2414"/>
        <w:jc w:val="center"/>
        <w:tabs>
          <w:tab w:val="clear" w:pos="4464" w:leader="none"/>
          <w:tab w:val="clear" w:pos="5760" w:leader="none"/>
        </w:tabs>
      </w:pPr>
      <w:r/>
      <w:bookmarkStart w:id="7" w:name="_Toc497902220"/>
      <w:r>
        <w:t xml:space="preserve">3. Конверсионные операции (для респондентов)</w:t>
      </w:r>
      <w:bookmarkEnd w:id="7"/>
      <w:r/>
      <w:r/>
    </w:p>
    <w:p>
      <w:pPr>
        <w:pStyle w:val="96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65"/>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965"/>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965"/>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96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65"/>
              <w:jc w:val="center"/>
              <w:rPr>
                <w:b/>
                <w:sz w:val="20"/>
                <w:szCs w:val="20"/>
              </w:rPr>
            </w:pPr>
            <w:r>
              <w:rPr>
                <w:b/>
                <w:sz w:val="20"/>
                <w:szCs w:val="20"/>
              </w:rPr>
              <w:t xml:space="preserve">3.1.</w:t>
            </w:r>
            <w:r>
              <w:rPr>
                <w:b/>
                <w:sz w:val="20"/>
                <w:szCs w:val="20"/>
              </w:rPr>
            </w:r>
            <w:r>
              <w:rPr>
                <w:b/>
                <w:sz w:val="20"/>
                <w:szCs w:val="20"/>
              </w:rPr>
            </w:r>
          </w:p>
        </w:tc>
        <w:tc>
          <w:tcPr>
            <w:tcW w:w="3969" w:type="dxa"/>
            <w:vAlign w:val="top"/>
            <w:textDirection w:val="lrTb"/>
            <w:noWrap w:val="false"/>
          </w:tcPr>
          <w:p>
            <w:pPr>
              <w:pStyle w:val="965"/>
              <w:rPr>
                <w:b/>
                <w:sz w:val="20"/>
                <w:szCs w:val="20"/>
              </w:rPr>
            </w:pPr>
            <w:r>
              <w:rPr>
                <w:b/>
                <w:sz w:val="20"/>
                <w:szCs w:val="20"/>
              </w:rPr>
              <w:t xml:space="preserve">Покупка/продажа безналичной иностранной валюты за безналичные российские рубли </w:t>
            </w:r>
            <w:r>
              <w:rPr>
                <w:b/>
                <w:sz w:val="20"/>
                <w:szCs w:val="20"/>
              </w:rPr>
            </w:r>
            <w:r>
              <w:rPr>
                <w:b/>
                <w:sz w:val="20"/>
                <w:szCs w:val="20"/>
              </w:rPr>
            </w:r>
          </w:p>
        </w:tc>
        <w:tc>
          <w:tcPr>
            <w:tcW w:w="1985" w:type="dxa"/>
            <w:vAlign w:val="top"/>
            <w:textDirection w:val="lrTb"/>
            <w:noWrap w:val="false"/>
          </w:tcPr>
          <w:p>
            <w:pPr>
              <w:pStyle w:val="965"/>
              <w:jc w:val="center"/>
              <w:rPr>
                <w:sz w:val="20"/>
                <w:szCs w:val="20"/>
              </w:rPr>
            </w:pPr>
            <w:r>
              <w:rPr>
                <w:sz w:val="20"/>
                <w:szCs w:val="20"/>
              </w:rPr>
              <w:t xml:space="preserve">По курсу Банка</w:t>
            </w:r>
            <w:r>
              <w:rPr>
                <w:sz w:val="20"/>
                <w:szCs w:val="20"/>
              </w:rPr>
            </w:r>
            <w:r>
              <w:rPr>
                <w:sz w:val="20"/>
                <w:szCs w:val="20"/>
              </w:rPr>
            </w:r>
          </w:p>
        </w:tc>
        <w:tc>
          <w:tcPr>
            <w:tcW w:w="3544"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65"/>
              <w:jc w:val="center"/>
              <w:rPr>
                <w:b/>
                <w:sz w:val="20"/>
                <w:szCs w:val="20"/>
              </w:rPr>
            </w:pPr>
            <w:r>
              <w:rPr>
                <w:b/>
                <w:sz w:val="20"/>
                <w:szCs w:val="20"/>
              </w:rPr>
              <w:t xml:space="preserve">3.2.</w:t>
            </w:r>
            <w:r>
              <w:rPr>
                <w:b/>
                <w:sz w:val="20"/>
                <w:szCs w:val="20"/>
              </w:rPr>
            </w:r>
            <w:r>
              <w:rPr>
                <w:b/>
                <w:sz w:val="20"/>
                <w:szCs w:val="20"/>
              </w:rPr>
            </w:r>
          </w:p>
        </w:tc>
        <w:tc>
          <w:tcPr>
            <w:tcW w:w="3969" w:type="dxa"/>
            <w:vAlign w:val="top"/>
            <w:textDirection w:val="lrTb"/>
            <w:noWrap w:val="false"/>
          </w:tcPr>
          <w:p>
            <w:pPr>
              <w:pStyle w:val="965"/>
              <w:rPr>
                <w:b/>
                <w:sz w:val="20"/>
                <w:szCs w:val="20"/>
              </w:rPr>
            </w:pPr>
            <w:r>
              <w:rPr>
                <w:b/>
                <w:sz w:val="20"/>
                <w:szCs w:val="20"/>
              </w:rPr>
              <w:t xml:space="preserve">Продажа безналичной иностранной валюты одного иностранного государства (группы иностранных государств) за безналичную иностранную валюту другого иностранного государства (группы иностранных государств)</w:t>
            </w:r>
            <w:r>
              <w:rPr>
                <w:b/>
                <w:sz w:val="20"/>
                <w:szCs w:val="20"/>
              </w:rPr>
            </w:r>
            <w:r>
              <w:rPr>
                <w:b/>
                <w:sz w:val="20"/>
                <w:szCs w:val="20"/>
              </w:rPr>
            </w:r>
          </w:p>
        </w:tc>
        <w:tc>
          <w:tcPr>
            <w:tcW w:w="1985" w:type="dxa"/>
            <w:vAlign w:val="top"/>
            <w:textDirection w:val="lrTb"/>
            <w:noWrap w:val="false"/>
          </w:tcPr>
          <w:p>
            <w:pPr>
              <w:pStyle w:val="965"/>
              <w:jc w:val="center"/>
              <w:rPr>
                <w:sz w:val="20"/>
                <w:szCs w:val="20"/>
              </w:rPr>
            </w:pPr>
            <w:r>
              <w:rPr>
                <w:sz w:val="20"/>
                <w:szCs w:val="20"/>
              </w:rPr>
              <w:t xml:space="preserve">По курсу Банка</w:t>
            </w:r>
            <w:r>
              <w:rPr>
                <w:sz w:val="20"/>
                <w:szCs w:val="20"/>
              </w:rPr>
            </w:r>
            <w:r>
              <w:rPr>
                <w:sz w:val="20"/>
                <w:szCs w:val="20"/>
              </w:rPr>
            </w:r>
          </w:p>
        </w:tc>
        <w:tc>
          <w:tcPr>
            <w:tcW w:w="3544" w:type="dxa"/>
            <w:vAlign w:val="top"/>
            <w:textDirection w:val="lrTb"/>
            <w:noWrap w:val="false"/>
          </w:tcPr>
          <w:p>
            <w:pPr>
              <w:pStyle w:val="965"/>
              <w:rPr>
                <w:sz w:val="20"/>
                <w:szCs w:val="20"/>
              </w:rPr>
            </w:pPr>
            <w:r>
              <w:rPr>
                <w:sz w:val="20"/>
                <w:szCs w:val="20"/>
              </w:rPr>
            </w:r>
            <w:r>
              <w:rPr>
                <w:sz w:val="20"/>
                <w:szCs w:val="20"/>
              </w:rPr>
            </w:r>
            <w:r>
              <w:rPr>
                <w:sz w:val="20"/>
                <w:szCs w:val="20"/>
              </w:rPr>
            </w:r>
          </w:p>
        </w:tc>
      </w:tr>
    </w:tbl>
    <w:p>
      <w:pPr>
        <w:pStyle w:val="965"/>
      </w:pPr>
      <w:r/>
      <w:r/>
    </w:p>
    <w:p>
      <w:pPr>
        <w:pStyle w:val="969"/>
      </w:pPr>
      <w:r/>
      <w:bookmarkStart w:id="8" w:name="_Toc497902224"/>
      <w:r>
        <w:t xml:space="preserve">4. Документарные аккредитивы</w:t>
      </w:r>
      <w:r/>
    </w:p>
    <w:p>
      <w:pPr>
        <w:pStyle w:val="965"/>
      </w:pPr>
      <w:r/>
      <w:r/>
    </w:p>
    <w:tbl>
      <w:tblPr>
        <w:tblW w:w="9923" w:type="dxa"/>
        <w:tblInd w:w="-34" w:type="dxa"/>
        <w:tblLayout w:type="fixed"/>
        <w:tblCellMar>
          <w:left w:w="108" w:type="dxa"/>
          <w:top w:w="0" w:type="dxa"/>
          <w:right w:w="108" w:type="dxa"/>
          <w:bottom w:w="0" w:type="dxa"/>
        </w:tblCellMar>
        <w:tblLook w:val="04A0" w:firstRow="1" w:lastRow="0" w:firstColumn="1" w:lastColumn="0" w:noHBand="0" w:noVBand="1"/>
      </w:tblPr>
      <w:tblGrid>
        <w:gridCol w:w="851"/>
        <w:gridCol w:w="3827"/>
        <w:gridCol w:w="2410"/>
        <w:gridCol w:w="2835"/>
      </w:tblGrid>
      <w:tr>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65"/>
              <w:ind w:right="-18"/>
              <w:jc w:val="center"/>
              <w:tabs>
                <w:tab w:val="left" w:pos="4464" w:leader="none"/>
                <w:tab w:val="left" w:pos="5760" w:leader="none"/>
              </w:tabs>
              <w:rPr>
                <w:iCs/>
                <w:sz w:val="20"/>
                <w:szCs w:val="20"/>
              </w:rPr>
            </w:pPr>
            <w:r>
              <w:rPr>
                <w:iCs/>
                <w:sz w:val="20"/>
                <w:szCs w:val="20"/>
              </w:rPr>
              <w:t xml:space="preserve">№ </w:t>
              <w:br w:type="textWrapping" w:clear="all"/>
              <w:t xml:space="preserve">п/п</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965"/>
              <w:ind w:right="-18"/>
              <w:jc w:val="center"/>
              <w:keepNext/>
              <w:tabs>
                <w:tab w:val="left" w:pos="4464" w:leader="none"/>
                <w:tab w:val="left" w:pos="5760" w:leader="none"/>
              </w:tabs>
              <w:rPr>
                <w:iCs/>
                <w:sz w:val="20"/>
                <w:szCs w:val="20"/>
              </w:rPr>
              <w:outlineLvl w:val="7"/>
            </w:pPr>
            <w:r>
              <w:rPr>
                <w:iCs/>
                <w:sz w:val="20"/>
                <w:szCs w:val="20"/>
              </w:rPr>
              <w:t xml:space="preserve">Наименование услуги</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965"/>
              <w:ind w:left="72" w:right="72"/>
              <w:jc w:val="center"/>
              <w:keepNext/>
              <w:tabs>
                <w:tab w:val="left" w:pos="4464" w:leader="none"/>
                <w:tab w:val="left" w:pos="5760" w:leader="none"/>
              </w:tabs>
              <w:rPr>
                <w:iCs/>
                <w:sz w:val="20"/>
                <w:szCs w:val="20"/>
              </w:rPr>
              <w:outlineLvl w:val="2"/>
            </w:pPr>
            <w:r>
              <w:rPr>
                <w:iCs/>
                <w:sz w:val="20"/>
                <w:szCs w:val="20"/>
              </w:rPr>
              <w:t xml:space="preserve">Тариф</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pStyle w:val="965"/>
              <w:ind w:left="72" w:right="-18"/>
              <w:jc w:val="center"/>
              <w:tabs>
                <w:tab w:val="left" w:pos="4464" w:leader="none"/>
                <w:tab w:val="left" w:pos="5760" w:leader="none"/>
              </w:tabs>
              <w:rPr>
                <w:iCs/>
                <w:sz w:val="20"/>
                <w:szCs w:val="20"/>
              </w:rPr>
            </w:pPr>
            <w:r>
              <w:rPr>
                <w:iCs/>
                <w:sz w:val="20"/>
                <w:szCs w:val="20"/>
              </w:rPr>
              <w:t xml:space="preserve">Примечание</w:t>
            </w: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spacing w:before="40" w:after="40"/>
              <w:rPr>
                <w:sz w:val="20"/>
                <w:szCs w:val="20"/>
              </w:rPr>
            </w:pPr>
            <w:r>
              <w:rPr>
                <w:b/>
                <w:bCs/>
                <w:sz w:val="20"/>
                <w:szCs w:val="20"/>
              </w:rPr>
              <w:t xml:space="preserve">4.1.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965"/>
              <w:spacing w:before="40" w:after="40"/>
              <w:rPr>
                <w:b/>
                <w:sz w:val="20"/>
                <w:szCs w:val="20"/>
              </w:rPr>
            </w:pPr>
            <w:r>
              <w:rPr>
                <w:b/>
                <w:bCs/>
                <w:sz w:val="20"/>
                <w:szCs w:val="20"/>
              </w:rPr>
              <w:t xml:space="preserve">Операции по аккредитивам, открытым другими банками для расчетов по внешнеторговым сделкам </w:t>
            </w:r>
            <w:r>
              <w:rPr>
                <w:b/>
                <w:sz w:val="20"/>
                <w:szCs w:val="20"/>
              </w:rPr>
            </w:r>
            <w:r>
              <w:rPr>
                <w:b/>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spacing w:before="40" w:after="40"/>
              <w:rPr>
                <w:sz w:val="20"/>
                <w:szCs w:val="20"/>
              </w:rPr>
            </w:pPr>
            <w:r>
              <w:rPr>
                <w:sz w:val="20"/>
                <w:szCs w:val="20"/>
              </w:rPr>
              <w:t xml:space="preserve">4.1.1.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spacing w:before="40" w:after="40"/>
              <w:rPr>
                <w:sz w:val="20"/>
                <w:szCs w:val="20"/>
              </w:rPr>
            </w:pPr>
            <w:r>
              <w:rPr>
                <w:bCs/>
                <w:sz w:val="20"/>
                <w:szCs w:val="20"/>
              </w:rPr>
              <w:t xml:space="preserve">Предварительное авизование аккредитива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spacing w:before="40" w:after="40"/>
              <w:rPr>
                <w:sz w:val="20"/>
                <w:szCs w:val="20"/>
              </w:rPr>
            </w:pPr>
            <w:r>
              <w:rPr>
                <w:sz w:val="20"/>
                <w:szCs w:val="20"/>
              </w:rPr>
              <w:t xml:space="preserve">10 </w:t>
            </w:r>
            <w:r>
              <w:rPr>
                <w:sz w:val="20"/>
                <w:szCs w:val="20"/>
                <w:lang w:val="en-US"/>
              </w:rPr>
              <w:t xml:space="preserve">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sz w:val="20"/>
                <w:szCs w:val="20"/>
              </w:rPr>
            </w:pPr>
            <w:r>
              <w:rPr>
                <w:sz w:val="20"/>
                <w:szCs w:val="20"/>
              </w:rPr>
              <w:t xml:space="preserve">4.1.2.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numPr>
                <w:ilvl w:val="0"/>
                <w:numId w:val="14"/>
              </w:numPr>
              <w:tabs>
                <w:tab w:val="left" w:pos="177" w:leader="none"/>
              </w:tabs>
              <w:rPr>
                <w:sz w:val="20"/>
                <w:szCs w:val="20"/>
              </w:rPr>
            </w:pPr>
            <w:r>
              <w:rPr>
                <w:sz w:val="20"/>
                <w:szCs w:val="20"/>
              </w:rPr>
              <w:t xml:space="preserve">Авизование аккредитива </w:t>
            </w:r>
            <w:r>
              <w:rPr>
                <w:sz w:val="20"/>
                <w:szCs w:val="20"/>
              </w:rPr>
            </w:r>
            <w:r>
              <w:rPr>
                <w:sz w:val="20"/>
                <w:szCs w:val="20"/>
              </w:rPr>
            </w:r>
          </w:p>
          <w:p>
            <w:pPr>
              <w:pStyle w:val="965"/>
              <w:numPr>
                <w:ilvl w:val="0"/>
                <w:numId w:val="14"/>
              </w:numPr>
              <w:tabs>
                <w:tab w:val="left" w:pos="177" w:leader="none"/>
              </w:tabs>
              <w:rPr>
                <w:sz w:val="20"/>
                <w:szCs w:val="20"/>
              </w:rPr>
            </w:pPr>
            <w:r>
              <w:rPr>
                <w:bCs/>
                <w:sz w:val="20"/>
                <w:szCs w:val="20"/>
              </w:rPr>
              <w:t xml:space="preserve">Авизование изменения условий аккредитива, связанного с увеличением суммы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sz w:val="20"/>
                <w:szCs w:val="20"/>
              </w:rPr>
            </w:pPr>
            <w:r>
              <w:rPr>
                <w:sz w:val="20"/>
                <w:szCs w:val="20"/>
              </w:rPr>
              <w:t xml:space="preserve">0,15% от суммы аккредитива </w:t>
            </w:r>
            <w:r>
              <w:rPr>
                <w:bCs/>
                <w:sz w:val="20"/>
                <w:szCs w:val="20"/>
              </w:rPr>
              <w:t xml:space="preserve">или увеличения суммы аккредитива</w:t>
            </w:r>
            <w:r>
              <w:rPr>
                <w:sz w:val="20"/>
                <w:szCs w:val="20"/>
              </w:rPr>
              <w:t xml:space="preserve">,</w:t>
            </w:r>
            <w:r>
              <w:rPr>
                <w:sz w:val="20"/>
                <w:szCs w:val="20"/>
              </w:rPr>
            </w:r>
            <w:r>
              <w:rPr>
                <w:sz w:val="20"/>
                <w:szCs w:val="20"/>
              </w:rPr>
            </w:r>
          </w:p>
          <w:p>
            <w:pPr>
              <w:pStyle w:val="965"/>
              <w:jc w:val="center"/>
              <w:rPr>
                <w:sz w:val="20"/>
                <w:szCs w:val="20"/>
              </w:rPr>
            </w:pPr>
            <w:r>
              <w:rPr>
                <w:sz w:val="20"/>
                <w:szCs w:val="20"/>
              </w:rPr>
              <w:t xml:space="preserve">мин. 1</w:t>
            </w:r>
            <w:r>
              <w:rPr>
                <w:sz w:val="20"/>
                <w:szCs w:val="20"/>
                <w:lang w:val="en-US"/>
              </w:rPr>
              <w:t xml:space="preserve">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p>
            <w:pPr>
              <w:pStyle w:val="965"/>
              <w:jc w:val="center"/>
              <w:rPr>
                <w:b/>
                <w:bCs/>
                <w:sz w:val="20"/>
                <w:szCs w:val="20"/>
              </w:rPr>
            </w:pPr>
            <w:r>
              <w:rPr>
                <w:sz w:val="20"/>
                <w:szCs w:val="20"/>
              </w:rPr>
              <w:t xml:space="preserve">макс. 75 000 руб.</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iCs/>
                <w:sz w:val="20"/>
                <w:szCs w:val="20"/>
              </w:rPr>
            </w:pPr>
            <w:r>
              <w:rPr>
                <w:iCs/>
                <w:sz w:val="20"/>
                <w:szCs w:val="20"/>
              </w:rPr>
            </w: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65"/>
              <w:jc w:val="center"/>
              <w:rPr>
                <w:sz w:val="20"/>
                <w:szCs w:val="20"/>
              </w:rPr>
            </w:pPr>
            <w:r>
              <w:rPr>
                <w:sz w:val="20"/>
                <w:szCs w:val="20"/>
              </w:rPr>
              <w:t xml:space="preserve">4.1.3.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numPr>
                <w:ilvl w:val="0"/>
                <w:numId w:val="15"/>
              </w:numPr>
              <w:tabs>
                <w:tab w:val="left" w:pos="177" w:leader="none"/>
              </w:tabs>
              <w:rPr>
                <w:sz w:val="20"/>
                <w:szCs w:val="20"/>
              </w:rPr>
            </w:pPr>
            <w:r>
              <w:rPr>
                <w:sz w:val="20"/>
                <w:szCs w:val="20"/>
              </w:rPr>
              <w:t xml:space="preserve">Подтверждение аккредитива</w:t>
            </w:r>
            <w:r>
              <w:rPr>
                <w:sz w:val="20"/>
                <w:szCs w:val="20"/>
              </w:rPr>
            </w:r>
            <w:r>
              <w:rPr>
                <w:sz w:val="20"/>
                <w:szCs w:val="20"/>
              </w:rPr>
            </w:r>
          </w:p>
          <w:p>
            <w:pPr>
              <w:pStyle w:val="965"/>
              <w:numPr>
                <w:ilvl w:val="0"/>
                <w:numId w:val="15"/>
              </w:numPr>
              <w:tabs>
                <w:tab w:val="left" w:pos="177" w:leader="none"/>
              </w:tabs>
              <w:rPr>
                <w:sz w:val="20"/>
                <w:szCs w:val="20"/>
              </w:rPr>
            </w:pPr>
            <w:r>
              <w:rPr>
                <w:sz w:val="20"/>
                <w:szCs w:val="20"/>
              </w:rPr>
              <w:t xml:space="preserve">Подтверждение изменения условий подтвержденного Банком аккредитива, связанного с увеличением суммы: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iCs/>
                <w:sz w:val="20"/>
                <w:szCs w:val="20"/>
                <w:highlight w:val="yellow"/>
              </w:rPr>
            </w:pPr>
            <w:r>
              <w:rPr>
                <w:iCs/>
                <w:sz w:val="20"/>
                <w:szCs w:val="20"/>
                <w:highlight w:val="yellow"/>
              </w:rPr>
            </w:r>
            <w:r>
              <w:rPr>
                <w:iCs/>
                <w:sz w:val="20"/>
                <w:szCs w:val="20"/>
                <w:highlight w:val="yellow"/>
              </w:rPr>
            </w:r>
            <w:r>
              <w:rPr>
                <w:iCs/>
                <w:sz w:val="20"/>
                <w:szCs w:val="20"/>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6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rPr>
                <w:sz w:val="20"/>
                <w:szCs w:val="20"/>
              </w:rPr>
            </w:pPr>
            <w:r>
              <w:rPr>
                <w:bCs/>
                <w:iCs/>
                <w:sz w:val="20"/>
                <w:szCs w:val="20"/>
              </w:rPr>
              <w:t xml:space="preserve">- при предоставлении банком-эмитентом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sz w:val="20"/>
                <w:szCs w:val="20"/>
              </w:rPr>
            </w:pPr>
            <w:r>
              <w:rPr>
                <w:sz w:val="20"/>
                <w:szCs w:val="20"/>
              </w:rPr>
              <w:t xml:space="preserve">0,80% годовых от суммы, предъявленной к оплате по аккредитиву, и/или неиспользованного остатка средств по аккредитиву</w:t>
            </w:r>
            <w:r>
              <w:rPr>
                <w:bCs/>
                <w:sz w:val="20"/>
                <w:szCs w:val="20"/>
              </w:rPr>
              <w:t xml:space="preserve">/от суммы тратты</w:t>
            </w:r>
            <w:r>
              <w:rPr>
                <w:sz w:val="20"/>
                <w:szCs w:val="20"/>
              </w:rPr>
              <w:t xml:space="preserve">, </w:t>
              <w:br w:type="textWrapping" w:clear="all"/>
              <w:t xml:space="preserve">мин. 10 000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iCs/>
                <w:sz w:val="20"/>
                <w:szCs w:val="20"/>
              </w:rPr>
            </w:pPr>
            <w:r>
              <w:rPr>
                <w:iCs/>
                <w:sz w:val="20"/>
                <w:szCs w:val="20"/>
              </w:rPr>
            </w: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6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rPr>
                <w:sz w:val="20"/>
                <w:szCs w:val="20"/>
              </w:rPr>
            </w:pPr>
            <w:r>
              <w:rPr>
                <w:iCs/>
                <w:sz w:val="20"/>
                <w:szCs w:val="20"/>
              </w:rPr>
              <w:t xml:space="preserve">- при отсутствии 100% </w:t>
            </w:r>
            <w:r>
              <w:rPr>
                <w:bCs/>
                <w:iCs/>
                <w:sz w:val="20"/>
                <w:szCs w:val="20"/>
              </w:rPr>
              <w:t xml:space="preserve">денежного покрытия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sz w:val="20"/>
                <w:szCs w:val="20"/>
                <w:lang w:val="en-US"/>
              </w:rPr>
            </w:pPr>
            <w:r>
              <w:rPr>
                <w:sz w:val="20"/>
                <w:szCs w:val="20"/>
              </w:rPr>
              <w:t xml:space="preserve">По соглашению сторон</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iCs/>
                <w:sz w:val="20"/>
                <w:szCs w:val="20"/>
                <w:highlight w:val="yellow"/>
              </w:rPr>
            </w:pPr>
            <w:r>
              <w:rPr>
                <w:iCs/>
                <w:sz w:val="20"/>
                <w:szCs w:val="20"/>
                <w:highlight w:val="yellow"/>
              </w:rPr>
            </w:r>
            <w:r>
              <w:rPr>
                <w:iCs/>
                <w:sz w:val="20"/>
                <w:szCs w:val="20"/>
                <w:highlight w:val="yellow"/>
              </w:rPr>
            </w:r>
            <w:r>
              <w:rPr>
                <w:iCs/>
                <w:sz w:val="20"/>
                <w:szCs w:val="20"/>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sz w:val="20"/>
                <w:szCs w:val="20"/>
              </w:rPr>
            </w:pPr>
            <w:r>
              <w:rPr>
                <w:sz w:val="20"/>
                <w:szCs w:val="20"/>
              </w:rPr>
              <w:t xml:space="preserve">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numPr>
                <w:ilvl w:val="0"/>
                <w:numId w:val="15"/>
              </w:numPr>
              <w:ind w:hanging="42"/>
              <w:tabs>
                <w:tab w:val="left" w:pos="184" w:leader="none"/>
              </w:tabs>
              <w:rPr>
                <w:bCs/>
                <w:sz w:val="20"/>
                <w:szCs w:val="20"/>
              </w:rPr>
            </w:pPr>
            <w:r>
              <w:rPr>
                <w:iCs/>
                <w:sz w:val="20"/>
                <w:szCs w:val="20"/>
              </w:rPr>
              <w:t xml:space="preserve">Авизование изменения условий</w:t>
            </w:r>
            <w:r>
              <w:rPr>
                <w:bCs/>
                <w:sz w:val="20"/>
                <w:szCs w:val="20"/>
              </w:rPr>
              <w:t xml:space="preserve"> аккредитива, не связанного с увеличением суммы </w:t>
            </w:r>
            <w:r>
              <w:rPr>
                <w:bCs/>
                <w:sz w:val="20"/>
                <w:szCs w:val="20"/>
              </w:rPr>
            </w:r>
            <w:r>
              <w:rPr>
                <w:bCs/>
                <w:sz w:val="20"/>
                <w:szCs w:val="20"/>
              </w:rPr>
            </w:r>
          </w:p>
          <w:p>
            <w:pPr>
              <w:pStyle w:val="965"/>
              <w:numPr>
                <w:ilvl w:val="0"/>
                <w:numId w:val="15"/>
              </w:numPr>
              <w:ind w:hanging="42"/>
              <w:tabs>
                <w:tab w:val="left" w:pos="0" w:leader="none"/>
                <w:tab w:val="left" w:pos="184" w:leader="none"/>
              </w:tabs>
              <w:rPr>
                <w:sz w:val="20"/>
                <w:szCs w:val="20"/>
              </w:rPr>
            </w:pPr>
            <w:r>
              <w:rPr>
                <w:sz w:val="20"/>
                <w:szCs w:val="20"/>
              </w:rPr>
              <w:t xml:space="preserve">Авизование запроса на аннуляцию аккредитива</w:t>
            </w:r>
            <w:r>
              <w:rPr>
                <w:sz w:val="20"/>
                <w:szCs w:val="20"/>
              </w:rPr>
            </w:r>
            <w:r>
              <w:rPr>
                <w:sz w:val="20"/>
                <w:szCs w:val="20"/>
              </w:rPr>
            </w:r>
          </w:p>
          <w:p>
            <w:pPr>
              <w:pStyle w:val="965"/>
              <w:numPr>
                <w:ilvl w:val="0"/>
                <w:numId w:val="15"/>
              </w:numPr>
              <w:ind w:hanging="42"/>
              <w:tabs>
                <w:tab w:val="left" w:pos="184" w:leader="none"/>
              </w:tabs>
              <w:rPr>
                <w:i/>
                <w:iCs/>
                <w:sz w:val="20"/>
                <w:szCs w:val="20"/>
              </w:rPr>
            </w:pPr>
            <w:r>
              <w:rPr>
                <w:bCs/>
                <w:color w:val="000000"/>
                <w:sz w:val="20"/>
                <w:szCs w:val="20"/>
              </w:rPr>
              <w:t xml:space="preserve">Авизование иных сообщений по аккредитиву</w:t>
            </w:r>
            <w:r>
              <w:rPr>
                <w:i/>
                <w:iCs/>
                <w:sz w:val="20"/>
                <w:szCs w:val="20"/>
              </w:rPr>
            </w:r>
            <w:r>
              <w:rPr>
                <w:i/>
                <w:i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sz w:val="20"/>
                <w:szCs w:val="20"/>
              </w:rPr>
            </w:pPr>
            <w:r>
              <w:rPr>
                <w:sz w:val="20"/>
                <w:szCs w:val="20"/>
              </w:rPr>
              <w:t xml:space="preserve"> 3 500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strike/>
                <w:color w:val="ffffff"/>
                <w:sz w:val="20"/>
                <w:szCs w:val="20"/>
              </w:rPr>
            </w:pPr>
            <w:r>
              <w:rPr>
                <w:strike/>
                <w:color w:val="ffffff"/>
                <w:sz w:val="20"/>
                <w:szCs w:val="20"/>
              </w:rPr>
            </w:r>
            <w:r>
              <w:rPr>
                <w:strike/>
                <w:color w:val="ffffff"/>
                <w:sz w:val="20"/>
                <w:szCs w:val="20"/>
              </w:rPr>
            </w:r>
            <w:r>
              <w:rPr>
                <w:strike/>
                <w:color w:val="ffffff"/>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sz w:val="20"/>
                <w:szCs w:val="20"/>
              </w:rPr>
            </w:pPr>
            <w:r>
              <w:rPr>
                <w:sz w:val="20"/>
                <w:szCs w:val="20"/>
              </w:rPr>
              <w:t xml:space="preserve">4.1.5.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rPr>
                <w:sz w:val="20"/>
                <w:szCs w:val="20"/>
              </w:rPr>
            </w:pPr>
            <w:r>
              <w:rPr>
                <w:bCs/>
                <w:sz w:val="20"/>
                <w:szCs w:val="20"/>
              </w:rPr>
              <w:t xml:space="preserve">Обработка/проверка документов</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sz w:val="20"/>
                <w:szCs w:val="20"/>
              </w:rPr>
            </w:pPr>
            <w:r>
              <w:rPr>
                <w:sz w:val="20"/>
                <w:szCs w:val="20"/>
              </w:rPr>
              <w:t xml:space="preserve">0,15% от суммы, </w:t>
            </w:r>
            <w:r>
              <w:rPr>
                <w:bCs/>
                <w:sz w:val="20"/>
                <w:szCs w:val="20"/>
              </w:rPr>
              <w:t xml:space="preserve">запрошенной к оплате</w:t>
            </w:r>
            <w:r>
              <w:rPr>
                <w:sz w:val="20"/>
                <w:szCs w:val="20"/>
              </w:rPr>
              <w:t xml:space="preserve">,</w:t>
            </w:r>
            <w:r>
              <w:rPr>
                <w:sz w:val="20"/>
                <w:szCs w:val="20"/>
              </w:rPr>
            </w:r>
            <w:r>
              <w:rPr>
                <w:sz w:val="20"/>
                <w:szCs w:val="20"/>
              </w:rPr>
            </w:r>
          </w:p>
          <w:p>
            <w:pPr>
              <w:pStyle w:val="965"/>
              <w:jc w:val="center"/>
              <w:rPr>
                <w:sz w:val="20"/>
                <w:szCs w:val="20"/>
              </w:rPr>
            </w:pPr>
            <w:r>
              <w:rPr>
                <w:sz w:val="20"/>
                <w:szCs w:val="20"/>
              </w:rPr>
              <w:t xml:space="preserve">мин. 1</w:t>
            </w:r>
            <w:r>
              <w:rPr>
                <w:sz w:val="20"/>
                <w:szCs w:val="20"/>
                <w:lang w:val="en-US"/>
              </w:rPr>
              <w:t xml:space="preserve">0</w:t>
            </w:r>
            <w:r>
              <w:rPr>
                <w:sz w:val="20"/>
                <w:szCs w:val="20"/>
              </w:rPr>
              <w:t xml:space="preserve"> 000 руб.,</w:t>
            </w:r>
            <w:r>
              <w:rPr>
                <w:sz w:val="20"/>
                <w:szCs w:val="20"/>
              </w:rPr>
            </w:r>
            <w:r>
              <w:rPr>
                <w:sz w:val="20"/>
                <w:szCs w:val="20"/>
              </w:rPr>
            </w:r>
          </w:p>
          <w:p>
            <w:pPr>
              <w:pStyle w:val="965"/>
              <w:jc w:val="center"/>
              <w:rPr>
                <w:sz w:val="20"/>
                <w:szCs w:val="20"/>
              </w:rPr>
            </w:pPr>
            <w:r>
              <w:rPr>
                <w:sz w:val="20"/>
                <w:szCs w:val="20"/>
              </w:rPr>
              <w:t xml:space="preserve">макс. 3</w:t>
            </w:r>
            <w:r>
              <w:rPr>
                <w:sz w:val="20"/>
                <w:szCs w:val="20"/>
                <w:lang w:val="en-US"/>
              </w:rPr>
              <w:t xml:space="preserve">5</w:t>
            </w:r>
            <w:r>
              <w:rPr>
                <w:sz w:val="20"/>
                <w:szCs w:val="20"/>
              </w:rPr>
              <w:t xml:space="preserve">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iCs/>
                <w:sz w:val="20"/>
                <w:szCs w:val="20"/>
              </w:rPr>
            </w:pPr>
            <w:r>
              <w:rPr>
                <w:bCs/>
                <w:sz w:val="20"/>
                <w:szCs w:val="20"/>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sz w:val="20"/>
                <w:szCs w:val="20"/>
              </w:rPr>
            </w:pPr>
            <w:r>
              <w:rPr>
                <w:sz w:val="20"/>
                <w:szCs w:val="20"/>
              </w:rPr>
              <w:t xml:space="preserve">4.1.6.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keepNext/>
              <w:rPr>
                <w:sz w:val="20"/>
                <w:szCs w:val="20"/>
              </w:rPr>
              <w:outlineLvl w:val="6"/>
            </w:pPr>
            <w:r>
              <w:rPr>
                <w:sz w:val="20"/>
                <w:szCs w:val="20"/>
              </w:rPr>
              <w:t xml:space="preserve">Комиссия за </w:t>
            </w:r>
            <w:r>
              <w:rPr>
                <w:bCs/>
                <w:sz w:val="20"/>
                <w:szCs w:val="20"/>
              </w:rPr>
              <w:t xml:space="preserve">предоставление </w:t>
            </w:r>
            <w:r>
              <w:rPr>
                <w:sz w:val="20"/>
                <w:szCs w:val="20"/>
              </w:rPr>
              <w:t xml:space="preserve">отсрочки </w:t>
            </w:r>
            <w:r>
              <w:rPr>
                <w:bCs/>
                <w:sz w:val="20"/>
                <w:szCs w:val="20"/>
              </w:rPr>
              <w:t xml:space="preserve">возмещения</w:t>
            </w:r>
            <w:r>
              <w:rPr>
                <w:sz w:val="20"/>
                <w:szCs w:val="20"/>
              </w:rPr>
              <w:t xml:space="preserve"> платежа, совершенного по аккредитиву (в случае исполнения подтвержденного аккредитива и предоставления финансирования Банком)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iCs/>
                <w:sz w:val="20"/>
                <w:szCs w:val="20"/>
              </w:rPr>
            </w:pPr>
            <w:r>
              <w:rPr>
                <w:iCs/>
                <w:sz w:val="20"/>
                <w:szCs w:val="20"/>
              </w:rPr>
            </w: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sz w:val="20"/>
                <w:szCs w:val="20"/>
              </w:rPr>
            </w:pPr>
            <w:r>
              <w:rPr>
                <w:sz w:val="20"/>
                <w:szCs w:val="20"/>
              </w:rPr>
              <w:t xml:space="preserve">4.1.7.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keepNext/>
              <w:rPr>
                <w:sz w:val="20"/>
                <w:szCs w:val="20"/>
              </w:rPr>
              <w:outlineLvl w:val="6"/>
            </w:pPr>
            <w:r>
              <w:rPr>
                <w:sz w:val="20"/>
                <w:szCs w:val="20"/>
              </w:rPr>
              <w:t xml:space="preserve">Запрос по аккредитиву по инициативе клиента/банка-контрагента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sz w:val="20"/>
                <w:szCs w:val="20"/>
              </w:rPr>
            </w:pPr>
            <w:r>
              <w:rPr>
                <w:sz w:val="20"/>
                <w:szCs w:val="20"/>
              </w:rPr>
              <w:t xml:space="preserve">2 500 руб. </w:t>
            </w:r>
            <w:r>
              <w:rPr>
                <w:bCs/>
                <w:sz w:val="20"/>
                <w:szCs w:val="20"/>
              </w:rPr>
              <w:t xml:space="preserve">за каждый запрос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bCs/>
                <w:sz w:val="20"/>
                <w:szCs w:val="20"/>
              </w:rPr>
            </w:pPr>
            <w:r>
              <w:rPr>
                <w:bCs/>
                <w:sz w:val="20"/>
                <w:szCs w:val="20"/>
              </w:rPr>
            </w:r>
            <w:r>
              <w:rPr>
                <w:bCs/>
                <w:sz w:val="20"/>
                <w:szCs w:val="20"/>
              </w:rPr>
            </w:r>
            <w:r>
              <w:rPr>
                <w:bCs/>
                <w:sz w:val="20"/>
                <w:szCs w:val="20"/>
              </w:rPr>
            </w:r>
          </w:p>
          <w:p>
            <w:pPr>
              <w:pStyle w:val="965"/>
              <w:jc w:val="center"/>
              <w:rPr>
                <w:iCs/>
                <w:strike/>
                <w:color w:val="ffffff"/>
                <w:sz w:val="20"/>
                <w:szCs w:val="20"/>
              </w:rPr>
            </w:pPr>
            <w:r>
              <w:rPr>
                <w:iCs/>
                <w:strike/>
                <w:color w:val="ffffff"/>
                <w:sz w:val="20"/>
                <w:szCs w:val="20"/>
              </w:rPr>
            </w:r>
            <w:r>
              <w:rPr>
                <w:iCs/>
                <w:strike/>
                <w:color w:val="ffffff"/>
                <w:sz w:val="20"/>
                <w:szCs w:val="20"/>
              </w:rPr>
            </w:r>
            <w:r>
              <w:rPr>
                <w:iCs/>
                <w:strike/>
                <w:color w:val="ffffff"/>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sz w:val="20"/>
                <w:szCs w:val="20"/>
              </w:rPr>
            </w:pPr>
            <w:r>
              <w:rPr>
                <w:sz w:val="20"/>
                <w:szCs w:val="20"/>
                <w:lang w:val="en-US"/>
              </w:rPr>
              <w:t xml:space="preserve">4</w:t>
            </w:r>
            <w:r>
              <w:rPr>
                <w:sz w:val="20"/>
                <w:szCs w:val="20"/>
              </w:rPr>
              <w:t xml:space="preserve">.1.8.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keepNext/>
              <w:rPr>
                <w:sz w:val="20"/>
                <w:szCs w:val="20"/>
              </w:rPr>
              <w:outlineLvl w:val="6"/>
            </w:pPr>
            <w:r>
              <w:rPr>
                <w:sz w:val="20"/>
                <w:szCs w:val="20"/>
              </w:rPr>
              <w:t xml:space="preserve">Проверка правильности телексных ключей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sz w:val="20"/>
                <w:szCs w:val="20"/>
              </w:rPr>
            </w:pPr>
            <w:r>
              <w:rPr>
                <w:sz w:val="20"/>
                <w:szCs w:val="20"/>
              </w:rPr>
              <w:t xml:space="preserve">4 000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iCs/>
                <w:strike/>
                <w:color w:val="ffffff"/>
                <w:sz w:val="20"/>
                <w:szCs w:val="20"/>
              </w:rPr>
            </w:pPr>
            <w:r>
              <w:rPr>
                <w:bCs/>
                <w:sz w:val="20"/>
                <w:szCs w:val="20"/>
              </w:rPr>
              <w:t xml:space="preserve">Комиссия включает НДС</w:t>
            </w:r>
            <w:r>
              <w:rPr>
                <w:iCs/>
                <w:strike/>
                <w:color w:val="ffffff"/>
                <w:sz w:val="20"/>
                <w:szCs w:val="20"/>
              </w:rPr>
            </w:r>
            <w:r>
              <w:rPr>
                <w:iCs/>
                <w:strike/>
                <w:color w:val="ffffff"/>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65"/>
              <w:jc w:val="center"/>
              <w:rPr>
                <w:bCs/>
                <w:sz w:val="20"/>
                <w:szCs w:val="20"/>
              </w:rPr>
            </w:pPr>
            <w:r>
              <w:rPr>
                <w:sz w:val="20"/>
                <w:szCs w:val="20"/>
                <w:lang w:val="en-US"/>
              </w:rPr>
              <w:t xml:space="preserve">4</w:t>
            </w:r>
            <w:r>
              <w:rPr>
                <w:sz w:val="20"/>
                <w:szCs w:val="20"/>
              </w:rPr>
              <w:t xml:space="preserve">.1.9.</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numPr>
                <w:ilvl w:val="0"/>
                <w:numId w:val="16"/>
              </w:numPr>
              <w:tabs>
                <w:tab w:val="left" w:pos="177" w:leader="none"/>
              </w:tabs>
              <w:rPr>
                <w:color w:val="000000"/>
                <w:sz w:val="20"/>
                <w:szCs w:val="20"/>
              </w:rPr>
            </w:pPr>
            <w:r>
              <w:rPr>
                <w:color w:val="000000"/>
                <w:sz w:val="20"/>
                <w:szCs w:val="20"/>
              </w:rPr>
              <w:t xml:space="preserve">Выпуск рамбурсного обязательства</w:t>
            </w:r>
            <w:r>
              <w:rPr>
                <w:color w:val="000000"/>
                <w:sz w:val="20"/>
                <w:szCs w:val="20"/>
              </w:rPr>
            </w:r>
            <w:r>
              <w:rPr>
                <w:color w:val="000000"/>
                <w:sz w:val="20"/>
                <w:szCs w:val="20"/>
              </w:rPr>
            </w:r>
          </w:p>
          <w:p>
            <w:pPr>
              <w:pStyle w:val="965"/>
              <w:numPr>
                <w:ilvl w:val="0"/>
                <w:numId w:val="16"/>
              </w:numPr>
              <w:tabs>
                <w:tab w:val="left" w:pos="184" w:leader="none"/>
              </w:tabs>
              <w:rPr>
                <w:rFonts w:eastAsia="Arial Unicode MS"/>
                <w:bCs/>
                <w:sz w:val="20"/>
                <w:szCs w:val="20"/>
              </w:rPr>
            </w:pPr>
            <w:r>
              <w:rPr>
                <w:sz w:val="20"/>
                <w:szCs w:val="20"/>
              </w:rPr>
              <w:t xml:space="preserve">Внесение изменений в условия рамбурсного обязательства, связанное с увеличением суммы: </w:t>
            </w:r>
            <w:r>
              <w:rPr>
                <w:rFonts w:eastAsia="Arial Unicode MS"/>
                <w:bCs/>
                <w:sz w:val="20"/>
                <w:szCs w:val="20"/>
              </w:rPr>
            </w:r>
            <w:r>
              <w:rPr>
                <w:rFonts w:eastAsia="Arial Unicode MS"/>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rPr>
                <w:color w:val="000000"/>
                <w:sz w:val="20"/>
                <w:szCs w:val="20"/>
              </w:rPr>
            </w:pPr>
            <w:r>
              <w:rPr>
                <w:color w:val="000000"/>
                <w:sz w:val="20"/>
                <w:szCs w:val="20"/>
              </w:rPr>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both"/>
              <w:rPr>
                <w:color w:val="000000"/>
                <w:sz w:val="20"/>
                <w:szCs w:val="20"/>
              </w:rPr>
            </w:pPr>
            <w:r>
              <w:rPr>
                <w:color w:val="000000"/>
                <w:sz w:val="20"/>
                <w:szCs w:val="20"/>
              </w:rPr>
            </w:r>
            <w:r>
              <w:rPr>
                <w:color w:val="000000"/>
                <w:sz w:val="20"/>
                <w:szCs w:val="20"/>
              </w:rPr>
            </w:r>
            <w:r>
              <w:rPr>
                <w:color w:val="000000"/>
                <w:sz w:val="20"/>
                <w:szCs w:val="20"/>
              </w:rPr>
            </w:r>
          </w:p>
          <w:p>
            <w:pPr>
              <w:pStyle w:val="965"/>
              <w:jc w:val="both"/>
              <w:rPr>
                <w:iCs/>
                <w:sz w:val="20"/>
                <w:szCs w:val="20"/>
              </w:rPr>
            </w:pPr>
            <w:r>
              <w:rPr>
                <w:iCs/>
                <w:sz w:val="20"/>
                <w:szCs w:val="20"/>
              </w:rPr>
            </w: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65"/>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tabs>
                <w:tab w:val="left" w:pos="177" w:leader="none"/>
              </w:tabs>
              <w:rPr>
                <w:color w:val="000000"/>
                <w:sz w:val="20"/>
                <w:szCs w:val="20"/>
              </w:rPr>
            </w:pPr>
            <w:r>
              <w:rPr>
                <w:bCs/>
                <w:color w:val="000000"/>
                <w:sz w:val="20"/>
                <w:szCs w:val="20"/>
              </w:rPr>
              <w:t xml:space="preserve">- при наличии 100% денежного покрытия</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color w:val="000000"/>
                <w:sz w:val="20"/>
                <w:szCs w:val="20"/>
              </w:rPr>
            </w:pPr>
            <w:r>
              <w:rPr>
                <w:color w:val="000000"/>
                <w:sz w:val="20"/>
                <w:szCs w:val="20"/>
              </w:rPr>
              <w:t xml:space="preserve">0,60% годовых от суммы рамбурсного требования и/или неиспользованного остатка по рамбурсному обязательству, </w:t>
            </w:r>
            <w:r>
              <w:rPr>
                <w:color w:val="000000"/>
                <w:sz w:val="20"/>
                <w:szCs w:val="20"/>
              </w:rPr>
            </w:r>
            <w:r>
              <w:rPr>
                <w:color w:val="000000"/>
                <w:sz w:val="20"/>
                <w:szCs w:val="20"/>
              </w:rPr>
            </w:r>
          </w:p>
          <w:p>
            <w:pPr>
              <w:pStyle w:val="965"/>
              <w:jc w:val="center"/>
              <w:rPr>
                <w:color w:val="000000"/>
                <w:sz w:val="20"/>
                <w:szCs w:val="20"/>
              </w:rPr>
            </w:pPr>
            <w:r>
              <w:rPr>
                <w:color w:val="000000"/>
                <w:sz w:val="20"/>
                <w:szCs w:val="20"/>
              </w:rPr>
              <w:t xml:space="preserve">мин. 10 000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color w:val="000000"/>
                <w:sz w:val="20"/>
                <w:szCs w:val="20"/>
              </w:rPr>
            </w:pPr>
            <w:r>
              <w:rPr>
                <w:color w:val="000000"/>
                <w:sz w:val="20"/>
                <w:szCs w:val="20"/>
              </w:rPr>
            </w:r>
            <w:r>
              <w:rPr>
                <w:color w:val="000000"/>
                <w:sz w:val="20"/>
                <w:szCs w:val="20"/>
              </w:rPr>
            </w:r>
            <w:r>
              <w:rPr>
                <w:color w:val="000000"/>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65"/>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tabs>
                <w:tab w:val="left" w:pos="177" w:leader="none"/>
              </w:tabs>
              <w:rPr>
                <w:color w:val="000000"/>
                <w:sz w:val="20"/>
                <w:szCs w:val="20"/>
              </w:rPr>
            </w:pPr>
            <w:r>
              <w:rPr>
                <w:bCs/>
                <w:color w:val="000000"/>
                <w:sz w:val="20"/>
                <w:szCs w:val="20"/>
              </w:rPr>
              <w:t xml:space="preserve">- при отсутствии 100% денежного покрытия</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color w:val="000000"/>
                <w:sz w:val="20"/>
                <w:szCs w:val="20"/>
              </w:rPr>
            </w:pPr>
            <w:r>
              <w:rPr>
                <w:color w:val="000000"/>
                <w:sz w:val="20"/>
                <w:szCs w:val="20"/>
              </w:rPr>
              <w:t xml:space="preserve">По соглашению сторон</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both"/>
              <w:rPr>
                <w:color w:val="000000"/>
                <w:sz w:val="20"/>
                <w:szCs w:val="20"/>
              </w:rPr>
            </w:pPr>
            <w:r>
              <w:rPr>
                <w:color w:val="000000"/>
                <w:sz w:val="20"/>
                <w:szCs w:val="20"/>
              </w:rPr>
            </w:r>
            <w:r>
              <w:rPr>
                <w:color w:val="000000"/>
                <w:sz w:val="20"/>
                <w:szCs w:val="20"/>
              </w:rPr>
            </w:r>
            <w:r>
              <w:rPr>
                <w:color w:val="000000"/>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bCs/>
                <w:sz w:val="20"/>
                <w:szCs w:val="20"/>
              </w:rPr>
            </w:pPr>
            <w:r>
              <w:rPr>
                <w:sz w:val="20"/>
                <w:szCs w:val="20"/>
                <w:lang w:val="en-US"/>
              </w:rPr>
              <w:t xml:space="preserve">4</w:t>
            </w:r>
            <w:r>
              <w:rPr>
                <w:sz w:val="20"/>
                <w:szCs w:val="20"/>
              </w:rPr>
              <w:t xml:space="preserve">.1.10.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numPr>
                <w:ilvl w:val="0"/>
                <w:numId w:val="17"/>
              </w:numPr>
              <w:tabs>
                <w:tab w:val="left" w:pos="177" w:leader="none"/>
              </w:tabs>
              <w:rPr>
                <w:bCs/>
                <w:sz w:val="20"/>
                <w:szCs w:val="20"/>
              </w:rPr>
            </w:pPr>
            <w:r>
              <w:rPr>
                <w:bCs/>
                <w:sz w:val="20"/>
                <w:szCs w:val="20"/>
              </w:rPr>
              <w:t xml:space="preserve">Изменение условий рамбурсного обязательства, не связанное с увеличением суммы</w:t>
            </w:r>
            <w:r>
              <w:rPr>
                <w:bCs/>
                <w:sz w:val="20"/>
                <w:szCs w:val="20"/>
              </w:rPr>
            </w:r>
            <w:r>
              <w:rPr>
                <w:bCs/>
                <w:sz w:val="20"/>
                <w:szCs w:val="20"/>
              </w:rPr>
            </w:r>
          </w:p>
          <w:p>
            <w:pPr>
              <w:pStyle w:val="965"/>
              <w:numPr>
                <w:ilvl w:val="0"/>
                <w:numId w:val="17"/>
              </w:numPr>
              <w:keepNext/>
              <w:tabs>
                <w:tab w:val="left" w:pos="177" w:leader="none"/>
              </w:tabs>
              <w:rPr>
                <w:bCs/>
                <w:sz w:val="20"/>
                <w:szCs w:val="20"/>
              </w:rPr>
              <w:outlineLvl w:val="0"/>
            </w:pPr>
            <w:r>
              <w:rPr>
                <w:bCs/>
                <w:sz w:val="20"/>
                <w:szCs w:val="20"/>
              </w:rPr>
              <w:t xml:space="preserve">Запрос на аннуляцию рамбурсного обязательства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iCs/>
                <w:sz w:val="20"/>
                <w:szCs w:val="20"/>
              </w:rPr>
            </w:pPr>
            <w:r>
              <w:rPr>
                <w:bCs/>
                <w:sz w:val="20"/>
                <w:szCs w:val="20"/>
              </w:rPr>
              <w:t xml:space="preserve">1</w:t>
            </w:r>
            <w:r>
              <w:rPr>
                <w:bCs/>
                <w:sz w:val="20"/>
                <w:szCs w:val="20"/>
                <w:lang w:val="en-US"/>
              </w:rPr>
              <w:t xml:space="preserve">0 0</w:t>
            </w:r>
            <w:r>
              <w:rPr>
                <w:bCs/>
                <w:sz w:val="20"/>
                <w:szCs w:val="20"/>
              </w:rPr>
              <w:t xml:space="preserve">00 руб.</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iCs/>
                <w:sz w:val="20"/>
                <w:szCs w:val="20"/>
              </w:rPr>
            </w:pPr>
            <w:r>
              <w:rPr>
                <w:iCs/>
                <w:sz w:val="20"/>
                <w:szCs w:val="20"/>
              </w:rPr>
            </w: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bCs/>
                <w:sz w:val="20"/>
                <w:szCs w:val="20"/>
              </w:rPr>
            </w:pPr>
            <w:r>
              <w:rPr>
                <w:sz w:val="20"/>
                <w:szCs w:val="20"/>
                <w:lang w:val="en-US"/>
              </w:rPr>
              <w:t xml:space="preserve">4</w:t>
            </w:r>
            <w:r>
              <w:rPr>
                <w:sz w:val="20"/>
                <w:szCs w:val="20"/>
              </w:rPr>
              <w:t xml:space="preserve">.1.11.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keepNext/>
              <w:rPr>
                <w:bCs/>
                <w:sz w:val="20"/>
                <w:szCs w:val="20"/>
              </w:rPr>
              <w:outlineLvl w:val="0"/>
            </w:pPr>
            <w:r>
              <w:rPr>
                <w:bCs/>
                <w:sz w:val="20"/>
                <w:szCs w:val="20"/>
              </w:rPr>
              <w:t xml:space="preserve">Платеж по рамбурсному требованию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iCs/>
                <w:sz w:val="20"/>
                <w:szCs w:val="20"/>
              </w:rPr>
            </w:pPr>
            <w:r>
              <w:rPr>
                <w:bCs/>
                <w:sz w:val="20"/>
                <w:szCs w:val="20"/>
              </w:rPr>
              <w:t xml:space="preserve">3 </w:t>
            </w:r>
            <w:r>
              <w:rPr>
                <w:bCs/>
                <w:sz w:val="20"/>
                <w:szCs w:val="20"/>
                <w:lang w:val="en-US"/>
              </w:rPr>
              <w:t xml:space="preserve">5</w:t>
            </w:r>
            <w:r>
              <w:rPr>
                <w:bCs/>
                <w:sz w:val="20"/>
                <w:szCs w:val="20"/>
              </w:rPr>
              <w:t xml:space="preserve">00 руб.</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rPr>
                <w:iCs/>
                <w:sz w:val="20"/>
                <w:szCs w:val="20"/>
              </w:rPr>
            </w:pPr>
            <w:r>
              <w:rPr>
                <w:iCs/>
                <w:sz w:val="20"/>
                <w:szCs w:val="20"/>
              </w:rPr>
            </w: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spacing w:before="40" w:after="40"/>
              <w:rPr>
                <w:b/>
                <w:sz w:val="20"/>
                <w:szCs w:val="20"/>
              </w:rPr>
            </w:pPr>
            <w:r>
              <w:rPr>
                <w:b/>
                <w:bCs/>
                <w:sz w:val="20"/>
                <w:szCs w:val="20"/>
              </w:rPr>
              <w:t xml:space="preserve">4.2.</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965"/>
              <w:spacing w:before="40" w:after="40"/>
              <w:rPr>
                <w:b/>
                <w:sz w:val="20"/>
                <w:szCs w:val="20"/>
              </w:rPr>
            </w:pPr>
            <w:r>
              <w:rPr>
                <w:b/>
                <w:sz w:val="20"/>
                <w:szCs w:val="20"/>
              </w:rPr>
              <w:t xml:space="preserve">Операции по аккредитивам, открытым АО «Россельхозбанк» по запросам банков-контрагентов для расчетов по внешнеторговым сделкам:</w:t>
            </w:r>
            <w:r>
              <w:rPr>
                <w:b/>
                <w:sz w:val="20"/>
                <w:szCs w:val="20"/>
              </w:rPr>
            </w:r>
            <w:r>
              <w:rPr>
                <w:b/>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65"/>
              <w:jc w:val="center"/>
              <w:rPr>
                <w:sz w:val="20"/>
                <w:szCs w:val="20"/>
              </w:rPr>
            </w:pPr>
            <w:r>
              <w:rPr>
                <w:sz w:val="20"/>
                <w:szCs w:val="20"/>
              </w:rPr>
              <w:t xml:space="preserve">4.2.1.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numPr>
                <w:ilvl w:val="0"/>
                <w:numId w:val="18"/>
              </w:numPr>
              <w:ind w:firstLine="35"/>
              <w:tabs>
                <w:tab w:val="left" w:pos="177" w:leader="none"/>
              </w:tabs>
              <w:rPr>
                <w:iCs/>
                <w:sz w:val="20"/>
                <w:szCs w:val="20"/>
              </w:rPr>
            </w:pPr>
            <w:r>
              <w:rPr>
                <w:iCs/>
                <w:sz w:val="20"/>
                <w:szCs w:val="20"/>
              </w:rPr>
              <w:t xml:space="preserve">Открытие аккредитива</w:t>
            </w:r>
            <w:r>
              <w:rPr>
                <w:iCs/>
                <w:sz w:val="20"/>
                <w:szCs w:val="20"/>
              </w:rPr>
            </w:r>
            <w:r>
              <w:rPr>
                <w:iCs/>
                <w:sz w:val="20"/>
                <w:szCs w:val="20"/>
              </w:rPr>
            </w:r>
          </w:p>
          <w:p>
            <w:pPr>
              <w:pStyle w:val="965"/>
              <w:numPr>
                <w:ilvl w:val="0"/>
                <w:numId w:val="18"/>
              </w:numPr>
              <w:ind w:firstLine="35"/>
              <w:tabs>
                <w:tab w:val="left" w:pos="177" w:leader="none"/>
              </w:tabs>
              <w:rPr>
                <w:iCs/>
                <w:sz w:val="20"/>
                <w:szCs w:val="20"/>
              </w:rPr>
            </w:pPr>
            <w:r>
              <w:rPr>
                <w:iCs/>
                <w:sz w:val="20"/>
                <w:szCs w:val="20"/>
              </w:rPr>
              <w:t xml:space="preserve">Увеличение суммы</w:t>
            </w:r>
            <w:r>
              <w:rPr>
                <w:iCs/>
                <w:sz w:val="20"/>
                <w:szCs w:val="20"/>
              </w:rPr>
            </w:r>
            <w:r>
              <w:rPr>
                <w:iCs/>
                <w:sz w:val="20"/>
                <w:szCs w:val="20"/>
              </w:rPr>
            </w:r>
          </w:p>
          <w:p>
            <w:pPr>
              <w:pStyle w:val="965"/>
              <w:numPr>
                <w:ilvl w:val="0"/>
                <w:numId w:val="18"/>
              </w:numPr>
              <w:ind w:firstLine="35"/>
              <w:tabs>
                <w:tab w:val="left" w:pos="177" w:leader="none"/>
              </w:tabs>
              <w:rPr>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iCs/>
                <w:sz w:val="20"/>
                <w:szCs w:val="20"/>
              </w:rPr>
            </w:pPr>
            <w:r>
              <w:rPr>
                <w:iCs/>
                <w:sz w:val="20"/>
                <w:szCs w:val="20"/>
              </w:rPr>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iCs/>
                <w:sz w:val="20"/>
                <w:szCs w:val="20"/>
              </w:rPr>
            </w:pPr>
            <w:r>
              <w:rPr>
                <w:iCs/>
                <w:sz w:val="20"/>
                <w:szCs w:val="20"/>
              </w:rPr>
            </w: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6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tabs>
                <w:tab w:val="left" w:pos="432" w:leader="none"/>
              </w:tabs>
              <w:rPr>
                <w:sz w:val="20"/>
                <w:szCs w:val="20"/>
              </w:rPr>
            </w:pPr>
            <w:r>
              <w:rPr>
                <w:sz w:val="20"/>
                <w:szCs w:val="20"/>
              </w:rPr>
              <w:t xml:space="preserve">- при наличии 100% </w:t>
            </w:r>
            <w:r>
              <w:rPr>
                <w:bCs/>
                <w:iCs/>
                <w:sz w:val="20"/>
                <w:szCs w:val="20"/>
              </w:rPr>
              <w:t xml:space="preserve">денежного покрытия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rFonts w:ascii="Times New Roman CYR" w:hAnsi="Times New Roman CYR" w:cs="Times New Roman CYR"/>
                <w:sz w:val="20"/>
                <w:szCs w:val="20"/>
              </w:rPr>
            </w:pPr>
            <w:r>
              <w:rPr>
                <w:rFonts w:ascii="Times New Roman CYR" w:hAnsi="Times New Roman CYR" w:cs="Times New Roman CYR"/>
                <w:sz w:val="20"/>
                <w:szCs w:val="20"/>
              </w:rPr>
              <w:t xml:space="preserve">0,60% годовых от суммы, </w:t>
            </w:r>
            <w:r>
              <w:rPr>
                <w:sz w:val="20"/>
                <w:szCs w:val="20"/>
              </w:rPr>
              <w:t xml:space="preserve">предъявленной к оплате по</w:t>
            </w:r>
            <w:r>
              <w:rPr>
                <w:rFonts w:ascii="Times New Roman CYR" w:hAnsi="Times New Roman CYR" w:cs="Times New Roman CYR"/>
                <w:sz w:val="20"/>
                <w:szCs w:val="20"/>
              </w:rPr>
              <w:t xml:space="preserve"> аккредитиву,</w:t>
            </w:r>
            <w:r>
              <w:rPr>
                <w:rFonts w:ascii="Times New Roman CYR" w:hAnsi="Times New Roman CYR" w:cs="Times New Roman CYR"/>
                <w:bCs/>
                <w:sz w:val="20"/>
                <w:szCs w:val="20"/>
              </w:rPr>
              <w:t xml:space="preserve"> и/или неиспользованного остатка средств по аккредитиву</w:t>
            </w:r>
            <w:r>
              <w:rPr>
                <w:rFonts w:ascii="Times New Roman CYR" w:hAnsi="Times New Roman CYR" w:cs="Times New Roman CYR"/>
                <w:sz w:val="20"/>
                <w:szCs w:val="20"/>
              </w:rPr>
              <w:t xml:space="preserve">, </w:t>
              <w:br w:type="textWrapping" w:clear="all"/>
              <w:t xml:space="preserve">мин.10 000 руб. </w:t>
            </w:r>
            <w:r>
              <w:rPr>
                <w:rFonts w:ascii="Times New Roman CYR" w:hAnsi="Times New Roman CYR" w:cs="Times New Roman CYR"/>
                <w:sz w:val="20"/>
                <w:szCs w:val="20"/>
              </w:rPr>
            </w:r>
            <w:r>
              <w:rPr>
                <w:rFonts w:ascii="Times New Roman CYR" w:hAnsi="Times New Roman CYR" w:cs="Times New Roman CY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6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tabs>
                <w:tab w:val="left" w:pos="432" w:leader="none"/>
              </w:tabs>
              <w:rPr>
                <w:bCs/>
                <w:sz w:val="20"/>
                <w:szCs w:val="20"/>
              </w:rPr>
            </w:pPr>
            <w:r>
              <w:rPr>
                <w:bCs/>
                <w:sz w:val="20"/>
                <w:szCs w:val="20"/>
              </w:rPr>
              <w:t xml:space="preserve">- при отсутствии 100% денежного покрытия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sz w:val="20"/>
                <w:szCs w:val="20"/>
              </w:rPr>
            </w:pPr>
            <w:r>
              <w:rPr>
                <w:sz w:val="20"/>
                <w:szCs w:val="20"/>
              </w:rPr>
              <w:t xml:space="preserve">4.2.2.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numPr>
                <w:ilvl w:val="0"/>
                <w:numId w:val="19"/>
              </w:numPr>
              <w:tabs>
                <w:tab w:val="left" w:pos="184" w:leader="none"/>
              </w:tabs>
              <w:rPr>
                <w:bCs/>
                <w:sz w:val="20"/>
                <w:szCs w:val="20"/>
              </w:rPr>
            </w:pPr>
            <w:r>
              <w:rPr>
                <w:iCs/>
                <w:sz w:val="20"/>
                <w:szCs w:val="20"/>
              </w:rPr>
              <w:t xml:space="preserve">Внесение изменений в условия </w:t>
            </w:r>
            <w:r>
              <w:rPr>
                <w:bCs/>
                <w:sz w:val="20"/>
                <w:szCs w:val="20"/>
              </w:rPr>
              <w:t xml:space="preserve">открытого Банком аккредитива, не связанных с увеличением суммы</w:t>
            </w:r>
            <w:r>
              <w:rPr>
                <w:bCs/>
                <w:sz w:val="20"/>
                <w:szCs w:val="20"/>
              </w:rPr>
            </w:r>
            <w:r>
              <w:rPr>
                <w:bCs/>
                <w:sz w:val="20"/>
                <w:szCs w:val="20"/>
              </w:rPr>
            </w:r>
          </w:p>
          <w:p>
            <w:pPr>
              <w:pStyle w:val="965"/>
              <w:numPr>
                <w:ilvl w:val="0"/>
                <w:numId w:val="20"/>
              </w:numPr>
              <w:tabs>
                <w:tab w:val="left" w:pos="177" w:leader="none"/>
              </w:tabs>
              <w:rPr>
                <w:bCs/>
                <w:sz w:val="20"/>
                <w:szCs w:val="20"/>
              </w:rPr>
            </w:pPr>
            <w:r>
              <w:rPr>
                <w:bCs/>
                <w:sz w:val="20"/>
                <w:szCs w:val="20"/>
              </w:rPr>
              <w:t xml:space="preserve">Запрос согласия на аннуляцию аккредитива</w:t>
            </w:r>
            <w:r>
              <w:rPr>
                <w:bCs/>
                <w:sz w:val="20"/>
                <w:szCs w:val="20"/>
              </w:rPr>
            </w:r>
            <w:r>
              <w:rPr>
                <w:bCs/>
                <w:sz w:val="20"/>
                <w:szCs w:val="20"/>
              </w:rPr>
            </w:r>
          </w:p>
          <w:p>
            <w:pPr>
              <w:pStyle w:val="965"/>
              <w:jc w:val="both"/>
              <w:tabs>
                <w:tab w:val="left" w:pos="177" w:leader="none"/>
              </w:tabs>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sz w:val="20"/>
                <w:szCs w:val="20"/>
              </w:rPr>
            </w:pPr>
            <w:r>
              <w:rPr>
                <w:sz w:val="20"/>
                <w:szCs w:val="20"/>
              </w:rPr>
              <w:t xml:space="preserve">3 </w:t>
            </w:r>
            <w:r>
              <w:rPr>
                <w:sz w:val="20"/>
                <w:szCs w:val="20"/>
                <w:lang w:val="en-US"/>
              </w:rPr>
              <w:t xml:space="preserve">5</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strike/>
                <w:color w:val="ffffff"/>
                <w:sz w:val="20"/>
                <w:szCs w:val="20"/>
              </w:rPr>
            </w:pPr>
            <w:r>
              <w:rPr>
                <w:strike/>
                <w:color w:val="ffffff"/>
                <w:sz w:val="20"/>
                <w:szCs w:val="20"/>
              </w:rPr>
            </w:r>
            <w:r>
              <w:rPr>
                <w:strike/>
                <w:color w:val="ffffff"/>
                <w:sz w:val="20"/>
                <w:szCs w:val="20"/>
              </w:rPr>
            </w:r>
            <w:r>
              <w:rPr>
                <w:strike/>
                <w:color w:val="ffffff"/>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sz w:val="20"/>
                <w:szCs w:val="20"/>
              </w:rPr>
            </w:pPr>
            <w:r>
              <w:rPr>
                <w:sz w:val="20"/>
                <w:szCs w:val="20"/>
              </w:rPr>
              <w:t xml:space="preserve">4.2.3.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sz w:val="20"/>
                <w:szCs w:val="20"/>
              </w:rPr>
            </w:pPr>
            <w:r>
              <w:rPr>
                <w:sz w:val="20"/>
                <w:szCs w:val="20"/>
              </w:rPr>
              <w:t xml:space="preserve">0,15% от суммы, </w:t>
            </w:r>
            <w:r>
              <w:rPr>
                <w:bCs/>
                <w:sz w:val="20"/>
                <w:szCs w:val="20"/>
              </w:rPr>
              <w:t xml:space="preserve">запрошенной к оплате</w:t>
            </w:r>
            <w:r>
              <w:rPr>
                <w:sz w:val="20"/>
                <w:szCs w:val="20"/>
              </w:rPr>
              <w:t xml:space="preserve">,</w:t>
            </w:r>
            <w:r>
              <w:rPr>
                <w:sz w:val="20"/>
                <w:szCs w:val="20"/>
              </w:rPr>
            </w:r>
            <w:r>
              <w:rPr>
                <w:sz w:val="20"/>
                <w:szCs w:val="20"/>
              </w:rPr>
            </w:r>
          </w:p>
          <w:p>
            <w:pPr>
              <w:pStyle w:val="965"/>
              <w:jc w:val="center"/>
              <w:rPr>
                <w:sz w:val="20"/>
                <w:szCs w:val="20"/>
              </w:rPr>
            </w:pPr>
            <w:r>
              <w:rPr>
                <w:sz w:val="20"/>
                <w:szCs w:val="20"/>
              </w:rPr>
              <w:t xml:space="preserve">мин. 10 </w:t>
            </w:r>
            <w:r>
              <w:rPr>
                <w:sz w:val="20"/>
                <w:szCs w:val="20"/>
                <w:lang w:val="en-US"/>
              </w:rPr>
              <w:t xml:space="preserve">0</w:t>
            </w:r>
            <w:r>
              <w:rPr>
                <w:sz w:val="20"/>
                <w:szCs w:val="20"/>
              </w:rPr>
              <w:t xml:space="preserve">00 руб., макс. 350 000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iCs/>
                <w:sz w:val="20"/>
                <w:szCs w:val="20"/>
              </w:rPr>
            </w:pPr>
            <w:r>
              <w:rPr>
                <w:bCs/>
                <w:sz w:val="20"/>
                <w:szCs w:val="20"/>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sz w:val="20"/>
                <w:szCs w:val="20"/>
              </w:rPr>
            </w:pPr>
            <w:r>
              <w:rPr>
                <w:sz w:val="20"/>
                <w:szCs w:val="20"/>
              </w:rPr>
              <w:t xml:space="preserve">4.2.4.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keepNext/>
              <w:rPr>
                <w:sz w:val="20"/>
                <w:szCs w:val="20"/>
              </w:rPr>
              <w:outlineLvl w:val="6"/>
            </w:pPr>
            <w:r>
              <w:rPr>
                <w:sz w:val="20"/>
                <w:szCs w:val="20"/>
              </w:rPr>
              <w:t xml:space="preserve">Запрос по аккредитиву или рамбурсному обязательству по инициативе клиента/банка-контрагента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sz w:val="20"/>
                <w:szCs w:val="20"/>
              </w:rPr>
            </w:pPr>
            <w:r>
              <w:rPr>
                <w:sz w:val="20"/>
                <w:szCs w:val="20"/>
              </w:rPr>
              <w:t xml:space="preserve">2 500 руб. </w:t>
            </w:r>
            <w:r>
              <w:rPr>
                <w:bCs/>
                <w:sz w:val="20"/>
                <w:szCs w:val="20"/>
              </w:rPr>
              <w:t xml:space="preserve">за каждый запрос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sz w:val="20"/>
                <w:szCs w:val="20"/>
              </w:rPr>
            </w:pPr>
            <w:r>
              <w:rPr>
                <w:sz w:val="20"/>
                <w:szCs w:val="20"/>
              </w:rPr>
              <w:t xml:space="preserve">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rPr>
                <w:sz w:val="20"/>
                <w:szCs w:val="20"/>
              </w:rPr>
            </w:pPr>
            <w:r>
              <w:rPr>
                <w:bCs/>
                <w:sz w:val="20"/>
                <w:szCs w:val="20"/>
              </w:rPr>
              <w:t xml:space="preserve">Проверка правильности телексных ключей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sz w:val="20"/>
                <w:szCs w:val="20"/>
              </w:rPr>
            </w:pPr>
            <w:r>
              <w:rPr>
                <w:sz w:val="20"/>
                <w:szCs w:val="20"/>
              </w:rPr>
              <w:t xml:space="preserve">4 000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strike/>
                <w:color w:val="ffffff"/>
                <w:sz w:val="20"/>
                <w:szCs w:val="20"/>
              </w:rPr>
            </w:pPr>
            <w:r>
              <w:rPr>
                <w:bCs/>
                <w:sz w:val="20"/>
                <w:szCs w:val="20"/>
              </w:rPr>
              <w:t xml:space="preserve">Комиссия включает НДС</w:t>
            </w:r>
            <w:r>
              <w:rPr>
                <w:strike/>
                <w:color w:val="ffffff"/>
                <w:sz w:val="20"/>
                <w:szCs w:val="20"/>
              </w:rPr>
            </w:r>
            <w:r>
              <w:rPr>
                <w:strike/>
                <w:color w:val="ffffff"/>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sz w:val="20"/>
                <w:szCs w:val="20"/>
              </w:rPr>
            </w:pPr>
            <w:r>
              <w:rPr>
                <w:sz w:val="20"/>
                <w:szCs w:val="20"/>
              </w:rPr>
              <w:t xml:space="preserve">4.2.6.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numPr>
                <w:ilvl w:val="0"/>
                <w:numId w:val="20"/>
              </w:numPr>
              <w:tabs>
                <w:tab w:val="left" w:pos="177" w:leader="none"/>
              </w:tabs>
              <w:rPr>
                <w:bCs/>
                <w:sz w:val="20"/>
                <w:szCs w:val="20"/>
              </w:rPr>
            </w:pPr>
            <w:r>
              <w:rPr>
                <w:bCs/>
                <w:sz w:val="20"/>
                <w:szCs w:val="20"/>
              </w:rPr>
              <w:t xml:space="preserve">Перевод аккредитива в пользу другого бенефициара (трансферация второму бенефициару)</w:t>
            </w:r>
            <w:r>
              <w:rPr>
                <w:bCs/>
                <w:sz w:val="20"/>
                <w:szCs w:val="20"/>
              </w:rPr>
            </w:r>
            <w:r>
              <w:rPr>
                <w:bCs/>
                <w:sz w:val="20"/>
                <w:szCs w:val="20"/>
              </w:rPr>
            </w:r>
          </w:p>
          <w:p>
            <w:pPr>
              <w:pStyle w:val="965"/>
              <w:numPr>
                <w:ilvl w:val="0"/>
                <w:numId w:val="20"/>
              </w:numPr>
              <w:keepNext/>
              <w:tabs>
                <w:tab w:val="left" w:pos="177" w:leader="none"/>
              </w:tabs>
              <w:rPr>
                <w:sz w:val="20"/>
                <w:szCs w:val="20"/>
              </w:rPr>
              <w:outlineLvl w:val="6"/>
            </w:pPr>
            <w:r>
              <w:rPr>
                <w:sz w:val="20"/>
                <w:szCs w:val="20"/>
              </w:rPr>
              <w:t xml:space="preserve">Внесение изменений в условия трансферированного аккредитива, связанных с увеличением суммы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bCs/>
                <w:sz w:val="20"/>
                <w:szCs w:val="20"/>
              </w:rPr>
            </w:pPr>
            <w:r>
              <w:rPr>
                <w:bCs/>
                <w:sz w:val="20"/>
                <w:szCs w:val="20"/>
              </w:rPr>
              <w:t xml:space="preserve">0,15% от трансферированной суммы либо ее увеличения</w:t>
            </w:r>
            <w:r>
              <w:rPr>
                <w:bCs/>
                <w:sz w:val="20"/>
                <w:szCs w:val="20"/>
              </w:rPr>
            </w:r>
            <w:r>
              <w:rPr>
                <w:bCs/>
                <w:sz w:val="20"/>
                <w:szCs w:val="20"/>
              </w:rPr>
            </w:r>
          </w:p>
          <w:p>
            <w:pPr>
              <w:pStyle w:val="965"/>
              <w:jc w:val="center"/>
              <w:rPr>
                <w:bCs/>
                <w:sz w:val="20"/>
                <w:szCs w:val="20"/>
              </w:rPr>
            </w:pPr>
            <w:r>
              <w:rPr>
                <w:bCs/>
                <w:sz w:val="20"/>
                <w:szCs w:val="20"/>
              </w:rPr>
              <w:t xml:space="preserve">мин. 1</w:t>
            </w:r>
            <w:r>
              <w:rPr>
                <w:bCs/>
                <w:sz w:val="20"/>
                <w:szCs w:val="20"/>
                <w:lang w:val="en-US"/>
              </w:rPr>
              <w:t xml:space="preserve">0</w:t>
            </w:r>
            <w:r>
              <w:rPr>
                <w:bCs/>
                <w:sz w:val="20"/>
                <w:szCs w:val="20"/>
              </w:rPr>
              <w:t xml:space="preserve"> </w:t>
            </w:r>
            <w:r>
              <w:rPr>
                <w:bCs/>
                <w:sz w:val="20"/>
                <w:szCs w:val="20"/>
                <w:lang w:val="en-US"/>
              </w:rPr>
              <w:t xml:space="preserve">0</w:t>
            </w:r>
            <w:r>
              <w:rPr>
                <w:bCs/>
                <w:sz w:val="20"/>
                <w:szCs w:val="20"/>
              </w:rPr>
              <w:t xml:space="preserve">00 руб.,</w:t>
            </w:r>
            <w:r>
              <w:rPr>
                <w:bCs/>
                <w:sz w:val="20"/>
                <w:szCs w:val="20"/>
              </w:rPr>
            </w:r>
            <w:r>
              <w:rPr>
                <w:bCs/>
                <w:sz w:val="20"/>
                <w:szCs w:val="20"/>
              </w:rPr>
            </w:r>
          </w:p>
          <w:p>
            <w:pPr>
              <w:pStyle w:val="965"/>
              <w:jc w:val="center"/>
              <w:keepNext/>
              <w:rPr>
                <w:sz w:val="20"/>
                <w:szCs w:val="20"/>
              </w:rPr>
              <w:outlineLvl w:val="6"/>
            </w:pPr>
            <w:r>
              <w:rPr>
                <w:sz w:val="20"/>
                <w:szCs w:val="20"/>
              </w:rPr>
              <w:t xml:space="preserve">макс. 1</w:t>
            </w:r>
            <w:r>
              <w:rPr>
                <w:sz w:val="20"/>
                <w:szCs w:val="20"/>
                <w:lang w:val="en-US"/>
              </w:rPr>
              <w:t xml:space="preserve">00</w:t>
            </w:r>
            <w:r>
              <w:rPr>
                <w:sz w:val="20"/>
                <w:szCs w:val="20"/>
              </w:rPr>
              <w:t xml:space="preserve">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strike/>
                <w:color w:val="ffffff"/>
                <w:sz w:val="20"/>
                <w:szCs w:val="20"/>
              </w:rPr>
            </w:pPr>
            <w:r>
              <w:rPr>
                <w:strike/>
                <w:color w:val="ffffff"/>
                <w:sz w:val="20"/>
                <w:szCs w:val="20"/>
              </w:rPr>
            </w:r>
            <w:r>
              <w:rPr>
                <w:strike/>
                <w:color w:val="ffffff"/>
                <w:sz w:val="20"/>
                <w:szCs w:val="20"/>
              </w:rPr>
            </w:r>
            <w:r>
              <w:rPr>
                <w:strike/>
                <w:color w:val="ffffff"/>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sz w:val="20"/>
                <w:szCs w:val="20"/>
              </w:rPr>
            </w:pPr>
            <w:r>
              <w:rPr>
                <w:sz w:val="20"/>
                <w:szCs w:val="20"/>
              </w:rPr>
              <w:t xml:space="preserve">4.2.7.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numPr>
                <w:ilvl w:val="0"/>
                <w:numId w:val="20"/>
              </w:numPr>
              <w:tabs>
                <w:tab w:val="left" w:pos="177" w:leader="none"/>
              </w:tabs>
              <w:rPr>
                <w:bCs/>
                <w:sz w:val="20"/>
                <w:szCs w:val="20"/>
              </w:rPr>
            </w:pPr>
            <w:r>
              <w:rPr>
                <w:bCs/>
                <w:sz w:val="20"/>
                <w:szCs w:val="20"/>
              </w:rPr>
              <w:t xml:space="preserve">Внесение изменений в условия трансферированного аккредитива, не связанных с увеличением суммы</w:t>
            </w:r>
            <w:r>
              <w:rPr>
                <w:bCs/>
                <w:sz w:val="20"/>
                <w:szCs w:val="20"/>
              </w:rPr>
            </w:r>
            <w:r>
              <w:rPr>
                <w:bCs/>
                <w:sz w:val="20"/>
                <w:szCs w:val="20"/>
              </w:rPr>
            </w:r>
          </w:p>
          <w:p>
            <w:pPr>
              <w:pStyle w:val="965"/>
              <w:numPr>
                <w:ilvl w:val="0"/>
                <w:numId w:val="20"/>
              </w:numPr>
              <w:keepNext/>
              <w:tabs>
                <w:tab w:val="left" w:pos="177" w:leader="none"/>
              </w:tabs>
              <w:rPr>
                <w:sz w:val="20"/>
                <w:szCs w:val="20"/>
              </w:rPr>
              <w:outlineLvl w:val="6"/>
            </w:pPr>
            <w:r>
              <w:rPr>
                <w:sz w:val="20"/>
                <w:szCs w:val="20"/>
              </w:rPr>
              <w:t xml:space="preserve">Запрос согласия на аннуляцию трансферированного аккредитива</w:t>
            </w:r>
            <w:r>
              <w:rPr>
                <w:sz w:val="20"/>
                <w:szCs w:val="20"/>
              </w:rPr>
            </w:r>
            <w:r>
              <w:rPr>
                <w:sz w:val="20"/>
                <w:szCs w:val="20"/>
              </w:rPr>
            </w:r>
          </w:p>
          <w:p>
            <w:pPr>
              <w:pStyle w:val="965"/>
              <w:numPr>
                <w:ilvl w:val="0"/>
                <w:numId w:val="20"/>
              </w:numPr>
              <w:tabs>
                <w:tab w:val="left" w:pos="177" w:leader="none"/>
              </w:tabs>
              <w:rPr>
                <w:bCs/>
                <w:color w:val="000000"/>
                <w:sz w:val="20"/>
                <w:szCs w:val="20"/>
              </w:rPr>
            </w:pPr>
            <w:r>
              <w:rPr>
                <w:bCs/>
                <w:color w:val="000000"/>
                <w:sz w:val="20"/>
                <w:szCs w:val="20"/>
              </w:rPr>
              <w:t xml:space="preserve">Авизование иного сообщения второму бенефициару по трансферированному аккредитиву</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keepNext/>
              <w:rPr>
                <w:sz w:val="20"/>
                <w:szCs w:val="20"/>
              </w:rPr>
              <w:outlineLvl w:val="6"/>
            </w:pPr>
            <w:r>
              <w:rPr>
                <w:sz w:val="20"/>
                <w:szCs w:val="20"/>
              </w:rPr>
              <w:t xml:space="preserve">1</w:t>
            </w:r>
            <w:r>
              <w:rPr>
                <w:sz w:val="20"/>
                <w:szCs w:val="20"/>
                <w:lang w:val="en-US"/>
              </w:rPr>
              <w:t xml:space="preserve">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strike/>
                <w:color w:val="ffffff"/>
                <w:sz w:val="20"/>
                <w:szCs w:val="20"/>
              </w:rPr>
            </w:pPr>
            <w:r>
              <w:rPr>
                <w:strike/>
                <w:color w:val="ffffff"/>
                <w:sz w:val="20"/>
                <w:szCs w:val="20"/>
              </w:rPr>
            </w:r>
            <w:r>
              <w:rPr>
                <w:strike/>
                <w:color w:val="ffffff"/>
                <w:sz w:val="20"/>
                <w:szCs w:val="20"/>
              </w:rPr>
            </w:r>
            <w:r>
              <w:rPr>
                <w:strike/>
                <w:color w:val="ffffff"/>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spacing w:before="40" w:after="40"/>
              <w:rPr>
                <w:b/>
                <w:sz w:val="20"/>
                <w:szCs w:val="20"/>
              </w:rPr>
            </w:pPr>
            <w:r>
              <w:rPr>
                <w:b/>
                <w:sz w:val="20"/>
                <w:szCs w:val="20"/>
              </w:rPr>
              <w:t xml:space="preserve">4.3.</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965"/>
              <w:spacing w:before="40" w:after="40"/>
              <w:rPr>
                <w:bCs/>
                <w:sz w:val="20"/>
                <w:szCs w:val="20"/>
              </w:rPr>
            </w:pPr>
            <w:r>
              <w:rPr>
                <w:b/>
                <w:bCs/>
                <w:sz w:val="20"/>
                <w:szCs w:val="20"/>
              </w:rPr>
              <w:t xml:space="preserve">Аккредитивы для расчетов на территории Российской Федерации </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sz w:val="20"/>
                <w:szCs w:val="20"/>
              </w:rPr>
            </w:pPr>
            <w:r>
              <w:rPr>
                <w:bCs/>
                <w:sz w:val="20"/>
                <w:szCs w:val="20"/>
              </w:rPr>
              <w:t xml:space="preserve">4.3.1.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numPr>
                <w:ilvl w:val="0"/>
                <w:numId w:val="20"/>
              </w:numPr>
              <w:tabs>
                <w:tab w:val="left" w:pos="177" w:leader="none"/>
              </w:tabs>
              <w:rPr>
                <w:bCs/>
                <w:sz w:val="20"/>
                <w:szCs w:val="20"/>
              </w:rPr>
            </w:pPr>
            <w:r>
              <w:rPr>
                <w:bCs/>
                <w:sz w:val="20"/>
                <w:szCs w:val="20"/>
              </w:rPr>
              <w:t xml:space="preserve">Авизование аккредитива; </w:t>
            </w:r>
            <w:r>
              <w:rPr>
                <w:bCs/>
                <w:sz w:val="20"/>
                <w:szCs w:val="20"/>
              </w:rPr>
            </w:r>
            <w:r>
              <w:rPr>
                <w:bCs/>
                <w:sz w:val="20"/>
                <w:szCs w:val="20"/>
              </w:rPr>
            </w:r>
          </w:p>
          <w:p>
            <w:pPr>
              <w:pStyle w:val="965"/>
              <w:numPr>
                <w:ilvl w:val="0"/>
                <w:numId w:val="20"/>
              </w:numPr>
              <w:tabs>
                <w:tab w:val="left" w:pos="177" w:leader="none"/>
              </w:tabs>
              <w:rPr>
                <w:bCs/>
                <w:sz w:val="20"/>
                <w:szCs w:val="20"/>
              </w:rPr>
            </w:pPr>
            <w:r>
              <w:rPr>
                <w:bCs/>
                <w:sz w:val="20"/>
                <w:szCs w:val="20"/>
              </w:rPr>
              <w:t xml:space="preserve">Авизование изменения условий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bCs/>
                <w:sz w:val="20"/>
                <w:szCs w:val="20"/>
              </w:rPr>
            </w:pPr>
            <w:r>
              <w:rPr>
                <w:bCs/>
                <w:sz w:val="20"/>
                <w:szCs w:val="20"/>
              </w:rPr>
              <w:t xml:space="preserve">0,1% от суммы аккредитива или ее увеличения</w:t>
            </w:r>
            <w:r>
              <w:rPr>
                <w:bCs/>
                <w:sz w:val="20"/>
                <w:szCs w:val="20"/>
              </w:rPr>
            </w:r>
            <w:r>
              <w:rPr>
                <w:bCs/>
                <w:sz w:val="20"/>
                <w:szCs w:val="20"/>
              </w:rPr>
            </w:r>
          </w:p>
          <w:p>
            <w:pPr>
              <w:pStyle w:val="965"/>
              <w:jc w:val="center"/>
              <w:rPr>
                <w:bCs/>
                <w:sz w:val="20"/>
                <w:szCs w:val="20"/>
              </w:rPr>
            </w:pPr>
            <w:r>
              <w:rPr>
                <w:bCs/>
                <w:sz w:val="20"/>
                <w:szCs w:val="20"/>
              </w:rPr>
              <w:t xml:space="preserve">мин. 1 000 руб.,</w:t>
            </w:r>
            <w:r>
              <w:rPr>
                <w:bCs/>
                <w:sz w:val="20"/>
                <w:szCs w:val="20"/>
              </w:rPr>
            </w:r>
            <w:r>
              <w:rPr>
                <w:bCs/>
                <w:sz w:val="20"/>
                <w:szCs w:val="20"/>
              </w:rPr>
            </w:r>
          </w:p>
          <w:p>
            <w:pPr>
              <w:pStyle w:val="965"/>
              <w:jc w:val="center"/>
              <w:keepNext/>
              <w:rPr>
                <w:bCs/>
                <w:sz w:val="20"/>
                <w:szCs w:val="20"/>
              </w:rPr>
              <w:outlineLvl w:val="6"/>
            </w:pPr>
            <w:r>
              <w:rPr>
                <w:bCs/>
                <w:sz w:val="20"/>
                <w:szCs w:val="20"/>
              </w:rPr>
              <w:t xml:space="preserve">макс.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65"/>
              <w:jc w:val="center"/>
              <w:rPr>
                <w:sz w:val="20"/>
                <w:szCs w:val="20"/>
              </w:rPr>
            </w:pPr>
            <w:r>
              <w:rPr>
                <w:bCs/>
                <w:sz w:val="20"/>
                <w:szCs w:val="20"/>
              </w:rPr>
              <w:t xml:space="preserve">4.3.2.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numPr>
                <w:ilvl w:val="0"/>
                <w:numId w:val="20"/>
              </w:numPr>
              <w:tabs>
                <w:tab w:val="left" w:pos="177" w:leader="none"/>
              </w:tabs>
              <w:rPr>
                <w:bCs/>
                <w:sz w:val="20"/>
                <w:szCs w:val="20"/>
              </w:rPr>
            </w:pPr>
            <w:r>
              <w:rPr>
                <w:bCs/>
                <w:sz w:val="20"/>
                <w:szCs w:val="20"/>
              </w:rPr>
              <w:t xml:space="preserve">Подтверждение аккредитива;</w:t>
            </w:r>
            <w:r>
              <w:rPr>
                <w:bCs/>
                <w:sz w:val="20"/>
                <w:szCs w:val="20"/>
              </w:rPr>
            </w:r>
            <w:r>
              <w:rPr>
                <w:bCs/>
                <w:sz w:val="20"/>
                <w:szCs w:val="20"/>
              </w:rPr>
            </w:r>
          </w:p>
          <w:p>
            <w:pPr>
              <w:pStyle w:val="965"/>
              <w:numPr>
                <w:ilvl w:val="0"/>
                <w:numId w:val="20"/>
              </w:numPr>
              <w:tabs>
                <w:tab w:val="left" w:pos="177" w:leader="none"/>
              </w:tabs>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keepNext/>
              <w:rPr>
                <w:b/>
                <w:bCs/>
                <w:sz w:val="20"/>
                <w:szCs w:val="20"/>
              </w:rPr>
              <w:outlineLvl w:val="6"/>
            </w:pPr>
            <w:r>
              <w:rPr>
                <w:b/>
                <w:bCs/>
                <w:sz w:val="20"/>
                <w:szCs w:val="20"/>
              </w:rPr>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6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tabs>
                <w:tab w:val="left" w:pos="327" w:leader="none"/>
              </w:tabs>
              <w:rPr>
                <w:bCs/>
                <w:sz w:val="20"/>
                <w:szCs w:val="20"/>
              </w:rPr>
            </w:pPr>
            <w:r>
              <w:rPr>
                <w:bCs/>
                <w:sz w:val="20"/>
                <w:szCs w:val="20"/>
              </w:rPr>
              <w:t xml:space="preserve">- при предоставлении банком-эмитентом 100% денежного покрытия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rPr>
                <w:sz w:val="20"/>
                <w:szCs w:val="20"/>
              </w:rPr>
            </w:pPr>
            <w:r>
              <w:rPr>
                <w:sz w:val="20"/>
                <w:szCs w:val="20"/>
              </w:rPr>
              <w:t xml:space="preserve">0,80% годовых от суммы, предъявленной к оплате по аккредитиву, и/или неиспользованного остатка по аккредитиву</w:t>
            </w:r>
            <w:r>
              <w:rPr>
                <w:sz w:val="20"/>
                <w:szCs w:val="20"/>
              </w:rPr>
            </w:r>
            <w:r>
              <w:rPr>
                <w:sz w:val="20"/>
                <w:szCs w:val="20"/>
              </w:rPr>
            </w:r>
          </w:p>
          <w:p>
            <w:pPr>
              <w:pStyle w:val="965"/>
              <w:jc w:val="center"/>
              <w:rPr>
                <w:sz w:val="20"/>
                <w:szCs w:val="20"/>
              </w:rPr>
            </w:pPr>
            <w:r>
              <w:rPr>
                <w:sz w:val="20"/>
                <w:szCs w:val="20"/>
              </w:rPr>
              <w:t xml:space="preserve">мин. 5 000 руб.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bCs/>
                <w:sz w:val="20"/>
                <w:szCs w:val="20"/>
                <w:lang w:val="en-US"/>
              </w:rPr>
            </w:pPr>
            <w:r>
              <w:rPr>
                <w:bCs/>
                <w:sz w:val="20"/>
                <w:szCs w:val="20"/>
                <w:lang w:val="en-US"/>
              </w:rPr>
            </w:r>
            <w:r>
              <w:rPr>
                <w:bCs/>
                <w:sz w:val="20"/>
                <w:szCs w:val="20"/>
                <w:lang w:val="en-US"/>
              </w:rPr>
            </w:r>
            <w:r>
              <w:rPr>
                <w:bCs/>
                <w:sz w:val="20"/>
                <w:szCs w:val="20"/>
                <w:lang w:val="en-U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6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tabs>
                <w:tab w:val="left" w:pos="327" w:leader="none"/>
              </w:tabs>
              <w:rPr>
                <w:bCs/>
                <w:sz w:val="20"/>
                <w:szCs w:val="20"/>
              </w:rPr>
            </w:pPr>
            <w:r>
              <w:rPr>
                <w:sz w:val="20"/>
                <w:szCs w:val="20"/>
              </w:rPr>
              <w:t xml:space="preserve">- при отсутствии 100%</w:t>
            </w:r>
            <w:r>
              <w:rPr>
                <w:bCs/>
                <w:sz w:val="20"/>
                <w:szCs w:val="20"/>
              </w:rPr>
              <w:t xml:space="preserve"> денежного покрытия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keepNext/>
              <w:rPr>
                <w:bCs/>
                <w:sz w:val="20"/>
                <w:szCs w:val="20"/>
              </w:rPr>
              <w:outlineLvl w:val="6"/>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sz w:val="20"/>
                <w:szCs w:val="20"/>
              </w:rPr>
            </w:pPr>
            <w:r>
              <w:rPr>
                <w:bCs/>
                <w:sz w:val="20"/>
                <w:szCs w:val="20"/>
              </w:rPr>
              <w:t xml:space="preserve">4.3.3.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numPr>
                <w:ilvl w:val="0"/>
                <w:numId w:val="21"/>
              </w:numPr>
              <w:tabs>
                <w:tab w:val="num" w:pos="177" w:leader="none"/>
              </w:tabs>
              <w:rPr>
                <w:bCs/>
                <w:sz w:val="20"/>
                <w:szCs w:val="20"/>
              </w:rPr>
            </w:pPr>
            <w:r>
              <w:rPr>
                <w:bCs/>
                <w:sz w:val="20"/>
                <w:szCs w:val="20"/>
              </w:rPr>
              <w:t xml:space="preserve">Авизование изменений условий аккредитива, не связанных с увеличением суммы </w:t>
            </w:r>
            <w:r>
              <w:rPr>
                <w:bCs/>
                <w:sz w:val="20"/>
                <w:szCs w:val="20"/>
              </w:rPr>
            </w:r>
            <w:r>
              <w:rPr>
                <w:bCs/>
                <w:sz w:val="20"/>
                <w:szCs w:val="20"/>
              </w:rPr>
            </w:r>
          </w:p>
          <w:p>
            <w:pPr>
              <w:pStyle w:val="965"/>
              <w:numPr>
                <w:ilvl w:val="0"/>
                <w:numId w:val="21"/>
              </w:numPr>
              <w:tabs>
                <w:tab w:val="num" w:pos="177" w:leader="none"/>
              </w:tabs>
              <w:rPr>
                <w:bCs/>
                <w:sz w:val="20"/>
                <w:szCs w:val="20"/>
              </w:rPr>
            </w:pPr>
            <w:r>
              <w:rPr>
                <w:bCs/>
                <w:sz w:val="20"/>
                <w:szCs w:val="20"/>
              </w:rPr>
              <w:t xml:space="preserve">Авизование запроса на аннуляцию/отзыв аккредитива</w:t>
            </w:r>
            <w:r>
              <w:rPr>
                <w:bCs/>
                <w:sz w:val="20"/>
                <w:szCs w:val="20"/>
              </w:rPr>
            </w:r>
            <w:r>
              <w:rPr>
                <w:bCs/>
                <w:sz w:val="20"/>
                <w:szCs w:val="20"/>
              </w:rPr>
            </w:r>
          </w:p>
          <w:p>
            <w:pPr>
              <w:pStyle w:val="965"/>
              <w:numPr>
                <w:ilvl w:val="0"/>
                <w:numId w:val="21"/>
              </w:numPr>
              <w:tabs>
                <w:tab w:val="num" w:pos="177" w:leader="none"/>
              </w:tabs>
              <w:rPr>
                <w:bCs/>
                <w:color w:val="000000"/>
                <w:sz w:val="20"/>
                <w:szCs w:val="20"/>
              </w:rPr>
            </w:pPr>
            <w:r>
              <w:rPr>
                <w:bCs/>
                <w:color w:val="000000"/>
                <w:sz w:val="20"/>
                <w:szCs w:val="20"/>
              </w:rPr>
              <w:t xml:space="preserve">Авизование иных запросов по аккредитивам</w:t>
            </w:r>
            <w:r>
              <w:rPr>
                <w:bCs/>
                <w:color w:val="000000"/>
                <w:sz w:val="20"/>
                <w:szCs w:val="20"/>
              </w:rPr>
            </w:r>
            <w:r>
              <w:rPr>
                <w:bCs/>
                <w:color w:val="000000"/>
                <w:sz w:val="20"/>
                <w:szCs w:val="20"/>
              </w:rPr>
            </w:r>
          </w:p>
          <w:p>
            <w:pPr>
              <w:pStyle w:val="965"/>
              <w:numPr>
                <w:ilvl w:val="0"/>
                <w:numId w:val="21"/>
              </w:numPr>
              <w:tabs>
                <w:tab w:val="left" w:pos="184" w:leader="none"/>
              </w:tabs>
              <w:rPr>
                <w:bCs/>
                <w:color w:val="000000"/>
                <w:sz w:val="20"/>
                <w:szCs w:val="20"/>
              </w:rPr>
            </w:pPr>
            <w:r>
              <w:rPr>
                <w:bCs/>
                <w:color w:val="000000"/>
                <w:sz w:val="20"/>
                <w:szCs w:val="20"/>
              </w:rPr>
              <w:t xml:space="preserve">Запрос по аккредитиву по инициативе банка-контрагента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keepNext/>
              <w:rPr>
                <w:bCs/>
                <w:sz w:val="20"/>
                <w:szCs w:val="20"/>
              </w:rPr>
              <w:outlineLvl w:val="6"/>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bCs/>
                <w:sz w:val="20"/>
                <w:szCs w:val="20"/>
              </w:rPr>
            </w:pPr>
            <w:r>
              <w:rPr>
                <w:bCs/>
                <w:sz w:val="20"/>
                <w:szCs w:val="20"/>
              </w:rPr>
            </w:r>
            <w:r>
              <w:rPr>
                <w:bCs/>
                <w:sz w:val="20"/>
                <w:szCs w:val="20"/>
              </w:rPr>
            </w:r>
            <w:r>
              <w:rPr>
                <w:bCs/>
                <w:sz w:val="20"/>
                <w:szCs w:val="20"/>
              </w:rPr>
            </w:r>
          </w:p>
          <w:p>
            <w:pPr>
              <w:pStyle w:val="965"/>
              <w:jc w:val="center"/>
              <w:rPr>
                <w:bCs/>
                <w:sz w:val="20"/>
                <w:szCs w:val="20"/>
              </w:rPr>
            </w:pPr>
            <w:r>
              <w:rPr>
                <w:bCs/>
                <w:sz w:val="20"/>
                <w:szCs w:val="20"/>
              </w:rPr>
            </w:r>
            <w:r>
              <w:rPr>
                <w:bCs/>
                <w:sz w:val="20"/>
                <w:szCs w:val="20"/>
              </w:rPr>
            </w:r>
            <w:r>
              <w:rPr>
                <w:bCs/>
                <w:sz w:val="20"/>
                <w:szCs w:val="20"/>
              </w:rPr>
            </w:r>
          </w:p>
          <w:p>
            <w:pPr>
              <w:pStyle w:val="965"/>
              <w:jc w:val="center"/>
              <w:rPr>
                <w:bCs/>
                <w:sz w:val="20"/>
                <w:szCs w:val="20"/>
              </w:rPr>
            </w:pPr>
            <w:r>
              <w:rPr>
                <w:bCs/>
                <w:sz w:val="20"/>
                <w:szCs w:val="20"/>
              </w:rPr>
            </w:r>
            <w:r>
              <w:rPr>
                <w:bCs/>
                <w:sz w:val="20"/>
                <w:szCs w:val="20"/>
              </w:rPr>
            </w:r>
            <w:r>
              <w:rPr>
                <w:bCs/>
                <w:sz w:val="20"/>
                <w:szCs w:val="20"/>
              </w:rPr>
            </w:r>
          </w:p>
          <w:p>
            <w:pPr>
              <w:pStyle w:val="965"/>
              <w:jc w:val="center"/>
              <w:rPr>
                <w:bCs/>
                <w:sz w:val="20"/>
                <w:szCs w:val="20"/>
              </w:rPr>
            </w:pPr>
            <w:r>
              <w:rPr>
                <w:bCs/>
                <w:sz w:val="20"/>
                <w:szCs w:val="20"/>
              </w:rPr>
            </w:r>
            <w:r>
              <w:rPr>
                <w:bCs/>
                <w:sz w:val="20"/>
                <w:szCs w:val="20"/>
              </w:rPr>
            </w:r>
            <w:r>
              <w:rPr>
                <w:bCs/>
                <w:sz w:val="20"/>
                <w:szCs w:val="20"/>
              </w:rPr>
            </w:r>
          </w:p>
          <w:p>
            <w:pPr>
              <w:pStyle w:val="965"/>
              <w:jc w:val="center"/>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sz w:val="20"/>
                <w:szCs w:val="20"/>
              </w:rPr>
            </w:pPr>
            <w:r>
              <w:rPr>
                <w:bCs/>
                <w:sz w:val="20"/>
                <w:szCs w:val="20"/>
              </w:rPr>
              <w:t xml:space="preserve">4.3.4.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numPr>
                <w:ilvl w:val="0"/>
                <w:numId w:val="21"/>
              </w:numPr>
              <w:tabs>
                <w:tab w:val="left" w:pos="177" w:leader="none"/>
              </w:tabs>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965"/>
              <w:numPr>
                <w:ilvl w:val="0"/>
                <w:numId w:val="21"/>
              </w:numPr>
              <w:tabs>
                <w:tab w:val="left" w:pos="177" w:leader="none"/>
              </w:tabs>
              <w:rPr>
                <w:bCs/>
                <w:sz w:val="20"/>
                <w:szCs w:val="20"/>
              </w:rPr>
            </w:pPr>
            <w:r>
              <w:rPr>
                <w:bCs/>
                <w:sz w:val="20"/>
                <w:szCs w:val="20"/>
              </w:rPr>
              <w:t xml:space="preserve">Запрос согласия на аннуляцию аккредитива/отзыв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keepNext/>
              <w:rPr>
                <w:bCs/>
                <w:sz w:val="20"/>
                <w:szCs w:val="20"/>
              </w:rPr>
              <w:outlineLvl w:val="6"/>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65"/>
              <w:jc w:val="center"/>
              <w:rPr>
                <w:sz w:val="20"/>
                <w:szCs w:val="20"/>
              </w:rPr>
            </w:pPr>
            <w:r>
              <w:rPr>
                <w:bCs/>
                <w:sz w:val="20"/>
                <w:szCs w:val="20"/>
              </w:rPr>
              <w:t xml:space="preserve">4.3.5.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65"/>
              <w:rPr>
                <w:bCs/>
                <w:sz w:val="20"/>
                <w:szCs w:val="20"/>
              </w:rPr>
            </w:pPr>
            <w:r>
              <w:rPr>
                <w:bCs/>
                <w:sz w:val="20"/>
                <w:szCs w:val="20"/>
              </w:rPr>
              <w:t xml:space="preserve">Обработка/проверка документов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65"/>
              <w:jc w:val="center"/>
              <w:keepNext/>
              <w:rPr>
                <w:bCs/>
                <w:sz w:val="20"/>
                <w:szCs w:val="20"/>
              </w:rPr>
              <w:outlineLvl w:val="6"/>
            </w:pPr>
            <w:r>
              <w:rPr>
                <w:bCs/>
                <w:sz w:val="20"/>
                <w:szCs w:val="20"/>
              </w:rPr>
              <w:t xml:space="preserve">0,15% от суммы, запрошенной к оплате, </w:t>
            </w:r>
            <w:r>
              <w:rPr>
                <w:bCs/>
                <w:sz w:val="20"/>
                <w:szCs w:val="20"/>
              </w:rPr>
            </w:r>
            <w:r>
              <w:rPr>
                <w:bCs/>
                <w:sz w:val="20"/>
                <w:szCs w:val="20"/>
              </w:rPr>
            </w:r>
          </w:p>
          <w:p>
            <w:pPr>
              <w:pStyle w:val="965"/>
              <w:jc w:val="center"/>
              <w:keepNext/>
              <w:rPr>
                <w:bCs/>
                <w:sz w:val="20"/>
                <w:szCs w:val="20"/>
              </w:rPr>
              <w:outlineLvl w:val="6"/>
            </w:pPr>
            <w:r>
              <w:rPr>
                <w:bCs/>
                <w:sz w:val="20"/>
                <w:szCs w:val="20"/>
              </w:rPr>
              <w:t xml:space="preserve">мин. 5 000 руб.,</w:t>
            </w:r>
            <w:r>
              <w:rPr>
                <w:bCs/>
                <w:sz w:val="20"/>
                <w:szCs w:val="20"/>
              </w:rPr>
            </w:r>
            <w:r>
              <w:rPr>
                <w:bCs/>
                <w:sz w:val="20"/>
                <w:szCs w:val="20"/>
              </w:rPr>
            </w:r>
          </w:p>
          <w:p>
            <w:pPr>
              <w:pStyle w:val="965"/>
              <w:jc w:val="center"/>
              <w:keepNext/>
              <w:rPr>
                <w:bCs/>
                <w:sz w:val="20"/>
                <w:szCs w:val="20"/>
              </w:rPr>
              <w:outlineLvl w:val="6"/>
            </w:pPr>
            <w:r>
              <w:rPr>
                <w:bCs/>
                <w:sz w:val="20"/>
                <w:szCs w:val="20"/>
              </w:rPr>
              <w:t xml:space="preserve">макс.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rPr>
                <w:bCs/>
                <w:sz w:val="20"/>
                <w:szCs w:val="20"/>
              </w:rPr>
            </w:pPr>
            <w:r>
              <w:rPr>
                <w:bCs/>
                <w:sz w:val="20"/>
                <w:szCs w:val="20"/>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bl>
    <w:p>
      <w:pPr>
        <w:pStyle w:val="965"/>
        <w:tabs>
          <w:tab w:val="left" w:pos="5940" w:leader="none"/>
          <w:tab w:val="right" w:pos="8640" w:leader="none"/>
        </w:tabs>
        <w:rPr>
          <w:lang w:eastAsia="en-US"/>
        </w:rPr>
      </w:pPr>
      <w:r>
        <w:rPr>
          <w:lang w:eastAsia="en-US"/>
        </w:rPr>
      </w: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4394"/>
        <w:gridCol w:w="2835"/>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9923" w:type="dxa"/>
            <w:vAlign w:val="top"/>
            <w:textDirection w:val="lrTb"/>
            <w:noWrap w:val="false"/>
          </w:tcPr>
          <w:p>
            <w:pPr>
              <w:pStyle w:val="965"/>
              <w:jc w:val="center"/>
              <w:spacing w:before="120" w:after="120"/>
              <w:rPr>
                <w:b/>
                <w:bCs/>
              </w:rPr>
            </w:pPr>
            <w:r>
              <w:rPr>
                <w:sz w:val="20"/>
                <w:szCs w:val="20"/>
              </w:rPr>
              <w:br w:type="page" w:clear="all"/>
            </w:r>
            <w:r>
              <w:rPr>
                <w:b/>
                <w:bCs/>
              </w:rPr>
              <w:t xml:space="preserve">5. Инкассовые операции</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965"/>
              <w:ind w:right="-18"/>
              <w:jc w:val="center"/>
              <w:tabs>
                <w:tab w:val="left" w:pos="4464" w:leader="none"/>
                <w:tab w:val="left" w:pos="5760" w:leader="none"/>
              </w:tabs>
              <w:rPr>
                <w:iCs/>
                <w:sz w:val="20"/>
                <w:szCs w:val="20"/>
              </w:rPr>
            </w:pPr>
            <w:r>
              <w:rPr>
                <w:iCs/>
                <w:sz w:val="20"/>
                <w:szCs w:val="20"/>
              </w:rPr>
              <w:t xml:space="preserve">№ </w:t>
              <w:br w:type="textWrapping" w:clear="all"/>
              <w:t xml:space="preserve">п/п</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4394" w:type="dxa"/>
            <w:vAlign w:val="center"/>
            <w:textDirection w:val="lrTb"/>
            <w:noWrap w:val="false"/>
          </w:tcPr>
          <w:p>
            <w:pPr>
              <w:pStyle w:val="965"/>
              <w:ind w:right="-18"/>
              <w:jc w:val="center"/>
              <w:keepNext/>
              <w:tabs>
                <w:tab w:val="left" w:pos="4464" w:leader="none"/>
                <w:tab w:val="left" w:pos="5760" w:leader="none"/>
              </w:tabs>
              <w:rPr>
                <w:iCs/>
                <w:sz w:val="20"/>
                <w:szCs w:val="20"/>
              </w:rPr>
              <w:outlineLvl w:val="7"/>
            </w:pPr>
            <w:r>
              <w:rPr>
                <w:iCs/>
                <w:sz w:val="20"/>
                <w:szCs w:val="20"/>
              </w:rPr>
              <w:t xml:space="preserve">Наименование услуги</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pStyle w:val="965"/>
              <w:ind w:left="72" w:right="72"/>
              <w:jc w:val="center"/>
              <w:keepNext/>
              <w:tabs>
                <w:tab w:val="left" w:pos="4464" w:leader="none"/>
                <w:tab w:val="left" w:pos="5760" w:leader="none"/>
              </w:tabs>
              <w:rPr>
                <w:iCs/>
                <w:sz w:val="20"/>
                <w:szCs w:val="20"/>
              </w:rPr>
              <w:outlineLvl w:val="2"/>
            </w:pPr>
            <w:r>
              <w:rPr>
                <w:iCs/>
                <w:sz w:val="20"/>
                <w:szCs w:val="20"/>
              </w:rPr>
              <w:t xml:space="preserve">Тариф</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965"/>
              <w:ind w:left="72" w:right="-18"/>
              <w:jc w:val="center"/>
              <w:tabs>
                <w:tab w:val="left" w:pos="4464" w:leader="none"/>
                <w:tab w:val="left" w:pos="5760" w:leader="none"/>
              </w:tabs>
              <w:rPr>
                <w:iCs/>
                <w:sz w:val="20"/>
                <w:szCs w:val="20"/>
              </w:rPr>
            </w:pPr>
            <w:r>
              <w:rPr>
                <w:iCs/>
                <w:sz w:val="20"/>
                <w:szCs w:val="20"/>
              </w:rPr>
              <w:t xml:space="preserve">Примечание</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65"/>
              <w:jc w:val="center"/>
              <w:spacing w:before="40" w:after="40"/>
              <w:rPr>
                <w:sz w:val="20"/>
                <w:szCs w:val="20"/>
              </w:rPr>
            </w:pPr>
            <w:r>
              <w:rPr>
                <w:b/>
                <w:bCs/>
                <w:sz w:val="20"/>
                <w:szCs w:val="20"/>
              </w:rPr>
              <w:t xml:space="preserve">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65"/>
              <w:spacing w:before="40" w:after="40"/>
              <w:rPr>
                <w:b/>
                <w:bCs/>
                <w:sz w:val="20"/>
                <w:szCs w:val="20"/>
              </w:rPr>
            </w:pPr>
            <w:r>
              <w:rPr>
                <w:b/>
                <w:bCs/>
                <w:sz w:val="20"/>
                <w:szCs w:val="20"/>
              </w:rPr>
              <w:t xml:space="preserve">Документарное инкассо</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65"/>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65"/>
              <w:jc w:val="center"/>
              <w:spacing w:before="40" w:after="40"/>
              <w:rPr>
                <w:sz w:val="20"/>
                <w:szCs w:val="20"/>
              </w:rPr>
            </w:pPr>
            <w:r>
              <w:rPr>
                <w:sz w:val="20"/>
                <w:szCs w:val="20"/>
              </w:rPr>
              <w:t xml:space="preserve">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65"/>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spacing w:before="40" w:after="40"/>
              <w:rPr>
                <w:sz w:val="20"/>
                <w:szCs w:val="20"/>
              </w:rPr>
            </w:pPr>
            <w:r>
              <w:rPr>
                <w:sz w:val="20"/>
                <w:szCs w:val="20"/>
              </w:rPr>
              <w:t xml:space="preserve">0,15% от суммы документов,</w:t>
            </w:r>
            <w:r>
              <w:rPr>
                <w:sz w:val="20"/>
                <w:szCs w:val="20"/>
              </w:rPr>
            </w:r>
            <w:r>
              <w:rPr>
                <w:sz w:val="20"/>
                <w:szCs w:val="20"/>
              </w:rPr>
            </w:r>
          </w:p>
          <w:p>
            <w:pPr>
              <w:pStyle w:val="965"/>
              <w:jc w:val="center"/>
              <w:spacing w:before="40" w:after="40"/>
              <w:rPr>
                <w:sz w:val="20"/>
                <w:szCs w:val="20"/>
              </w:rPr>
            </w:pPr>
            <w:r>
              <w:rPr>
                <w:sz w:val="20"/>
                <w:szCs w:val="20"/>
              </w:rPr>
              <w:t xml:space="preserve">мин.3 500 руб.,</w:t>
            </w:r>
            <w:r>
              <w:rPr>
                <w:sz w:val="20"/>
                <w:szCs w:val="20"/>
              </w:rPr>
            </w:r>
            <w:r>
              <w:rPr>
                <w:sz w:val="20"/>
                <w:szCs w:val="20"/>
              </w:rPr>
            </w:r>
          </w:p>
          <w:p>
            <w:pPr>
              <w:pStyle w:val="965"/>
              <w:jc w:val="center"/>
              <w:spacing w:before="40" w:after="40"/>
              <w:rPr>
                <w:sz w:val="20"/>
                <w:szCs w:val="20"/>
              </w:rPr>
            </w:pPr>
            <w:r>
              <w:rPr>
                <w:sz w:val="20"/>
                <w:szCs w:val="20"/>
              </w:rPr>
              <w:t xml:space="preserve">макс. </w:t>
            </w:r>
            <w:r>
              <w:rPr>
                <w:sz w:val="20"/>
                <w:szCs w:val="20"/>
                <w:lang w:val="en-US"/>
              </w:rPr>
              <w:t xml:space="preserve">35</w:t>
            </w:r>
            <w:r>
              <w:rPr>
                <w:sz w:val="20"/>
                <w:szCs w:val="20"/>
              </w:rPr>
              <w:t xml:space="preserve">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65"/>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65"/>
              <w:jc w:val="center"/>
              <w:spacing w:before="40" w:after="40"/>
              <w:rPr>
                <w:sz w:val="20"/>
                <w:szCs w:val="20"/>
              </w:rPr>
            </w:pPr>
            <w:r>
              <w:rPr>
                <w:sz w:val="20"/>
                <w:szCs w:val="20"/>
              </w:rPr>
              <w:t xml:space="preserve">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65"/>
              <w:spacing w:before="40" w:after="40"/>
              <w:rPr>
                <w:sz w:val="20"/>
                <w:szCs w:val="20"/>
              </w:rPr>
            </w:pPr>
            <w:r>
              <w:rPr>
                <w:sz w:val="20"/>
                <w:szCs w:val="20"/>
              </w:rPr>
              <w:t xml:space="preserve">Внесение изменений в условия инкассового поручения или его аннуляция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spacing w:before="40" w:after="40"/>
              <w:rPr>
                <w:sz w:val="20"/>
                <w:szCs w:val="20"/>
              </w:rPr>
            </w:pPr>
            <w:r>
              <w:rPr>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65"/>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65"/>
              <w:jc w:val="center"/>
              <w:spacing w:before="40" w:after="40"/>
              <w:rPr>
                <w:sz w:val="20"/>
                <w:szCs w:val="20"/>
              </w:rPr>
            </w:pPr>
            <w:r>
              <w:rPr>
                <w:sz w:val="20"/>
                <w:szCs w:val="20"/>
              </w:rPr>
              <w:t xml:space="preserve">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65"/>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spacing w:before="40" w:after="40"/>
              <w:rPr>
                <w:sz w:val="20"/>
                <w:szCs w:val="20"/>
              </w:rPr>
            </w:pPr>
            <w:r>
              <w:rPr>
                <w:sz w:val="20"/>
                <w:szCs w:val="20"/>
              </w:rPr>
              <w:t xml:space="preserve">0,15% от суммы,</w:t>
            </w:r>
            <w:r>
              <w:rPr>
                <w:sz w:val="20"/>
                <w:szCs w:val="20"/>
              </w:rPr>
            </w:r>
            <w:r>
              <w:rPr>
                <w:sz w:val="20"/>
                <w:szCs w:val="20"/>
              </w:rPr>
            </w:r>
          </w:p>
          <w:p>
            <w:pPr>
              <w:pStyle w:val="965"/>
              <w:jc w:val="center"/>
              <w:spacing w:before="40" w:after="40"/>
              <w:rPr>
                <w:sz w:val="20"/>
                <w:szCs w:val="20"/>
              </w:rPr>
            </w:pPr>
            <w:r>
              <w:rPr>
                <w:sz w:val="20"/>
                <w:szCs w:val="20"/>
              </w:rPr>
              <w:t xml:space="preserve">мин.  3 500 руб.,</w:t>
            </w:r>
            <w:r>
              <w:rPr>
                <w:sz w:val="20"/>
                <w:szCs w:val="20"/>
              </w:rPr>
            </w:r>
            <w:r>
              <w:rPr>
                <w:sz w:val="20"/>
                <w:szCs w:val="20"/>
              </w:rPr>
            </w:r>
          </w:p>
          <w:p>
            <w:pPr>
              <w:pStyle w:val="965"/>
              <w:jc w:val="center"/>
              <w:spacing w:before="40" w:after="40"/>
              <w:rPr>
                <w:sz w:val="20"/>
                <w:szCs w:val="20"/>
              </w:rPr>
            </w:pPr>
            <w:r>
              <w:rPr>
                <w:sz w:val="20"/>
                <w:szCs w:val="20"/>
              </w:rPr>
              <w:t xml:space="preserve">макс. 3</w:t>
            </w:r>
            <w:r>
              <w:rPr>
                <w:sz w:val="20"/>
                <w:szCs w:val="20"/>
                <w:lang w:val="en-US"/>
              </w:rPr>
              <w:t xml:space="preserve">5</w:t>
            </w:r>
            <w:r>
              <w:rPr>
                <w:sz w:val="20"/>
                <w:szCs w:val="20"/>
              </w:rPr>
              <w:t xml:space="preserve">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65"/>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65"/>
              <w:jc w:val="center"/>
              <w:spacing w:before="40" w:after="40"/>
              <w:rPr>
                <w:sz w:val="20"/>
                <w:szCs w:val="20"/>
              </w:rPr>
            </w:pPr>
            <w:r>
              <w:rPr>
                <w:sz w:val="20"/>
                <w:szCs w:val="20"/>
              </w:rPr>
              <w:t xml:space="preserve">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65"/>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spacing w:before="40" w:after="40"/>
              <w:rPr>
                <w:sz w:val="20"/>
                <w:szCs w:val="20"/>
              </w:rPr>
            </w:pPr>
            <w:r>
              <w:rPr>
                <w:sz w:val="20"/>
                <w:szCs w:val="20"/>
              </w:rPr>
              <w:t xml:space="preserve">3 500 руб.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65"/>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65"/>
              <w:jc w:val="center"/>
              <w:spacing w:before="40" w:after="40"/>
              <w:rPr>
                <w:sz w:val="20"/>
                <w:szCs w:val="20"/>
              </w:rPr>
            </w:pPr>
            <w:r>
              <w:rPr>
                <w:sz w:val="20"/>
                <w:szCs w:val="20"/>
              </w:rPr>
              <w:t xml:space="preserve">5.1.5.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65"/>
              <w:spacing w:before="40" w:after="40"/>
              <w:rPr>
                <w:sz w:val="20"/>
                <w:szCs w:val="20"/>
              </w:rPr>
            </w:pPr>
            <w:r>
              <w:rPr>
                <w:sz w:val="20"/>
                <w:szCs w:val="20"/>
              </w:rPr>
              <w:t xml:space="preserve">Запрос по инкассо по инициативе </w:t>
            </w:r>
            <w:r>
              <w:rPr>
                <w:bCs/>
                <w:sz w:val="20"/>
                <w:szCs w:val="20"/>
              </w:rPr>
              <w:t xml:space="preserve">банка-контрагента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65"/>
              <w:jc w:val="center"/>
              <w:spacing w:before="40" w:after="40"/>
              <w:rPr>
                <w:sz w:val="20"/>
                <w:szCs w:val="20"/>
              </w:rPr>
            </w:pPr>
            <w:r>
              <w:rPr>
                <w:sz w:val="20"/>
                <w:szCs w:val="20"/>
              </w:rPr>
              <w:t xml:space="preserve">2 500 руб.</w:t>
            </w:r>
            <w:r>
              <w:rPr>
                <w:bCs/>
                <w:sz w:val="20"/>
                <w:szCs w:val="20"/>
              </w:rPr>
              <w:t xml:space="preserve">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65"/>
              <w:jc w:val="center"/>
              <w:spacing w:before="40" w:after="40"/>
              <w:rPr>
                <w:strike/>
                <w:color w:val="ffffff"/>
                <w:sz w:val="20"/>
                <w:szCs w:val="20"/>
              </w:rPr>
            </w:pPr>
            <w:r>
              <w:rPr>
                <w:strike/>
                <w:color w:val="ffffff"/>
                <w:sz w:val="20"/>
                <w:szCs w:val="20"/>
              </w:rPr>
            </w:r>
            <w:r>
              <w:rPr>
                <w:strike/>
                <w:color w:val="ffffff"/>
                <w:sz w:val="20"/>
                <w:szCs w:val="20"/>
              </w:rPr>
            </w:r>
            <w:r>
              <w:rPr>
                <w:strike/>
                <w:color w:val="ffffff"/>
                <w:sz w:val="20"/>
                <w:szCs w:val="20"/>
              </w:rPr>
            </w:r>
          </w:p>
        </w:tc>
      </w:tr>
    </w:tbl>
    <w:p>
      <w:pPr>
        <w:pStyle w:val="965"/>
      </w:pPr>
      <w:r/>
      <w:r/>
    </w:p>
    <w:tbl>
      <w:tblPr>
        <w:tblW w:w="9889" w:type="dxa"/>
        <w:tblInd w:w="0" w:type="dxa"/>
        <w:tblLayout w:type="fixed"/>
        <w:tblCellMar>
          <w:left w:w="108" w:type="dxa"/>
          <w:top w:w="0" w:type="dxa"/>
          <w:right w:w="108" w:type="dxa"/>
          <w:bottom w:w="0" w:type="dxa"/>
        </w:tblCellMar>
        <w:tblLook w:val="04A0" w:firstRow="1" w:lastRow="0" w:firstColumn="1" w:lastColumn="0" w:noHBand="0" w:noVBand="1"/>
      </w:tblPr>
      <w:tblGrid>
        <w:gridCol w:w="959"/>
        <w:gridCol w:w="5386"/>
        <w:gridCol w:w="2127"/>
        <w:gridCol w:w="1417"/>
      </w:tblGrid>
      <w:tr>
        <w:tblPrEx/>
        <w:trPr/>
        <w:tc>
          <w:tcPr>
            <w:gridSpan w:val="4"/>
            <w:tcBorders>
              <w:top w:val="single" w:color="000000" w:sz="4" w:space="0"/>
              <w:left w:val="single" w:color="000000" w:sz="4" w:space="0"/>
              <w:bottom w:val="single" w:color="000000" w:sz="4" w:space="0"/>
              <w:right w:val="single" w:color="000000" w:sz="4" w:space="0"/>
            </w:tcBorders>
            <w:tcW w:w="9889" w:type="dxa"/>
            <w:vAlign w:val="top"/>
            <w:textDirection w:val="lrTb"/>
            <w:noWrap w:val="false"/>
          </w:tcPr>
          <w:p>
            <w:pPr>
              <w:pStyle w:val="965"/>
              <w:jc w:val="center"/>
              <w:spacing w:before="120" w:after="120"/>
              <w:rPr>
                <w:sz w:val="20"/>
                <w:szCs w:val="20"/>
              </w:rPr>
            </w:pPr>
            <w:r>
              <w:rPr>
                <w:b/>
                <w:bCs/>
              </w:rPr>
              <w:t xml:space="preserve">6. Гарантийные операции</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965"/>
              <w:ind w:right="-18"/>
              <w:jc w:val="center"/>
              <w:tabs>
                <w:tab w:val="left" w:pos="4464" w:leader="none"/>
                <w:tab w:val="left" w:pos="5760" w:leader="none"/>
              </w:tabs>
              <w:rPr>
                <w:iCs/>
                <w:sz w:val="20"/>
                <w:szCs w:val="20"/>
              </w:rPr>
            </w:pPr>
            <w:r>
              <w:rPr>
                <w:iCs/>
                <w:sz w:val="20"/>
                <w:szCs w:val="20"/>
              </w:rPr>
              <w:t xml:space="preserve">№ </w:t>
              <w:br w:type="textWrapping" w:clear="all"/>
              <w:t xml:space="preserve">п/п</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5386" w:type="dxa"/>
            <w:vAlign w:val="center"/>
            <w:textDirection w:val="lrTb"/>
            <w:noWrap w:val="false"/>
          </w:tcPr>
          <w:p>
            <w:pPr>
              <w:pStyle w:val="965"/>
              <w:ind w:right="-18"/>
              <w:jc w:val="center"/>
              <w:keepNext/>
              <w:tabs>
                <w:tab w:val="left" w:pos="4464" w:leader="none"/>
                <w:tab w:val="left" w:pos="5760" w:leader="none"/>
              </w:tabs>
              <w:rPr>
                <w:iCs/>
                <w:sz w:val="20"/>
                <w:szCs w:val="20"/>
              </w:rPr>
              <w:outlineLvl w:val="7"/>
            </w:pPr>
            <w:r>
              <w:rPr>
                <w:iCs/>
                <w:sz w:val="20"/>
                <w:szCs w:val="20"/>
              </w:rPr>
              <w:t xml:space="preserve">Наименование услуги</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965"/>
              <w:ind w:left="72" w:right="72"/>
              <w:jc w:val="center"/>
              <w:keepNext/>
              <w:tabs>
                <w:tab w:val="left" w:pos="4464" w:leader="none"/>
                <w:tab w:val="left" w:pos="5760" w:leader="none"/>
              </w:tabs>
              <w:rPr>
                <w:iCs/>
                <w:sz w:val="20"/>
                <w:szCs w:val="20"/>
              </w:rPr>
              <w:outlineLvl w:val="2"/>
            </w:pPr>
            <w:r>
              <w:rPr>
                <w:iCs/>
                <w:sz w:val="20"/>
                <w:szCs w:val="20"/>
              </w:rPr>
              <w:t xml:space="preserve">Тариф</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965"/>
              <w:ind w:left="72" w:right="-18"/>
              <w:jc w:val="center"/>
              <w:tabs>
                <w:tab w:val="left" w:pos="4464" w:leader="none"/>
                <w:tab w:val="left" w:pos="5760" w:leader="none"/>
              </w:tabs>
              <w:rPr>
                <w:iCs/>
                <w:sz w:val="20"/>
                <w:szCs w:val="20"/>
              </w:rPr>
            </w:pPr>
            <w:r>
              <w:rPr>
                <w:iCs/>
                <w:sz w:val="20"/>
                <w:szCs w:val="20"/>
              </w:rPr>
              <w:t xml:space="preserve">Примечание</w:t>
            </w: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65"/>
              <w:jc w:val="center"/>
              <w:spacing w:before="40" w:after="40"/>
              <w:rPr>
                <w:sz w:val="20"/>
                <w:szCs w:val="20"/>
              </w:rPr>
            </w:pPr>
            <w:r>
              <w:rPr>
                <w:sz w:val="20"/>
                <w:szCs w:val="20"/>
              </w:rPr>
              <w:t xml:space="preserve">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65"/>
              <w:spacing w:before="40"/>
              <w:rPr>
                <w:sz w:val="20"/>
                <w:szCs w:val="20"/>
              </w:rPr>
            </w:pPr>
            <w:r>
              <w:rPr>
                <w:sz w:val="20"/>
                <w:szCs w:val="20"/>
              </w:rPr>
              <w:t xml:space="preserve">Выдача гарантии/контргарантии/открытие резервного аккредитива (увеличение суммы, пролонгация):</w:t>
            </w:r>
            <w:r>
              <w:rPr>
                <w:sz w:val="20"/>
                <w:szCs w:val="20"/>
              </w:rPr>
            </w:r>
            <w:r>
              <w:rPr>
                <w:sz w:val="20"/>
                <w:szCs w:val="20"/>
              </w:rPr>
            </w:r>
          </w:p>
          <w:p>
            <w:pPr>
              <w:pStyle w:val="965"/>
              <w:rPr>
                <w:sz w:val="20"/>
                <w:szCs w:val="20"/>
              </w:rPr>
            </w:pPr>
            <w:r>
              <w:rPr>
                <w:sz w:val="20"/>
                <w:szCs w:val="20"/>
              </w:rPr>
              <w:t xml:space="preserve">- на условиях размещения в Банке денежного обеспечения (покрытия)</w:t>
            </w:r>
            <w:r>
              <w:rPr>
                <w:sz w:val="20"/>
                <w:szCs w:val="20"/>
              </w:rPr>
            </w:r>
            <w:r>
              <w:rPr>
                <w:sz w:val="20"/>
                <w:szCs w:val="20"/>
              </w:rPr>
            </w:r>
          </w:p>
          <w:p>
            <w:pPr>
              <w:pStyle w:val="965"/>
              <w:spacing w:after="40"/>
              <w:rPr>
                <w:sz w:val="20"/>
                <w:szCs w:val="20"/>
              </w:rPr>
            </w:pPr>
            <w:r>
              <w:rPr>
                <w:sz w:val="20"/>
                <w:szCs w:val="20"/>
              </w:rPr>
              <w:t xml:space="preserve">- без размещения в Банке денежного обеспечения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965"/>
              <w:jc w:val="center"/>
              <w:spacing w:before="40" w:after="40"/>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65"/>
              <w:ind w:right="-108"/>
              <w:spacing w:before="40" w:after="40"/>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65"/>
              <w:jc w:val="center"/>
              <w:spacing w:before="40" w:after="40"/>
              <w:rPr>
                <w:sz w:val="20"/>
                <w:szCs w:val="20"/>
              </w:rPr>
            </w:pPr>
            <w:r>
              <w:rPr>
                <w:sz w:val="20"/>
                <w:szCs w:val="20"/>
              </w:rPr>
              <w:t xml:space="preserve">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65"/>
              <w:ind w:right="72"/>
              <w:keepNext/>
              <w:spacing w:before="40" w:after="40"/>
              <w:rPr>
                <w:bCs/>
                <w:sz w:val="20"/>
                <w:szCs w:val="20"/>
              </w:rPr>
              <w:outlineLvl w:val="6"/>
            </w:pPr>
            <w:r>
              <w:rPr>
                <w:bCs/>
                <w:sz w:val="20"/>
                <w:szCs w:val="20"/>
              </w:rPr>
              <w:t xml:space="preserve">Внесение изменений в условия выданной гарантии/контргарантии/резервного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65"/>
              <w:jc w:val="center"/>
              <w:spacing w:before="40" w:after="40"/>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65"/>
              <w:spacing w:before="40" w:after="40"/>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65"/>
              <w:jc w:val="center"/>
              <w:spacing w:before="40" w:after="40"/>
              <w:rPr>
                <w:sz w:val="20"/>
                <w:szCs w:val="20"/>
              </w:rPr>
            </w:pPr>
            <w:r>
              <w:rPr>
                <w:sz w:val="20"/>
                <w:szCs w:val="20"/>
              </w:rPr>
              <w:t xml:space="preserve">6.3.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65"/>
              <w:ind w:right="72"/>
              <w:keepNext/>
              <w:spacing w:before="40" w:after="40"/>
              <w:rPr>
                <w:bCs/>
                <w:sz w:val="20"/>
                <w:szCs w:val="20"/>
              </w:rPr>
              <w:outlineLvl w:val="6"/>
            </w:pPr>
            <w:r>
              <w:rPr>
                <w:bCs/>
                <w:sz w:val="20"/>
                <w:szCs w:val="20"/>
              </w:rPr>
              <w:t xml:space="preserve">Аннуляция выданной гарантии/контргарантии/ резервного аккредитива до срока истечения действия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65"/>
              <w:jc w:val="center"/>
              <w:spacing w:before="40" w:after="40"/>
              <w:rPr>
                <w:sz w:val="20"/>
                <w:szCs w:val="20"/>
              </w:rPr>
            </w:pPr>
            <w:r>
              <w:rPr>
                <w:sz w:val="20"/>
                <w:szCs w:val="20"/>
              </w:rPr>
              <w:t xml:space="preserve">7 500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65"/>
              <w:spacing w:before="40" w:after="40"/>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65"/>
              <w:jc w:val="center"/>
              <w:spacing w:before="40" w:after="40"/>
              <w:rPr>
                <w:sz w:val="20"/>
                <w:szCs w:val="20"/>
              </w:rPr>
            </w:pPr>
            <w:r>
              <w:rPr>
                <w:sz w:val="20"/>
                <w:szCs w:val="20"/>
              </w:rPr>
              <w:t xml:space="preserve">6.4.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65"/>
              <w:ind w:right="72"/>
              <w:keepNext/>
              <w:spacing w:before="40" w:after="40"/>
              <w:rPr>
                <w:bCs/>
                <w:sz w:val="20"/>
                <w:szCs w:val="20"/>
              </w:rPr>
              <w:outlineLvl w:val="6"/>
            </w:pPr>
            <w:r>
              <w:rPr>
                <w:bCs/>
                <w:sz w:val="20"/>
                <w:szCs w:val="20"/>
              </w:rPr>
              <w:t xml:space="preserve">Проверка представленных требования и документов, в том числе, платеж по гарантии/контргарантии/резервному аккредитиву, выданным Банком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65"/>
              <w:jc w:val="center"/>
              <w:spacing w:before="40" w:after="40"/>
              <w:rPr>
                <w:sz w:val="20"/>
                <w:szCs w:val="20"/>
              </w:rPr>
            </w:pPr>
            <w:r>
              <w:rPr>
                <w:sz w:val="20"/>
                <w:szCs w:val="20"/>
              </w:rPr>
              <w:t xml:space="preserve">0,1% от суммы,</w:t>
            </w:r>
            <w:r>
              <w:rPr>
                <w:sz w:val="20"/>
                <w:szCs w:val="20"/>
              </w:rPr>
            </w:r>
            <w:r>
              <w:rPr>
                <w:sz w:val="20"/>
                <w:szCs w:val="20"/>
              </w:rPr>
            </w:r>
          </w:p>
          <w:p>
            <w:pPr>
              <w:pStyle w:val="965"/>
              <w:jc w:val="center"/>
              <w:spacing w:before="40" w:after="40"/>
              <w:rPr>
                <w:sz w:val="20"/>
                <w:szCs w:val="20"/>
              </w:rPr>
            </w:pPr>
            <w:r>
              <w:rPr>
                <w:sz w:val="20"/>
                <w:szCs w:val="20"/>
              </w:rPr>
              <w:t xml:space="preserve">мин. 10 000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65"/>
              <w:spacing w:before="40" w:after="40"/>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65"/>
              <w:ind w:left="72" w:right="72"/>
              <w:jc w:val="center"/>
              <w:spacing w:before="40" w:after="40"/>
              <w:rPr>
                <w:bCs/>
                <w:sz w:val="20"/>
                <w:szCs w:val="20"/>
              </w:rPr>
            </w:pPr>
            <w:r>
              <w:rPr>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65"/>
              <w:ind w:right="72"/>
              <w:spacing w:before="40" w:after="40"/>
              <w:rPr>
                <w:bCs/>
                <w:sz w:val="20"/>
                <w:szCs w:val="20"/>
              </w:rPr>
            </w:pPr>
            <w:r>
              <w:rPr>
                <w:bCs/>
                <w:sz w:val="20"/>
                <w:szCs w:val="20"/>
              </w:rPr>
              <w:t xml:space="preserve">Авизование гарантии/контргарантии/резервного аккредитива без обязательств со стороны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65"/>
              <w:jc w:val="center"/>
              <w:spacing w:before="40" w:after="40"/>
              <w:rPr>
                <w:sz w:val="20"/>
                <w:szCs w:val="20"/>
              </w:rPr>
            </w:pPr>
            <w:r>
              <w:rPr>
                <w:sz w:val="20"/>
                <w:szCs w:val="20"/>
              </w:rPr>
              <w:t xml:space="preserve">20 000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65"/>
              <w:jc w:val="center"/>
              <w:spacing w:before="40" w:after="40"/>
              <w:rPr>
                <w:sz w:val="20"/>
                <w:szCs w:val="20"/>
              </w:rPr>
            </w:pPr>
            <w:r>
              <w:rPr>
                <w:sz w:val="20"/>
                <w:szCs w:val="20"/>
              </w:rPr>
              <w:t xml:space="preserve">Комиссия включает НДС</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65"/>
              <w:ind w:left="72" w:right="72"/>
              <w:jc w:val="center"/>
              <w:spacing w:before="40" w:after="40"/>
              <w:rPr>
                <w:bCs/>
                <w:sz w:val="20"/>
                <w:szCs w:val="20"/>
              </w:rPr>
            </w:pPr>
            <w:r>
              <w:rPr>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65"/>
              <w:ind w:left="72" w:right="72"/>
              <w:spacing w:before="40" w:after="40"/>
              <w:rPr>
                <w:bCs/>
                <w:sz w:val="20"/>
                <w:szCs w:val="20"/>
              </w:rPr>
            </w:pPr>
            <w:r>
              <w:rPr>
                <w:bCs/>
                <w:sz w:val="20"/>
                <w:szCs w:val="20"/>
              </w:rPr>
              <w:t xml:space="preserve">Авизование изменения условий гарантии/контр-гарантии/резервного аккредитива, авизование сообщения по гарантии/контргарантии/резервному аккредитиву без обязательств со стороны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65"/>
              <w:jc w:val="center"/>
              <w:spacing w:before="40" w:after="40"/>
              <w:rPr>
                <w:sz w:val="20"/>
                <w:szCs w:val="20"/>
              </w:rPr>
            </w:pPr>
            <w:r>
              <w:rPr>
                <w:sz w:val="20"/>
                <w:szCs w:val="20"/>
              </w:rPr>
              <w:t xml:space="preserve">3 </w:t>
            </w:r>
            <w:r>
              <w:rPr>
                <w:sz w:val="20"/>
                <w:szCs w:val="20"/>
                <w:lang w:val="en-US"/>
              </w:rPr>
              <w:t xml:space="preserve">5</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65"/>
              <w:jc w:val="center"/>
              <w:spacing w:before="40" w:after="40"/>
              <w:rPr>
                <w:sz w:val="20"/>
                <w:szCs w:val="20"/>
              </w:rPr>
            </w:pPr>
            <w:r>
              <w:rPr>
                <w:sz w:val="20"/>
                <w:szCs w:val="20"/>
              </w:rPr>
              <w:t xml:space="preserve">Комиссия включает НДС</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65"/>
              <w:ind w:left="72" w:right="72"/>
              <w:jc w:val="center"/>
              <w:spacing w:before="40" w:after="40"/>
              <w:rPr>
                <w:bCs/>
                <w:sz w:val="20"/>
                <w:szCs w:val="20"/>
              </w:rPr>
            </w:pPr>
            <w:r>
              <w:rPr>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65"/>
              <w:ind w:left="72" w:right="72"/>
              <w:spacing w:before="40" w:after="40"/>
              <w:rPr>
                <w:bCs/>
                <w:sz w:val="20"/>
                <w:szCs w:val="20"/>
              </w:rPr>
            </w:pPr>
            <w:r>
              <w:rPr>
                <w:bCs/>
                <w:sz w:val="20"/>
                <w:szCs w:val="20"/>
              </w:rPr>
              <w:t xml:space="preserve">Требование платежа по гарантии, авизованной без обязательств со стороны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65"/>
              <w:jc w:val="center"/>
              <w:spacing w:before="40" w:after="40"/>
              <w:rPr>
                <w:sz w:val="20"/>
                <w:szCs w:val="20"/>
              </w:rPr>
            </w:pPr>
            <w:r>
              <w:rPr>
                <w:sz w:val="20"/>
                <w:szCs w:val="20"/>
              </w:rPr>
              <w:t xml:space="preserve">7 500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65"/>
              <w:jc w:val="center"/>
              <w:spacing w:before="40" w:after="40"/>
              <w:rPr>
                <w:sz w:val="20"/>
                <w:szCs w:val="20"/>
              </w:rPr>
            </w:pPr>
            <w:r>
              <w:rPr>
                <w:sz w:val="20"/>
                <w:szCs w:val="20"/>
              </w:rPr>
              <w:t xml:space="preserve">Комиссия включает НДС</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65"/>
              <w:ind w:left="72" w:right="72"/>
              <w:jc w:val="center"/>
              <w:keepNext/>
              <w:spacing w:before="40" w:after="40"/>
              <w:rPr>
                <w:bCs/>
                <w:sz w:val="20"/>
                <w:szCs w:val="20"/>
              </w:rPr>
              <w:outlineLvl w:val="6"/>
            </w:pPr>
            <w:r>
              <w:rPr>
                <w:sz w:val="20"/>
                <w:szCs w:val="20"/>
              </w:rPr>
              <w:t xml:space="preserve">6.8.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65"/>
              <w:ind w:left="72" w:right="72"/>
              <w:keepNext/>
              <w:spacing w:before="40" w:after="40"/>
              <w:rPr>
                <w:bCs/>
                <w:sz w:val="20"/>
                <w:szCs w:val="20"/>
              </w:rPr>
              <w:outlineLvl w:val="6"/>
            </w:pPr>
            <w:r>
              <w:rPr>
                <w:bCs/>
                <w:sz w:val="20"/>
                <w:szCs w:val="20"/>
              </w:rPr>
              <w:t xml:space="preserve">Проверка по запросу </w:t>
            </w:r>
            <w:r>
              <w:rPr>
                <w:sz w:val="20"/>
                <w:szCs w:val="20"/>
              </w:rPr>
              <w:t xml:space="preserve">банка-контрагента</w:t>
            </w:r>
            <w:r>
              <w:rPr>
                <w:bCs/>
                <w:sz w:val="20"/>
                <w:szCs w:val="20"/>
              </w:rPr>
              <w:t xml:space="preserve"> подлинности гарантии/контргарантии/резервного аккредитива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65"/>
              <w:jc w:val="center"/>
              <w:spacing w:before="40" w:after="40"/>
              <w:rPr>
                <w:sz w:val="20"/>
                <w:szCs w:val="20"/>
              </w:rPr>
            </w:pPr>
            <w:r>
              <w:rPr>
                <w:sz w:val="20"/>
                <w:szCs w:val="20"/>
              </w:rPr>
              <w:t xml:space="preserve">3 </w:t>
            </w:r>
            <w:r>
              <w:rPr>
                <w:sz w:val="20"/>
                <w:szCs w:val="20"/>
                <w:lang w:val="en-US"/>
              </w:rPr>
              <w:t xml:space="preserve">5</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65"/>
              <w:jc w:val="center"/>
              <w:spacing w:before="40" w:after="40"/>
              <w:rPr>
                <w:sz w:val="20"/>
                <w:szCs w:val="20"/>
              </w:rPr>
            </w:pPr>
            <w:r>
              <w:rPr>
                <w:sz w:val="20"/>
                <w:szCs w:val="20"/>
              </w:rPr>
              <w:t xml:space="preserve">Комиссия включает НДС</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65"/>
              <w:ind w:left="72" w:right="72"/>
              <w:jc w:val="center"/>
              <w:keepNext/>
              <w:spacing w:before="40" w:after="40"/>
              <w:rPr>
                <w:bCs/>
                <w:sz w:val="20"/>
                <w:szCs w:val="20"/>
              </w:rPr>
              <w:outlineLvl w:val="6"/>
            </w:pPr>
            <w:r>
              <w:rPr>
                <w:sz w:val="20"/>
                <w:szCs w:val="20"/>
              </w:rPr>
              <w:t xml:space="preserve">6.9.</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65"/>
              <w:ind w:left="72" w:right="72"/>
              <w:keepNext/>
              <w:spacing w:before="40" w:after="40"/>
              <w:rPr>
                <w:bCs/>
                <w:sz w:val="20"/>
                <w:szCs w:val="20"/>
              </w:rPr>
              <w:outlineLvl w:val="6"/>
            </w:pPr>
            <w:r>
              <w:rPr>
                <w:bCs/>
                <w:sz w:val="20"/>
                <w:szCs w:val="20"/>
              </w:rPr>
              <w:t xml:space="preserve">Отправка сообщения по гарантии/контргарантии/ резервному аккредитиву по запросу </w:t>
            </w:r>
            <w:r>
              <w:rPr>
                <w:sz w:val="20"/>
                <w:szCs w:val="20"/>
              </w:rPr>
              <w:t xml:space="preserve">банка-контрагента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65"/>
              <w:jc w:val="center"/>
              <w:spacing w:before="40" w:after="40"/>
              <w:rPr>
                <w:sz w:val="20"/>
                <w:szCs w:val="20"/>
              </w:rPr>
            </w:pPr>
            <w:r>
              <w:rPr>
                <w:sz w:val="20"/>
                <w:szCs w:val="20"/>
              </w:rPr>
              <w:t xml:space="preserve">2 500 руб. </w:t>
            </w:r>
            <w:r>
              <w:rPr>
                <w:bCs/>
                <w:sz w:val="20"/>
                <w:szCs w:val="20"/>
              </w:rPr>
              <w:t xml:space="preserve">за каждое отправленное сообщение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65"/>
              <w:jc w:val="center"/>
              <w:spacing w:before="40" w:after="40"/>
              <w:rPr>
                <w:sz w:val="20"/>
                <w:szCs w:val="20"/>
              </w:rPr>
            </w:pPr>
            <w:r>
              <w:rPr>
                <w:sz w:val="20"/>
                <w:szCs w:val="20"/>
              </w:rPr>
              <w:t xml:space="preserve">Комиссия включает НДС</w:t>
            </w:r>
            <w:r>
              <w:rPr>
                <w:sz w:val="20"/>
                <w:szCs w:val="20"/>
              </w:rPr>
            </w:r>
            <w:r>
              <w:rPr>
                <w:sz w:val="20"/>
                <w:szCs w:val="20"/>
              </w:rPr>
            </w:r>
          </w:p>
        </w:tc>
      </w:tr>
    </w:tbl>
    <w:p>
      <w:pPr>
        <w:pStyle w:val="965"/>
      </w:pPr>
      <w:r/>
      <w:r/>
    </w:p>
    <w:p>
      <w:pPr>
        <w:pStyle w:val="965"/>
        <w:rPr>
          <w:sz w:val="20"/>
          <w:szCs w:val="20"/>
        </w:rPr>
      </w:pPr>
      <w:r>
        <w:rPr>
          <w:sz w:val="20"/>
          <w:szCs w:val="20"/>
        </w:rPr>
        <w:t xml:space="preserve">Примечание к разделам 4-6 Тарифов:</w:t>
      </w:r>
      <w:r>
        <w:rPr>
          <w:sz w:val="20"/>
          <w:szCs w:val="20"/>
        </w:rPr>
      </w:r>
      <w:r>
        <w:rPr>
          <w:sz w:val="20"/>
          <w:szCs w:val="20"/>
        </w:rPr>
      </w:r>
    </w:p>
    <w:p>
      <w:pPr>
        <w:pStyle w:val="965"/>
        <w:jc w:val="both"/>
        <w:spacing w:before="40"/>
        <w:tabs>
          <w:tab w:val="left" w:pos="-1276" w:leader="none"/>
          <w:tab w:val="left" w:pos="284" w:leader="none"/>
          <w:tab w:val="left" w:pos="1134" w:leader="none"/>
        </w:tabs>
        <w:rPr>
          <w:sz w:val="20"/>
          <w:szCs w:val="20"/>
        </w:rPr>
      </w:pPr>
      <w:r>
        <w:rPr>
          <w:sz w:val="20"/>
          <w:szCs w:val="20"/>
        </w:rPr>
        <w:t xml:space="preserve">Комиссионное вознаграждение за услугу Банка, инициированную банком-контрагентом, и подлежащую уплате клиентом Банка, начисляется в соответствии с Тарифами комиссион</w:t>
      </w:r>
      <w:r>
        <w:rPr>
          <w:sz w:val="20"/>
          <w:szCs w:val="20"/>
        </w:rPr>
        <w:t xml:space="preserve">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w:t>
      </w:r>
      <w:r>
        <w:rPr>
          <w:sz w:val="20"/>
          <w:szCs w:val="20"/>
        </w:rPr>
        <w:t xml:space="preserve"> частной практикой. Если комиссионное вознаграждение не может быть получено Банком или удержано с клиента Банка по любым причинам, то обязанность по его уплате в сумме первоначального требования возлагается на банк-контрагент, как инструктирующую сторону. </w:t>
      </w:r>
      <w:r>
        <w:rPr>
          <w:sz w:val="20"/>
          <w:szCs w:val="20"/>
        </w:rPr>
      </w:r>
      <w:r>
        <w:rPr>
          <w:sz w:val="20"/>
          <w:szCs w:val="20"/>
        </w:rPr>
      </w:r>
    </w:p>
    <w:p>
      <w:pPr>
        <w:pStyle w:val="965"/>
        <w:jc w:val="both"/>
        <w:spacing w:before="40"/>
        <w:tabs>
          <w:tab w:val="left" w:pos="-1276" w:leader="none"/>
          <w:tab w:val="left" w:pos="284" w:leader="none"/>
          <w:tab w:val="left" w:pos="1134" w:leader="none"/>
        </w:tabs>
        <w:rPr>
          <w:sz w:val="20"/>
          <w:szCs w:val="20"/>
        </w:rPr>
      </w:pPr>
      <w:r>
        <w:rPr>
          <w:sz w:val="20"/>
          <w:szCs w:val="20"/>
        </w:rPr>
        <w:t xml:space="preserve">1. При указании в наименовании услуги двух и более операций к</w:t>
      </w:r>
      <w:r>
        <w:rPr>
          <w:bCs/>
          <w:color w:val="000000"/>
          <w:sz w:val="20"/>
          <w:szCs w:val="20"/>
        </w:rPr>
        <w:t xml:space="preserve">омиссионное вознаграждение взимается за каждую осуществленную операцию из перечисленных в соответствующем пункте Тарифа.</w:t>
      </w:r>
      <w:r>
        <w:rPr>
          <w:sz w:val="20"/>
          <w:szCs w:val="20"/>
        </w:rPr>
        <w:t xml:space="preserve"> </w:t>
      </w:r>
      <w:r>
        <w:rPr>
          <w:sz w:val="20"/>
          <w:szCs w:val="20"/>
        </w:rPr>
      </w:r>
      <w:r>
        <w:rPr>
          <w:sz w:val="20"/>
          <w:szCs w:val="20"/>
        </w:rPr>
      </w:r>
    </w:p>
    <w:p>
      <w:pPr>
        <w:pStyle w:val="965"/>
        <w:jc w:val="both"/>
        <w:spacing w:before="40"/>
        <w:tabs>
          <w:tab w:val="left" w:pos="284" w:leader="none"/>
          <w:tab w:val="left" w:pos="1134" w:leader="none"/>
        </w:tabs>
        <w:rPr>
          <w:sz w:val="20"/>
          <w:szCs w:val="20"/>
        </w:rPr>
      </w:pPr>
      <w:r>
        <w:rPr>
          <w:sz w:val="20"/>
          <w:szCs w:val="20"/>
        </w:rPr>
        <w:t xml:space="preserve">2. По документарным</w:t>
      </w:r>
      <w:r>
        <w:rPr>
          <w:sz w:val="20"/>
          <w:szCs w:val="20"/>
        </w:rPr>
        <w:t xml:space="preserve"> операциям,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w:t>
      </w:r>
      <w:r>
        <w:rPr>
          <w:sz w:val="20"/>
          <w:szCs w:val="20"/>
        </w:rPr>
      </w:r>
      <w:r>
        <w:rPr>
          <w:sz w:val="20"/>
          <w:szCs w:val="20"/>
        </w:rPr>
      </w:r>
    </w:p>
    <w:p>
      <w:pPr>
        <w:pStyle w:val="965"/>
        <w:jc w:val="both"/>
        <w:spacing w:before="40"/>
        <w:rPr>
          <w:sz w:val="20"/>
          <w:szCs w:val="20"/>
        </w:rPr>
      </w:pPr>
      <w:r>
        <w:rPr>
          <w:sz w:val="20"/>
          <w:szCs w:val="20"/>
        </w:rPr>
        <w:t xml:space="preserve">3. Комиссионное вознаграждение Банка может быть уплачено в россий</w:t>
      </w:r>
      <w:r>
        <w:rPr>
          <w:sz w:val="20"/>
          <w:szCs w:val="20"/>
        </w:rPr>
        <w:t xml:space="preserve">ских рублях и в иностранной валюте. Если уплата комиссионного вознаграждения Банка, начисленного в российских рублях,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965"/>
        <w:jc w:val="both"/>
        <w:spacing w:before="40"/>
        <w:rPr>
          <w:iCs/>
          <w:sz w:val="20"/>
          <w:szCs w:val="20"/>
        </w:rPr>
      </w:pPr>
      <w:r>
        <w:rPr>
          <w:iCs/>
          <w:sz w:val="20"/>
          <w:szCs w:val="20"/>
        </w:rPr>
        <w:t xml:space="preserve">4. Комиссионное вознаграждение по пунктам 4.1.3, 4.1.9, 4.2.1 и 4.3.2 Тарифов (при наличии 100% денежного покрытия) взимается за фактический срок действия обязательства. </w:t>
      </w:r>
      <w:r>
        <w:rPr>
          <w:color w:val="000000"/>
          <w:sz w:val="20"/>
          <w:szCs w:val="20"/>
        </w:rPr>
        <w:t xml:space="preserve">Комиссионное вознаграждение рассчитывается от суммы, предъявленной к оплате по аккредитиву/рамбурсному обязательству.</w:t>
      </w:r>
      <w:r>
        <w:rPr>
          <w:iCs/>
          <w:sz w:val="20"/>
          <w:szCs w:val="20"/>
        </w:rPr>
      </w:r>
      <w:r>
        <w:rPr>
          <w:iCs/>
          <w:sz w:val="20"/>
          <w:szCs w:val="20"/>
        </w:rPr>
      </w:r>
    </w:p>
    <w:p>
      <w:pPr>
        <w:pStyle w:val="965"/>
        <w:jc w:val="both"/>
        <w:rPr>
          <w:color w:val="000000"/>
          <w:sz w:val="20"/>
          <w:szCs w:val="20"/>
        </w:rPr>
      </w:pPr>
      <w:r>
        <w:rPr>
          <w:iCs/>
          <w:sz w:val="20"/>
          <w:szCs w:val="20"/>
        </w:rPr>
        <w:t xml:space="preserve">Расчет комиссионного вознаграждения по пунктам 4.1.3, 4.1.9, 4.2.1 и 4.3.2 Тарифов (при наличии 100% денежного покрытия) начинается в дату</w:t>
      </w:r>
      <w:r>
        <w:rPr>
          <w:iCs/>
          <w:sz w:val="20"/>
          <w:szCs w:val="20"/>
        </w:rPr>
        <w:t xml:space="preserve"> </w:t>
      </w:r>
      <w:r>
        <w:rPr>
          <w:color w:val="000000"/>
          <w:sz w:val="20"/>
          <w:szCs w:val="20"/>
        </w:rPr>
        <w:t xml:space="preserve">оказания соответствующей услуги.</w:t>
      </w:r>
      <w:r>
        <w:rPr>
          <w:color w:val="000000"/>
          <w:sz w:val="20"/>
          <w:szCs w:val="20"/>
        </w:rPr>
      </w:r>
      <w:r>
        <w:rPr>
          <w:color w:val="000000"/>
          <w:sz w:val="20"/>
          <w:szCs w:val="20"/>
        </w:rPr>
      </w:r>
    </w:p>
    <w:p>
      <w:pPr>
        <w:pStyle w:val="965"/>
        <w:jc w:val="both"/>
        <w:rPr>
          <w:color w:val="000000"/>
          <w:sz w:val="20"/>
          <w:szCs w:val="20"/>
        </w:rPr>
      </w:pPr>
      <w:r>
        <w:rPr>
          <w:color w:val="000000"/>
          <w:sz w:val="20"/>
          <w:szCs w:val="20"/>
        </w:rPr>
        <w:t xml:space="preserve">Комиссионное вознаграждение рассчитывается до даты платежа (включая дату открытия/дату подтверждения и дату платежа) и уплачивается по мере принятия к оплате документов/рамбурсного требования.</w:t>
      </w:r>
      <w:r>
        <w:rPr>
          <w:color w:val="000000"/>
          <w:sz w:val="20"/>
          <w:szCs w:val="20"/>
        </w:rPr>
      </w:r>
      <w:r>
        <w:rPr>
          <w:color w:val="000000"/>
          <w:sz w:val="20"/>
          <w:szCs w:val="20"/>
        </w:rPr>
      </w:r>
    </w:p>
    <w:p>
      <w:pPr>
        <w:pStyle w:val="965"/>
        <w:jc w:val="both"/>
        <w:tabs>
          <w:tab w:val="left" w:pos="-1276" w:leader="none"/>
          <w:tab w:val="left" w:pos="0" w:leader="none"/>
          <w:tab w:val="left" w:pos="1134" w:leader="none"/>
        </w:tabs>
        <w:rPr>
          <w:iCs/>
          <w:sz w:val="20"/>
          <w:szCs w:val="20"/>
        </w:rPr>
      </w:pPr>
      <w:r>
        <w:rPr>
          <w:color w:val="000000"/>
          <w:sz w:val="20"/>
          <w:szCs w:val="20"/>
        </w:rPr>
        <w:t xml:space="preserve">В случае закрытия неиспользованного (полностью или частично) аккредитива/рамбурсного обязательства комиссионное вознаграждение рассчитывается от суммы неиспользованного остатка за период с даты открытия аккредитива (по открытым Банком аккредитива</w:t>
      </w:r>
      <w:r>
        <w:rPr>
          <w:color w:val="000000"/>
          <w:sz w:val="20"/>
          <w:szCs w:val="20"/>
        </w:rPr>
        <w:t xml:space="preserve">м)/даты подтверждения аккредитива (по подтвержденным Банком аккредитивам)/даты выпуска рамбурсного обязательства до даты истечения срока действия аккредитива/рамбурсного обязательства и уплачивается в течение 5 рабочих дней по истечении срока его действия.</w:t>
      </w:r>
      <w:r>
        <w:rPr>
          <w:iCs/>
          <w:sz w:val="20"/>
          <w:szCs w:val="20"/>
        </w:rPr>
        <w:t xml:space="preserve"> </w:t>
      </w:r>
      <w:r>
        <w:rPr>
          <w:iCs/>
          <w:sz w:val="20"/>
          <w:szCs w:val="20"/>
        </w:rPr>
      </w:r>
      <w:r>
        <w:rPr>
          <w:iCs/>
          <w:sz w:val="20"/>
          <w:szCs w:val="20"/>
        </w:rPr>
      </w:r>
    </w:p>
    <w:p>
      <w:pPr>
        <w:pStyle w:val="965"/>
        <w:jc w:val="both"/>
        <w:tabs>
          <w:tab w:val="left" w:pos="-1276" w:leader="none"/>
          <w:tab w:val="left" w:pos="0" w:leader="none"/>
          <w:tab w:val="left" w:pos="1134" w:leader="none"/>
        </w:tabs>
      </w:pPr>
      <w:r>
        <w:rPr>
          <w:iCs/>
          <w:sz w:val="20"/>
          <w:szCs w:val="20"/>
        </w:rPr>
        <w:t xml:space="preserve">Минимальное значение комиссионного вознаграждения применяется при каждом расчете комиссии к уплате.</w:t>
      </w:r>
      <w:r/>
    </w:p>
    <w:p>
      <w:pPr>
        <w:pStyle w:val="965"/>
        <w:jc w:val="both"/>
        <w:rPr>
          <w:color w:val="000000"/>
          <w:sz w:val="20"/>
          <w:szCs w:val="20"/>
        </w:rPr>
      </w:pPr>
      <w:r>
        <w:rPr>
          <w:color w:val="000000"/>
          <w:sz w:val="20"/>
          <w:szCs w:val="20"/>
        </w:rPr>
        <w:t xml:space="preserve">Базис расчета – фактическое количество дней в году (365/366).</w:t>
      </w:r>
      <w:r>
        <w:rPr>
          <w:color w:val="000000"/>
          <w:sz w:val="20"/>
          <w:szCs w:val="20"/>
        </w:rPr>
      </w:r>
      <w:r>
        <w:rPr>
          <w:color w:val="000000"/>
          <w:sz w:val="20"/>
          <w:szCs w:val="20"/>
        </w:rPr>
      </w:r>
    </w:p>
    <w:p>
      <w:pPr>
        <w:pStyle w:val="965"/>
      </w:pPr>
      <w:r>
        <w:rPr>
          <w:sz w:val="20"/>
          <w:szCs w:val="20"/>
        </w:rPr>
        <w:t xml:space="preserve">5.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p>
    <w:p>
      <w:pPr>
        <w:pStyle w:val="969"/>
      </w:pPr>
      <w:r>
        <w:t xml:space="preserve">7. Операции с </w:t>
      </w:r>
      <w:r>
        <w:t xml:space="preserve">н</w:t>
      </w:r>
      <w:r>
        <w:t xml:space="preserve">аличной валютой</w:t>
      </w:r>
      <w:bookmarkEnd w:id="8"/>
      <w:r/>
      <w:r/>
    </w:p>
    <w:p>
      <w:pPr>
        <w:pStyle w:val="965"/>
      </w:pPr>
      <w:r/>
      <w:r/>
    </w:p>
    <w:tbl>
      <w:tblPr>
        <w:tblW w:w="1005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965"/>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965"/>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965"/>
              <w:jc w:val="center"/>
              <w:rPr>
                <w:b/>
                <w:sz w:val="20"/>
                <w:szCs w:val="20"/>
              </w:rPr>
            </w:pPr>
            <w:r>
              <w:rPr>
                <w:b/>
                <w:sz w:val="20"/>
                <w:szCs w:val="20"/>
              </w:rPr>
              <w:t xml:space="preserve">Тариф</w:t>
            </w:r>
            <w:r>
              <w:rPr>
                <w:b/>
                <w:sz w:val="20"/>
                <w:szCs w:val="20"/>
              </w:rPr>
            </w:r>
            <w:r>
              <w:rPr>
                <w:b/>
                <w:sz w:val="20"/>
                <w:szCs w:val="20"/>
              </w:rPr>
            </w:r>
          </w:p>
        </w:tc>
        <w:tc>
          <w:tcPr>
            <w:tcW w:w="3248" w:type="dxa"/>
            <w:vAlign w:val="top"/>
            <w:textDirection w:val="lrTb"/>
            <w:noWrap w:val="false"/>
          </w:tcPr>
          <w:p>
            <w:pPr>
              <w:pStyle w:val="96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65"/>
              <w:jc w:val="center"/>
              <w:rPr>
                <w:rFonts w:eastAsia="Arial Unicode MS"/>
                <w:b/>
                <w:sz w:val="20"/>
                <w:szCs w:val="20"/>
              </w:rPr>
            </w:pPr>
            <w:r>
              <w:rPr>
                <w:b/>
                <w:sz w:val="20"/>
                <w:szCs w:val="20"/>
              </w:rPr>
              <w:t xml:space="preserve">7.1.</w:t>
            </w:r>
            <w:r>
              <w:rPr>
                <w:rFonts w:eastAsia="Arial Unicode MS"/>
                <w:b/>
                <w:sz w:val="20"/>
                <w:szCs w:val="20"/>
              </w:rPr>
            </w:r>
            <w:r>
              <w:rPr>
                <w:rFonts w:eastAsia="Arial Unicode MS"/>
                <w:b/>
                <w:sz w:val="20"/>
                <w:szCs w:val="20"/>
              </w:rPr>
            </w:r>
          </w:p>
        </w:tc>
        <w:tc>
          <w:tcPr>
            <w:tcW w:w="3969" w:type="dxa"/>
            <w:vAlign w:val="top"/>
            <w:textDirection w:val="lrTb"/>
            <w:noWrap w:val="false"/>
          </w:tcPr>
          <w:p>
            <w:pPr>
              <w:pStyle w:val="965"/>
              <w:rPr>
                <w:rFonts w:eastAsia="Arial Unicode MS"/>
                <w:b/>
                <w:sz w:val="20"/>
                <w:szCs w:val="20"/>
              </w:rPr>
            </w:pPr>
            <w:r>
              <w:rPr>
                <w:b/>
                <w:sz w:val="20"/>
                <w:szCs w:val="20"/>
              </w:rPr>
              <w:t xml:space="preserve">Выдача наличной валюты Российской Федерации со счета респондента</w:t>
            </w:r>
            <w:r>
              <w:rPr>
                <w:rFonts w:eastAsia="Arial Unicode MS"/>
                <w:b/>
                <w:sz w:val="20"/>
                <w:szCs w:val="20"/>
              </w:rPr>
            </w:r>
            <w:r>
              <w:rPr>
                <w:rFonts w:eastAsia="Arial Unicode MS"/>
                <w:b/>
                <w:sz w:val="20"/>
                <w:szCs w:val="20"/>
              </w:rPr>
            </w:r>
          </w:p>
        </w:tc>
        <w:tc>
          <w:tcPr>
            <w:tcW w:w="1985" w:type="dxa"/>
            <w:vAlign w:val="top"/>
            <w:textDirection w:val="lrTb"/>
            <w:noWrap w:val="false"/>
          </w:tcPr>
          <w:p>
            <w:pPr>
              <w:pStyle w:val="965"/>
              <w:jc w:val="center"/>
              <w:rPr>
                <w:rFonts w:eastAsia="Arial Unicode MS"/>
                <w:sz w:val="20"/>
                <w:szCs w:val="20"/>
              </w:rPr>
            </w:pPr>
            <w:r>
              <w:rPr>
                <w:sz w:val="20"/>
                <w:szCs w:val="20"/>
              </w:rPr>
              <w:t xml:space="preserve">0,2% от суммы</w:t>
            </w:r>
            <w:r>
              <w:rPr>
                <w:rFonts w:eastAsia="Arial Unicode MS"/>
                <w:sz w:val="20"/>
                <w:szCs w:val="20"/>
              </w:rPr>
            </w:r>
            <w:r>
              <w:rPr>
                <w:rFonts w:eastAsia="Arial Unicode MS"/>
                <w:sz w:val="20"/>
                <w:szCs w:val="20"/>
              </w:rPr>
            </w:r>
          </w:p>
        </w:tc>
        <w:tc>
          <w:tcPr>
            <w:tcW w:w="3248" w:type="dxa"/>
            <w:vAlign w:val="top"/>
            <w:textDirection w:val="lrTb"/>
            <w:noWrap w:val="false"/>
          </w:tcPr>
          <w:p>
            <w:pPr>
              <w:pStyle w:val="965"/>
              <w:rPr>
                <w:rFonts w:eastAsia="Arial Unicode MS"/>
                <w:sz w:val="20"/>
                <w:szCs w:val="20"/>
              </w:rPr>
            </w:pPr>
            <w:r>
              <w:rPr>
                <w:sz w:val="20"/>
                <w:szCs w:val="20"/>
              </w:rPr>
              <w:t xml:space="preserve">Комиссия взимается в день выдачи. Заказ наличной валюты Российской Федерации производится по письменной заявке за 3 банковских дня.</w:t>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65"/>
              <w:jc w:val="center"/>
              <w:rPr>
                <w:b/>
                <w:sz w:val="20"/>
                <w:szCs w:val="20"/>
              </w:rPr>
            </w:pPr>
            <w:r>
              <w:rPr>
                <w:b/>
                <w:sz w:val="20"/>
                <w:szCs w:val="20"/>
              </w:rPr>
              <w:t xml:space="preserve">7.2.</w:t>
            </w:r>
            <w:r>
              <w:rPr>
                <w:b/>
                <w:sz w:val="20"/>
                <w:szCs w:val="20"/>
              </w:rPr>
            </w:r>
            <w:r>
              <w:rPr>
                <w:b/>
                <w:sz w:val="20"/>
                <w:szCs w:val="20"/>
              </w:rPr>
            </w:r>
          </w:p>
        </w:tc>
        <w:tc>
          <w:tcPr>
            <w:tcW w:w="3969" w:type="dxa"/>
            <w:vAlign w:val="top"/>
            <w:textDirection w:val="lrTb"/>
            <w:noWrap w:val="false"/>
          </w:tcPr>
          <w:p>
            <w:pPr>
              <w:pStyle w:val="965"/>
              <w:rPr>
                <w:b/>
                <w:sz w:val="20"/>
                <w:szCs w:val="20"/>
              </w:rPr>
            </w:pPr>
            <w:r>
              <w:rPr>
                <w:b/>
                <w:sz w:val="20"/>
                <w:szCs w:val="20"/>
              </w:rPr>
              <w:t xml:space="preserve">Прием наличной валюты Российской Федерации с зачислением на счет Респондента</w:t>
            </w:r>
            <w:r>
              <w:rPr>
                <w:b/>
                <w:sz w:val="20"/>
                <w:szCs w:val="20"/>
              </w:rPr>
            </w:r>
            <w:r>
              <w:rPr>
                <w:b/>
                <w:sz w:val="20"/>
                <w:szCs w:val="20"/>
              </w:rPr>
            </w:r>
          </w:p>
        </w:tc>
        <w:tc>
          <w:tcPr>
            <w:tcW w:w="1985" w:type="dxa"/>
            <w:vAlign w:val="top"/>
            <w:textDirection w:val="lrTb"/>
            <w:noWrap w:val="false"/>
          </w:tcPr>
          <w:p>
            <w:pPr>
              <w:pStyle w:val="965"/>
              <w:jc w:val="center"/>
              <w:rPr>
                <w:sz w:val="20"/>
                <w:szCs w:val="20"/>
              </w:rPr>
            </w:pPr>
            <w:r>
              <w:rPr>
                <w:bCs/>
                <w:iCs/>
                <w:sz w:val="20"/>
                <w:szCs w:val="20"/>
              </w:rPr>
              <w:t xml:space="preserve">0,3% </w:t>
            </w:r>
            <w:r>
              <w:rPr>
                <w:bCs/>
                <w:iCs/>
                <w:sz w:val="20"/>
                <w:szCs w:val="20"/>
              </w:rPr>
              <w:br w:type="textWrapping" w:clear="all"/>
            </w:r>
            <w:r>
              <w:rPr>
                <w:bCs/>
                <w:iCs/>
                <w:sz w:val="20"/>
                <w:szCs w:val="20"/>
              </w:rPr>
              <w:t xml:space="preserve">от суммы</w:t>
            </w:r>
            <w:r>
              <w:rPr>
                <w:sz w:val="20"/>
                <w:szCs w:val="20"/>
              </w:rPr>
            </w:r>
            <w:r>
              <w:rPr>
                <w:sz w:val="20"/>
                <w:szCs w:val="20"/>
              </w:rPr>
            </w:r>
          </w:p>
        </w:tc>
        <w:tc>
          <w:tcPr>
            <w:tcW w:w="3248" w:type="dxa"/>
            <w:vAlign w:val="top"/>
            <w:textDirection w:val="lrTb"/>
            <w:noWrap w:val="false"/>
          </w:tcPr>
          <w:p>
            <w:pPr>
              <w:pStyle w:val="965"/>
              <w:rPr>
                <w:sz w:val="20"/>
                <w:szCs w:val="20"/>
              </w:rPr>
            </w:pPr>
            <w:r>
              <w:rPr>
                <w:bCs/>
                <w:iCs/>
                <w:sz w:val="20"/>
                <w:szCs w:val="20"/>
              </w:rPr>
              <w:t xml:space="preserve">Комиссия взимается в день зачисления на счет Респондента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65"/>
              <w:jc w:val="center"/>
              <w:rPr>
                <w:b/>
                <w:sz w:val="20"/>
                <w:szCs w:val="20"/>
              </w:rPr>
            </w:pPr>
            <w:r>
              <w:rPr>
                <w:b/>
                <w:sz w:val="20"/>
                <w:szCs w:val="20"/>
              </w:rPr>
              <w:t xml:space="preserve">7.2.1.</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965"/>
              <w:rPr>
                <w:b/>
                <w:sz w:val="20"/>
                <w:szCs w:val="20"/>
              </w:rPr>
            </w:pPr>
            <w:r>
              <w:rPr>
                <w:b/>
                <w:sz w:val="20"/>
                <w:szCs w:val="20"/>
              </w:rPr>
              <w:t xml:space="preserve">Прием наличной валюты Российской Федерации с зачислением на счет респондента</w:t>
            </w:r>
            <w:r>
              <w:rPr>
                <w:b/>
                <w:sz w:val="20"/>
                <w:szCs w:val="20"/>
              </w:rPr>
            </w:r>
            <w:r>
              <w:rPr>
                <w:b/>
                <w:sz w:val="20"/>
                <w:szCs w:val="20"/>
              </w:rPr>
            </w:r>
          </w:p>
        </w:tc>
        <w:tc>
          <w:tcPr>
            <w:tcBorders>
              <w:bottom w:val="single" w:color="000000" w:sz="4" w:space="0"/>
            </w:tcBorders>
            <w:tcW w:w="1985" w:type="dxa"/>
            <w:vAlign w:val="top"/>
            <w:textDirection w:val="lrTb"/>
            <w:noWrap w:val="false"/>
          </w:tcPr>
          <w:p>
            <w:pPr>
              <w:pStyle w:val="965"/>
              <w:jc w:val="center"/>
              <w:rPr>
                <w:sz w:val="20"/>
                <w:szCs w:val="20"/>
              </w:rPr>
            </w:pPr>
            <w:r>
              <w:rPr>
                <w:sz w:val="20"/>
                <w:szCs w:val="20"/>
              </w:rPr>
              <w:t xml:space="preserve">0,3% от суммы</w:t>
            </w:r>
            <w:r>
              <w:rPr>
                <w:sz w:val="20"/>
                <w:szCs w:val="20"/>
              </w:rPr>
            </w:r>
            <w:r>
              <w:rPr>
                <w:sz w:val="20"/>
                <w:szCs w:val="20"/>
              </w:rPr>
            </w:r>
          </w:p>
        </w:tc>
        <w:tc>
          <w:tcPr>
            <w:tcBorders>
              <w:bottom w:val="single" w:color="000000" w:sz="4" w:space="0"/>
            </w:tcBorders>
            <w:tcW w:w="3248" w:type="dxa"/>
            <w:vAlign w:val="top"/>
            <w:textDirection w:val="lrTb"/>
            <w:noWrap w:val="false"/>
          </w:tcPr>
          <w:p>
            <w:pPr>
              <w:pStyle w:val="965"/>
              <w:rPr>
                <w:sz w:val="20"/>
                <w:szCs w:val="20"/>
              </w:rPr>
            </w:pPr>
            <w:r>
              <w:rPr>
                <w:sz w:val="20"/>
                <w:szCs w:val="20"/>
              </w:rPr>
              <w:t xml:space="preserve">При условии заключения договора корреспондентского счета в региональном филиале АО «Россельхозбанк»</w:t>
            </w:r>
            <w:r>
              <w:rPr>
                <w:sz w:val="20"/>
                <w:szCs w:val="20"/>
              </w:rPr>
            </w:r>
            <w:r>
              <w:rPr>
                <w:sz w:val="20"/>
                <w:szCs w:val="20"/>
              </w:rPr>
            </w:r>
          </w:p>
          <w:p>
            <w:pPr>
              <w:pStyle w:val="965"/>
              <w:rPr>
                <w:sz w:val="20"/>
                <w:szCs w:val="20"/>
              </w:rPr>
            </w:pPr>
            <w:r>
              <w:rPr>
                <w:sz w:val="20"/>
                <w:szCs w:val="20"/>
              </w:rPr>
              <w:t xml:space="preserve">Комиссия взимается в день зачисления на счет Респондента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65"/>
              <w:jc w:val="center"/>
              <w:rPr>
                <w:b/>
                <w:sz w:val="20"/>
                <w:szCs w:val="20"/>
              </w:rPr>
            </w:pPr>
            <w:r>
              <w:rPr>
                <w:b/>
                <w:sz w:val="20"/>
                <w:szCs w:val="20"/>
              </w:rPr>
              <w:t xml:space="preserve">7.2.2.</w:t>
            </w:r>
            <w:r>
              <w:rPr>
                <w:b/>
                <w:sz w:val="20"/>
                <w:szCs w:val="20"/>
              </w:rPr>
            </w:r>
            <w:r>
              <w:rPr>
                <w:b/>
                <w:sz w:val="20"/>
                <w:szCs w:val="20"/>
              </w:rPr>
            </w:r>
          </w:p>
        </w:tc>
        <w:tc>
          <w:tcPr>
            <w:tcBorders>
              <w:bottom w:val="none" w:color="000000" w:sz="4" w:space="0"/>
            </w:tcBorders>
            <w:tcW w:w="3969" w:type="dxa"/>
            <w:vAlign w:val="top"/>
            <w:textDirection w:val="lrTb"/>
            <w:noWrap w:val="false"/>
          </w:tcPr>
          <w:p>
            <w:pPr>
              <w:pStyle w:val="965"/>
              <w:rPr>
                <w:b/>
                <w:sz w:val="20"/>
                <w:szCs w:val="20"/>
              </w:rPr>
            </w:pPr>
            <w:r>
              <w:rPr>
                <w:b/>
                <w:sz w:val="20"/>
                <w:szCs w:val="20"/>
              </w:rPr>
              <w:t xml:space="preserve">Прием наличной валюты Российской Федерации, в том числе поступившей в специальных кассетах, с зачислением на счет респондента</w:t>
            </w:r>
            <w:r>
              <w:rPr>
                <w:b/>
                <w:sz w:val="20"/>
                <w:szCs w:val="20"/>
              </w:rPr>
            </w:r>
            <w:r>
              <w:rPr>
                <w:b/>
                <w:sz w:val="20"/>
                <w:szCs w:val="20"/>
              </w:rPr>
            </w:r>
          </w:p>
        </w:tc>
        <w:tc>
          <w:tcPr>
            <w:tcBorders>
              <w:bottom w:val="none" w:color="000000" w:sz="4" w:space="0"/>
            </w:tcBorders>
            <w:tcW w:w="1985"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c>
          <w:tcPr>
            <w:tcW w:w="3248" w:type="dxa"/>
            <w:vAlign w:val="top"/>
            <w:vMerge w:val="restart"/>
            <w:textDirection w:val="lrTb"/>
            <w:noWrap w:val="false"/>
          </w:tcPr>
          <w:p>
            <w:pPr>
              <w:pStyle w:val="965"/>
              <w:rPr>
                <w:sz w:val="20"/>
                <w:szCs w:val="20"/>
              </w:rPr>
            </w:pPr>
            <w:r>
              <w:rPr>
                <w:sz w:val="20"/>
                <w:szCs w:val="20"/>
              </w:rPr>
              <w:t xml:space="preserve">При условии заключения договора корреспондентского счета в головном офисе АО «Россельхозбанк»</w:t>
            </w:r>
            <w:r>
              <w:rPr>
                <w:sz w:val="20"/>
                <w:szCs w:val="20"/>
              </w:rPr>
            </w:r>
            <w:r>
              <w:rPr>
                <w:sz w:val="20"/>
                <w:szCs w:val="20"/>
              </w:rPr>
            </w:r>
          </w:p>
          <w:p>
            <w:pPr>
              <w:pStyle w:val="965"/>
              <w:rPr>
                <w:sz w:val="20"/>
                <w:szCs w:val="20"/>
              </w:rPr>
            </w:pPr>
            <w:r>
              <w:rPr>
                <w:sz w:val="20"/>
                <w:szCs w:val="20"/>
              </w:rPr>
              <w:t xml:space="preserve">Комиссия взимается в день зачисления на счет Респондента».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65"/>
              <w:jc w:val="center"/>
              <w:rPr>
                <w:b/>
                <w:sz w:val="20"/>
                <w:szCs w:val="20"/>
              </w:rPr>
            </w:pPr>
            <w:r>
              <w:rPr>
                <w:b/>
                <w:sz w:val="20"/>
                <w:szCs w:val="20"/>
              </w:rPr>
            </w:r>
            <w:r>
              <w:rPr>
                <w:b/>
                <w:sz w:val="20"/>
                <w:szCs w:val="20"/>
              </w:rPr>
            </w:r>
            <w:r>
              <w:rPr>
                <w:b/>
                <w:sz w:val="20"/>
                <w:szCs w:val="20"/>
              </w:rPr>
            </w:r>
          </w:p>
        </w:tc>
        <w:tc>
          <w:tcPr>
            <w:tcBorders>
              <w:top w:val="none" w:color="000000" w:sz="4" w:space="0"/>
              <w:bottom w:val="none" w:color="000000" w:sz="4" w:space="0"/>
            </w:tcBorders>
            <w:tcW w:w="3969" w:type="dxa"/>
            <w:vAlign w:val="top"/>
            <w:textDirection w:val="lrTb"/>
            <w:noWrap w:val="false"/>
          </w:tcPr>
          <w:p>
            <w:pPr>
              <w:pStyle w:val="965"/>
              <w:rPr>
                <w:b/>
                <w:sz w:val="20"/>
                <w:szCs w:val="20"/>
              </w:rPr>
            </w:pPr>
            <w:r>
              <w:rPr>
                <w:b/>
                <w:sz w:val="20"/>
                <w:szCs w:val="20"/>
              </w:rPr>
              <w:t xml:space="preserve">при условии заключения договоров кассового обслуживания с 1-15 филиалами АО «Россельхозбанк» </w:t>
            </w:r>
            <w:r>
              <w:rPr>
                <w:b/>
                <w:sz w:val="20"/>
                <w:szCs w:val="20"/>
              </w:rPr>
            </w:r>
            <w:r>
              <w:rPr>
                <w:b/>
                <w:sz w:val="20"/>
                <w:szCs w:val="20"/>
              </w:rPr>
            </w:r>
          </w:p>
        </w:tc>
        <w:tc>
          <w:tcPr>
            <w:tcBorders>
              <w:top w:val="none" w:color="000000" w:sz="4" w:space="0"/>
              <w:bottom w:val="none" w:color="000000" w:sz="4" w:space="0"/>
            </w:tcBorders>
            <w:tcW w:w="1985" w:type="dxa"/>
            <w:vAlign w:val="top"/>
            <w:textDirection w:val="lrTb"/>
            <w:noWrap w:val="false"/>
          </w:tcPr>
          <w:p>
            <w:pPr>
              <w:pStyle w:val="965"/>
              <w:jc w:val="center"/>
              <w:rPr>
                <w:sz w:val="20"/>
                <w:szCs w:val="20"/>
              </w:rPr>
            </w:pPr>
            <w:r>
              <w:rPr>
                <w:sz w:val="20"/>
                <w:szCs w:val="20"/>
              </w:rPr>
              <w:t xml:space="preserve">0,3% от суммы</w:t>
            </w:r>
            <w:r>
              <w:rPr>
                <w:sz w:val="20"/>
                <w:szCs w:val="20"/>
              </w:rPr>
            </w:r>
            <w:r>
              <w:rPr>
                <w:sz w:val="20"/>
                <w:szCs w:val="20"/>
              </w:rPr>
            </w:r>
          </w:p>
        </w:tc>
        <w:tc>
          <w:tcPr>
            <w:tcBorders>
              <w:bottom w:val="none" w:color="000000" w:sz="4" w:space="0"/>
            </w:tcBorders>
            <w:tcW w:w="3248" w:type="dxa"/>
            <w:vAlign w:val="top"/>
            <w:vMerge w:val="continue"/>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65"/>
              <w:jc w:val="center"/>
              <w:rPr>
                <w:b/>
                <w:sz w:val="20"/>
                <w:szCs w:val="20"/>
              </w:rPr>
            </w:pPr>
            <w:r>
              <w:rPr>
                <w:b/>
                <w:sz w:val="20"/>
                <w:szCs w:val="20"/>
              </w:rPr>
            </w:r>
            <w:r>
              <w:rPr>
                <w:b/>
                <w:sz w:val="20"/>
                <w:szCs w:val="20"/>
              </w:rPr>
            </w:r>
            <w:r>
              <w:rPr>
                <w:b/>
                <w:sz w:val="20"/>
                <w:szCs w:val="20"/>
              </w:rPr>
            </w:r>
          </w:p>
        </w:tc>
        <w:tc>
          <w:tcPr>
            <w:tcBorders>
              <w:top w:val="none" w:color="000000" w:sz="4" w:space="0"/>
              <w:bottom w:val="none" w:color="000000" w:sz="4" w:space="0"/>
            </w:tcBorders>
            <w:tcW w:w="3969" w:type="dxa"/>
            <w:vAlign w:val="top"/>
            <w:textDirection w:val="lrTb"/>
            <w:noWrap w:val="false"/>
          </w:tcPr>
          <w:p>
            <w:pPr>
              <w:pStyle w:val="965"/>
              <w:rPr>
                <w:b/>
                <w:sz w:val="20"/>
                <w:szCs w:val="20"/>
              </w:rPr>
            </w:pPr>
            <w:r>
              <w:rPr>
                <w:b/>
                <w:sz w:val="20"/>
                <w:szCs w:val="20"/>
              </w:rPr>
              <w:t xml:space="preserve">при условии заключения договоров кассового обслуживания с 16-30 филиалами АО «Россельхозбанк»</w:t>
            </w:r>
            <w:r>
              <w:rPr>
                <w:b/>
                <w:sz w:val="20"/>
                <w:szCs w:val="20"/>
              </w:rPr>
            </w:r>
            <w:r>
              <w:rPr>
                <w:b/>
                <w:sz w:val="20"/>
                <w:szCs w:val="20"/>
              </w:rPr>
            </w:r>
          </w:p>
        </w:tc>
        <w:tc>
          <w:tcPr>
            <w:tcBorders>
              <w:top w:val="none" w:color="000000" w:sz="4" w:space="0"/>
              <w:bottom w:val="none" w:color="000000" w:sz="4" w:space="0"/>
            </w:tcBorders>
            <w:tcW w:w="1985" w:type="dxa"/>
            <w:vAlign w:val="top"/>
            <w:textDirection w:val="lrTb"/>
            <w:noWrap w:val="false"/>
          </w:tcPr>
          <w:p>
            <w:pPr>
              <w:pStyle w:val="965"/>
              <w:jc w:val="center"/>
              <w:rPr>
                <w:sz w:val="20"/>
                <w:szCs w:val="20"/>
              </w:rPr>
            </w:pPr>
            <w:r>
              <w:rPr>
                <w:sz w:val="20"/>
                <w:szCs w:val="20"/>
              </w:rPr>
              <w:t xml:space="preserve">0,2% от суммы</w:t>
            </w:r>
            <w:r>
              <w:rPr>
                <w:sz w:val="20"/>
                <w:szCs w:val="20"/>
              </w:rPr>
            </w:r>
            <w:r>
              <w:rPr>
                <w:sz w:val="20"/>
                <w:szCs w:val="20"/>
              </w:rPr>
            </w:r>
          </w:p>
        </w:tc>
        <w:tc>
          <w:tcPr>
            <w:tcBorders>
              <w:top w:val="none" w:color="000000" w:sz="4" w:space="0"/>
              <w:bottom w:val="none" w:color="000000" w:sz="4" w:space="0"/>
            </w:tcBorders>
            <w:tcW w:w="3248"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965"/>
              <w:jc w:val="center"/>
              <w:rPr>
                <w:b/>
                <w:sz w:val="20"/>
                <w:szCs w:val="20"/>
              </w:rPr>
            </w:pPr>
            <w:r>
              <w:rPr>
                <w:b/>
                <w:sz w:val="20"/>
                <w:szCs w:val="20"/>
              </w:rPr>
            </w:r>
            <w:r>
              <w:rPr>
                <w:b/>
                <w:sz w:val="20"/>
                <w:szCs w:val="20"/>
              </w:rPr>
            </w:r>
            <w:r>
              <w:rPr>
                <w:b/>
                <w:sz w:val="20"/>
                <w:szCs w:val="20"/>
              </w:rPr>
            </w:r>
          </w:p>
        </w:tc>
        <w:tc>
          <w:tcPr>
            <w:tcBorders>
              <w:top w:val="none" w:color="000000" w:sz="4" w:space="0"/>
            </w:tcBorders>
            <w:tcW w:w="3969" w:type="dxa"/>
            <w:vAlign w:val="top"/>
            <w:textDirection w:val="lrTb"/>
            <w:noWrap w:val="false"/>
          </w:tcPr>
          <w:p>
            <w:pPr>
              <w:pStyle w:val="965"/>
              <w:rPr>
                <w:b/>
                <w:sz w:val="20"/>
                <w:szCs w:val="20"/>
              </w:rPr>
            </w:pPr>
            <w:r>
              <w:rPr>
                <w:b/>
                <w:sz w:val="20"/>
                <w:szCs w:val="20"/>
              </w:rPr>
              <w:t xml:space="preserve">при условии заключения договоров кассового обслуживания с 31 и более филиалами АО «Россельхозбанк»</w:t>
            </w:r>
            <w:r>
              <w:rPr>
                <w:b/>
                <w:sz w:val="20"/>
                <w:szCs w:val="20"/>
              </w:rPr>
            </w:r>
            <w:r>
              <w:rPr>
                <w:b/>
                <w:sz w:val="20"/>
                <w:szCs w:val="20"/>
              </w:rPr>
            </w:r>
          </w:p>
        </w:tc>
        <w:tc>
          <w:tcPr>
            <w:tcBorders>
              <w:top w:val="none" w:color="000000" w:sz="4" w:space="0"/>
            </w:tcBorders>
            <w:tcW w:w="1985" w:type="dxa"/>
            <w:vAlign w:val="top"/>
            <w:textDirection w:val="lrTb"/>
            <w:noWrap w:val="false"/>
          </w:tcPr>
          <w:p>
            <w:pPr>
              <w:pStyle w:val="965"/>
              <w:jc w:val="center"/>
              <w:rPr>
                <w:sz w:val="20"/>
                <w:szCs w:val="20"/>
              </w:rPr>
            </w:pPr>
            <w:r>
              <w:rPr>
                <w:sz w:val="20"/>
                <w:szCs w:val="20"/>
              </w:rPr>
              <w:t xml:space="preserve">0,15% от суммы</w:t>
            </w:r>
            <w:r>
              <w:rPr>
                <w:sz w:val="20"/>
                <w:szCs w:val="20"/>
              </w:rPr>
            </w:r>
            <w:r>
              <w:rPr>
                <w:sz w:val="20"/>
                <w:szCs w:val="20"/>
              </w:rPr>
            </w:r>
          </w:p>
        </w:tc>
        <w:tc>
          <w:tcPr>
            <w:tcBorders>
              <w:top w:val="none" w:color="000000" w:sz="4" w:space="0"/>
            </w:tcBorders>
            <w:tcW w:w="3248"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65"/>
              <w:jc w:val="center"/>
              <w:rPr>
                <w:b/>
                <w:sz w:val="20"/>
                <w:szCs w:val="20"/>
              </w:rPr>
            </w:pPr>
            <w:r>
              <w:rPr>
                <w:b/>
                <w:sz w:val="20"/>
                <w:szCs w:val="20"/>
              </w:rPr>
              <w:t xml:space="preserve">7.3.</w:t>
            </w:r>
            <w:r>
              <w:rPr>
                <w:b/>
                <w:sz w:val="20"/>
                <w:szCs w:val="20"/>
              </w:rPr>
            </w:r>
            <w:r>
              <w:rPr>
                <w:b/>
                <w:sz w:val="20"/>
                <w:szCs w:val="20"/>
              </w:rPr>
            </w:r>
          </w:p>
        </w:tc>
        <w:tc>
          <w:tcPr>
            <w:tcW w:w="3969" w:type="dxa"/>
            <w:vAlign w:val="top"/>
            <w:textDirection w:val="lrTb"/>
            <w:noWrap w:val="false"/>
          </w:tcPr>
          <w:p>
            <w:pPr>
              <w:pStyle w:val="965"/>
              <w:rPr>
                <w:rFonts w:eastAsia="Arial Unicode MS"/>
                <w:b/>
                <w:sz w:val="20"/>
                <w:szCs w:val="20"/>
              </w:rPr>
            </w:pPr>
            <w:r>
              <w:rPr>
                <w:b/>
                <w:sz w:val="20"/>
                <w:szCs w:val="20"/>
              </w:rPr>
              <w:t xml:space="preserve">Прием наличной валюты Российской Федерации в инкассаторских сумках в послеоперационное время Банка, а также в выходные и праздничные дни, с зачислением на счета респондента до 10.00 часов утра следующего операционного дня</w:t>
            </w:r>
            <w:r>
              <w:rPr>
                <w:rFonts w:eastAsia="Arial Unicode MS"/>
                <w:b/>
                <w:sz w:val="20"/>
                <w:szCs w:val="20"/>
              </w:rPr>
            </w:r>
            <w:r>
              <w:rPr>
                <w:rFonts w:eastAsia="Arial Unicode MS"/>
                <w:b/>
                <w:sz w:val="20"/>
                <w:szCs w:val="20"/>
              </w:rPr>
            </w:r>
          </w:p>
        </w:tc>
        <w:tc>
          <w:tcPr>
            <w:tcW w:w="1985" w:type="dxa"/>
            <w:vAlign w:val="top"/>
            <w:textDirection w:val="lrTb"/>
            <w:noWrap w:val="false"/>
          </w:tcPr>
          <w:p>
            <w:pPr>
              <w:pStyle w:val="965"/>
              <w:jc w:val="center"/>
              <w:rPr>
                <w:rFonts w:eastAsia="Arial Unicode MS"/>
                <w:sz w:val="20"/>
                <w:szCs w:val="20"/>
              </w:rPr>
            </w:pPr>
            <w:r>
              <w:rPr>
                <w:sz w:val="20"/>
                <w:szCs w:val="20"/>
              </w:rPr>
              <w:t xml:space="preserve">0,2% от суммы, по курсу Банка</w:t>
            </w:r>
            <w:r>
              <w:rPr>
                <w:rFonts w:eastAsia="Arial Unicode MS"/>
                <w:sz w:val="20"/>
                <w:szCs w:val="20"/>
              </w:rPr>
            </w:r>
            <w:r>
              <w:rPr>
                <w:rFonts w:eastAsia="Arial Unicode MS"/>
                <w:sz w:val="20"/>
                <w:szCs w:val="20"/>
              </w:rPr>
            </w:r>
          </w:p>
        </w:tc>
        <w:tc>
          <w:tcPr>
            <w:tcW w:w="3248" w:type="dxa"/>
            <w:vAlign w:val="top"/>
            <w:textDirection w:val="lrTb"/>
            <w:noWrap w:val="false"/>
          </w:tcPr>
          <w:p>
            <w:pPr>
              <w:pStyle w:val="965"/>
              <w:rPr>
                <w:sz w:val="20"/>
                <w:szCs w:val="20"/>
              </w:rPr>
            </w:pPr>
            <w:r>
              <w:rPr>
                <w:sz w:val="20"/>
                <w:szCs w:val="20"/>
              </w:rPr>
              <w:t xml:space="preserve">Комиссия взимается в день зачисления на счет Респондента.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65"/>
              <w:jc w:val="center"/>
              <w:rPr>
                <w:b/>
                <w:sz w:val="20"/>
                <w:szCs w:val="20"/>
              </w:rPr>
            </w:pPr>
            <w:r>
              <w:rPr>
                <w:b/>
                <w:sz w:val="20"/>
                <w:szCs w:val="20"/>
              </w:rPr>
              <w:t xml:space="preserve">7.4.</w:t>
            </w:r>
            <w:r>
              <w:rPr>
                <w:b/>
                <w:sz w:val="20"/>
                <w:szCs w:val="20"/>
              </w:rPr>
            </w:r>
            <w:r>
              <w:rPr>
                <w:b/>
                <w:sz w:val="20"/>
                <w:szCs w:val="20"/>
              </w:rPr>
            </w:r>
          </w:p>
        </w:tc>
        <w:tc>
          <w:tcPr>
            <w:tcW w:w="3969" w:type="dxa"/>
            <w:vAlign w:val="top"/>
            <w:textDirection w:val="lrTb"/>
            <w:noWrap w:val="false"/>
          </w:tcPr>
          <w:p>
            <w:pPr>
              <w:pStyle w:val="965"/>
              <w:rPr>
                <w:b/>
                <w:sz w:val="20"/>
                <w:szCs w:val="20"/>
              </w:rPr>
            </w:pPr>
            <w:r>
              <w:rPr>
                <w:b/>
                <w:sz w:val="20"/>
                <w:szCs w:val="20"/>
              </w:rPr>
              <w:t xml:space="preserve">Повторный пересчет денежной наличности в результате образовавшегося излишка или недостачи по вине респондента</w:t>
            </w:r>
            <w:r>
              <w:rPr>
                <w:b/>
                <w:sz w:val="20"/>
                <w:szCs w:val="20"/>
              </w:rPr>
            </w:r>
            <w:r>
              <w:rPr>
                <w:b/>
                <w:sz w:val="20"/>
                <w:szCs w:val="20"/>
              </w:rPr>
            </w:r>
          </w:p>
        </w:tc>
        <w:tc>
          <w:tcPr>
            <w:tcW w:w="1985" w:type="dxa"/>
            <w:vAlign w:val="top"/>
            <w:textDirection w:val="lrTb"/>
            <w:noWrap w:val="false"/>
          </w:tcPr>
          <w:p>
            <w:pPr>
              <w:pStyle w:val="965"/>
              <w:jc w:val="center"/>
              <w:rPr>
                <w:sz w:val="20"/>
                <w:szCs w:val="20"/>
              </w:rPr>
            </w:pPr>
            <w:r>
              <w:rPr>
                <w:sz w:val="20"/>
                <w:szCs w:val="20"/>
              </w:rPr>
              <w:t xml:space="preserve">0,05% от суммы</w:t>
            </w:r>
            <w:r>
              <w:rPr>
                <w:sz w:val="20"/>
                <w:szCs w:val="20"/>
              </w:rPr>
            </w:r>
            <w:r>
              <w:rPr>
                <w:sz w:val="20"/>
                <w:szCs w:val="20"/>
              </w:rPr>
            </w:r>
          </w:p>
        </w:tc>
        <w:tc>
          <w:tcPr>
            <w:tcW w:w="3248"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65"/>
              <w:jc w:val="center"/>
              <w:rPr>
                <w:b/>
                <w:sz w:val="20"/>
                <w:szCs w:val="20"/>
              </w:rPr>
            </w:pPr>
            <w:r>
              <w:rPr>
                <w:b/>
                <w:sz w:val="20"/>
                <w:szCs w:val="20"/>
              </w:rPr>
              <w:t xml:space="preserve">7.5.</w:t>
            </w:r>
            <w:r>
              <w:rPr>
                <w:b/>
                <w:sz w:val="20"/>
                <w:szCs w:val="20"/>
              </w:rPr>
            </w:r>
            <w:r>
              <w:rPr>
                <w:b/>
                <w:sz w:val="20"/>
                <w:szCs w:val="20"/>
              </w:rPr>
            </w:r>
          </w:p>
        </w:tc>
        <w:tc>
          <w:tcPr>
            <w:tcW w:w="3969" w:type="dxa"/>
            <w:vAlign w:val="top"/>
            <w:textDirection w:val="lrTb"/>
            <w:noWrap w:val="false"/>
          </w:tcPr>
          <w:p>
            <w:pPr>
              <w:pStyle w:val="965"/>
              <w:rPr>
                <w:b/>
                <w:sz w:val="20"/>
                <w:szCs w:val="20"/>
              </w:rPr>
            </w:pPr>
            <w:r>
              <w:rPr>
                <w:b/>
                <w:sz w:val="20"/>
                <w:szCs w:val="20"/>
              </w:rPr>
              <w:t xml:space="preserve">Выдача наличной иностранной валюты</w:t>
            </w:r>
            <w:r>
              <w:rPr>
                <w:b/>
                <w:sz w:val="20"/>
                <w:szCs w:val="20"/>
              </w:rPr>
            </w:r>
            <w:r>
              <w:rPr>
                <w:b/>
                <w:sz w:val="20"/>
                <w:szCs w:val="20"/>
              </w:rPr>
            </w:r>
          </w:p>
          <w:p>
            <w:pPr>
              <w:pStyle w:val="965"/>
              <w:rPr>
                <w:b/>
                <w:sz w:val="20"/>
                <w:szCs w:val="20"/>
              </w:rPr>
            </w:pPr>
            <w:r>
              <w:rPr>
                <w:b/>
                <w:sz w:val="20"/>
                <w:szCs w:val="20"/>
              </w:rPr>
              <w:t xml:space="preserve">(за исключением монеты иностранного государства (группы иностранных государств))</w:t>
            </w:r>
            <w:r>
              <w:rPr>
                <w:b/>
                <w:sz w:val="20"/>
                <w:szCs w:val="20"/>
              </w:rPr>
            </w:r>
            <w:r>
              <w:rPr>
                <w:b/>
                <w:sz w:val="20"/>
                <w:szCs w:val="20"/>
              </w:rPr>
            </w:r>
          </w:p>
          <w:p>
            <w:pPr>
              <w:pStyle w:val="965"/>
              <w:rPr>
                <w:rFonts w:eastAsia="Arial Unicode MS"/>
                <w:b/>
                <w:sz w:val="20"/>
                <w:szCs w:val="20"/>
              </w:rPr>
            </w:pPr>
            <w:r>
              <w:rPr>
                <w:b/>
                <w:sz w:val="20"/>
                <w:szCs w:val="20"/>
              </w:rPr>
              <w:t xml:space="preserve">со счета респондента, открытого в соответствующей валюте:</w:t>
            </w:r>
            <w:r>
              <w:rPr>
                <w:rFonts w:eastAsia="Arial Unicode MS"/>
                <w:b/>
                <w:sz w:val="20"/>
                <w:szCs w:val="20"/>
              </w:rPr>
            </w:r>
            <w:r>
              <w:rPr>
                <w:rFonts w:eastAsia="Arial Unicode MS"/>
                <w:b/>
                <w:sz w:val="20"/>
                <w:szCs w:val="20"/>
              </w:rPr>
            </w:r>
          </w:p>
        </w:tc>
        <w:tc>
          <w:tcPr>
            <w:tcW w:w="1985" w:type="dxa"/>
            <w:vAlign w:val="top"/>
            <w:textDirection w:val="lrTb"/>
            <w:noWrap w:val="false"/>
          </w:tcPr>
          <w:p>
            <w:pPr>
              <w:pStyle w:val="965"/>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W w:w="3248" w:type="dxa"/>
            <w:vAlign w:val="top"/>
            <w:textDirection w:val="lrTb"/>
            <w:noWrap w:val="false"/>
          </w:tcPr>
          <w:p>
            <w:pPr>
              <w:pStyle w:val="965"/>
              <w:rPr>
                <w:rFonts w:eastAsia="Arial Unicode MS"/>
                <w:sz w:val="20"/>
                <w:szCs w:val="20"/>
              </w:rPr>
            </w:pPr>
            <w:r>
              <w:rPr>
                <w:sz w:val="20"/>
                <w:szCs w:val="20"/>
              </w:rPr>
              <w:t xml:space="preserve">На основании предварительно представленного респондентом Письма в соответствии со сроками, установленными в Договоре на кассовое обслуживание в наличной иностранной валюте кредитной организации - респондента</w:t>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65"/>
              <w:jc w:val="center"/>
              <w:rPr>
                <w:b/>
                <w:sz w:val="20"/>
                <w:szCs w:val="20"/>
              </w:rPr>
            </w:pPr>
            <w:r>
              <w:rPr>
                <w:b/>
                <w:sz w:val="20"/>
                <w:szCs w:val="20"/>
              </w:rPr>
              <w:t xml:space="preserve">7.5.1.</w:t>
            </w:r>
            <w:r>
              <w:rPr>
                <w:b/>
                <w:sz w:val="20"/>
                <w:szCs w:val="20"/>
              </w:rPr>
            </w:r>
            <w:r>
              <w:rPr>
                <w:b/>
                <w:sz w:val="20"/>
                <w:szCs w:val="20"/>
              </w:rPr>
            </w:r>
          </w:p>
        </w:tc>
        <w:tc>
          <w:tcPr>
            <w:tcW w:w="3969" w:type="dxa"/>
            <w:vAlign w:val="top"/>
            <w:textDirection w:val="lrTb"/>
            <w:noWrap w:val="false"/>
          </w:tcPr>
          <w:p>
            <w:pPr>
              <w:pStyle w:val="965"/>
              <w:rPr>
                <w:b/>
                <w:sz w:val="20"/>
                <w:szCs w:val="20"/>
              </w:rPr>
            </w:pPr>
            <w:r>
              <w:rPr>
                <w:b/>
                <w:sz w:val="20"/>
                <w:szCs w:val="20"/>
              </w:rPr>
              <w:t xml:space="preserve">доллары США, евро</w:t>
            </w:r>
            <w:r>
              <w:rPr>
                <w:b/>
                <w:sz w:val="20"/>
                <w:szCs w:val="20"/>
              </w:rPr>
            </w:r>
            <w:r>
              <w:rPr>
                <w:b/>
                <w:sz w:val="20"/>
                <w:szCs w:val="20"/>
              </w:rPr>
            </w:r>
          </w:p>
        </w:tc>
        <w:tc>
          <w:tcPr>
            <w:tcW w:w="1985" w:type="dxa"/>
            <w:vAlign w:val="top"/>
            <w:textDirection w:val="lrTb"/>
            <w:noWrap w:val="false"/>
          </w:tcPr>
          <w:p>
            <w:pPr>
              <w:pStyle w:val="965"/>
              <w:jc w:val="center"/>
              <w:rPr>
                <w:sz w:val="20"/>
                <w:szCs w:val="20"/>
              </w:rPr>
            </w:pPr>
            <w:r>
              <w:rPr>
                <w:sz w:val="20"/>
                <w:szCs w:val="20"/>
              </w:rPr>
              <w:t xml:space="preserve">0,5% от суммы</w:t>
            </w:r>
            <w:r>
              <w:rPr>
                <w:sz w:val="20"/>
                <w:szCs w:val="20"/>
              </w:rPr>
            </w:r>
            <w:r>
              <w:rPr>
                <w:sz w:val="20"/>
                <w:szCs w:val="20"/>
              </w:rPr>
            </w:r>
          </w:p>
        </w:tc>
        <w:tc>
          <w:tcPr>
            <w:tcW w:w="3248"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65"/>
              <w:jc w:val="center"/>
              <w:rPr>
                <w:b/>
                <w:sz w:val="20"/>
                <w:szCs w:val="20"/>
              </w:rPr>
            </w:pPr>
            <w:r>
              <w:rPr>
                <w:b/>
                <w:sz w:val="20"/>
                <w:szCs w:val="20"/>
              </w:rPr>
              <w:t xml:space="preserve">7.5.2.</w:t>
            </w:r>
            <w:r>
              <w:rPr>
                <w:b/>
                <w:sz w:val="20"/>
                <w:szCs w:val="20"/>
              </w:rPr>
            </w:r>
            <w:r>
              <w:rPr>
                <w:b/>
                <w:sz w:val="20"/>
                <w:szCs w:val="20"/>
              </w:rPr>
            </w:r>
          </w:p>
        </w:tc>
        <w:tc>
          <w:tcPr>
            <w:tcW w:w="3969" w:type="dxa"/>
            <w:vAlign w:val="top"/>
            <w:textDirection w:val="lrTb"/>
            <w:noWrap w:val="false"/>
          </w:tcPr>
          <w:p>
            <w:pPr>
              <w:pStyle w:val="965"/>
              <w:rPr>
                <w:b/>
                <w:sz w:val="20"/>
                <w:szCs w:val="20"/>
              </w:rPr>
            </w:pPr>
            <w:r>
              <w:rPr>
                <w:b/>
                <w:sz w:val="20"/>
                <w:szCs w:val="20"/>
              </w:rPr>
              <w:t xml:space="preserve">другие виды иностранных валют</w:t>
            </w:r>
            <w:r>
              <w:rPr>
                <w:b/>
                <w:sz w:val="20"/>
                <w:szCs w:val="20"/>
              </w:rPr>
            </w:r>
            <w:r>
              <w:rPr>
                <w:b/>
                <w:sz w:val="20"/>
                <w:szCs w:val="20"/>
              </w:rPr>
            </w:r>
          </w:p>
        </w:tc>
        <w:tc>
          <w:tcPr>
            <w:tcW w:w="1985" w:type="dxa"/>
            <w:vAlign w:val="top"/>
            <w:textDirection w:val="lrTb"/>
            <w:noWrap w:val="false"/>
          </w:tcPr>
          <w:p>
            <w:pPr>
              <w:pStyle w:val="965"/>
              <w:jc w:val="center"/>
              <w:rPr>
                <w:sz w:val="20"/>
                <w:szCs w:val="20"/>
              </w:rPr>
            </w:pPr>
            <w:r>
              <w:rPr>
                <w:sz w:val="20"/>
                <w:szCs w:val="20"/>
              </w:rPr>
              <w:t xml:space="preserve">3,0% от суммы</w:t>
            </w:r>
            <w:r>
              <w:rPr>
                <w:sz w:val="20"/>
                <w:szCs w:val="20"/>
              </w:rPr>
            </w:r>
            <w:r>
              <w:rPr>
                <w:sz w:val="20"/>
                <w:szCs w:val="20"/>
              </w:rPr>
            </w:r>
          </w:p>
        </w:tc>
        <w:tc>
          <w:tcPr>
            <w:tcW w:w="3248"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65"/>
              <w:jc w:val="center"/>
              <w:rPr>
                <w:b/>
                <w:sz w:val="20"/>
                <w:szCs w:val="20"/>
              </w:rPr>
            </w:pPr>
            <w:r>
              <w:rPr>
                <w:b/>
                <w:sz w:val="20"/>
                <w:szCs w:val="20"/>
              </w:rPr>
              <w:t xml:space="preserve">7.6.</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965"/>
              <w:jc w:val="center"/>
              <w:rPr>
                <w:b/>
                <w:sz w:val="20"/>
                <w:szCs w:val="20"/>
              </w:rPr>
            </w:pPr>
            <w:r>
              <w:rPr>
                <w:b/>
                <w:sz w:val="20"/>
                <w:szCs w:val="20"/>
              </w:rPr>
              <w:t xml:space="preserve">Прием наличной иностранной валюты</w:t>
            </w:r>
            <w:r>
              <w:rPr>
                <w:b/>
                <w:sz w:val="20"/>
                <w:szCs w:val="20"/>
              </w:rPr>
            </w:r>
            <w:r>
              <w:rPr>
                <w:b/>
                <w:sz w:val="20"/>
                <w:szCs w:val="20"/>
              </w:rPr>
            </w:r>
          </w:p>
          <w:p>
            <w:pPr>
              <w:pStyle w:val="965"/>
              <w:jc w:val="center"/>
              <w:rPr>
                <w:b/>
                <w:sz w:val="20"/>
                <w:szCs w:val="20"/>
              </w:rPr>
            </w:pPr>
            <w:r>
              <w:rPr>
                <w:b/>
                <w:sz w:val="20"/>
                <w:szCs w:val="20"/>
              </w:rPr>
              <w:t xml:space="preserve">(за исключением монеты иностранного государства (группы иностранных государств))</w:t>
            </w:r>
            <w:r>
              <w:rPr>
                <w:b/>
                <w:sz w:val="20"/>
                <w:szCs w:val="20"/>
              </w:rPr>
            </w:r>
            <w:r>
              <w:rPr>
                <w:b/>
                <w:sz w:val="20"/>
                <w:szCs w:val="20"/>
              </w:rPr>
            </w:r>
          </w:p>
          <w:p>
            <w:pPr>
              <w:pStyle w:val="965"/>
              <w:jc w:val="center"/>
              <w:rPr>
                <w:b/>
                <w:sz w:val="20"/>
                <w:szCs w:val="20"/>
              </w:rPr>
            </w:pPr>
            <w:r>
              <w:rPr>
                <w:b/>
                <w:sz w:val="20"/>
                <w:szCs w:val="20"/>
              </w:rPr>
              <w:t xml:space="preserve">с зачислением на счет респондента, открытого в соответствующей валюте:</w:t>
            </w:r>
            <w:r>
              <w:rPr>
                <w:b/>
                <w:sz w:val="20"/>
                <w:szCs w:val="20"/>
              </w:rPr>
            </w:r>
            <w:r>
              <w:rPr>
                <w:b/>
                <w:sz w:val="20"/>
                <w:szCs w:val="20"/>
              </w:rPr>
            </w:r>
          </w:p>
        </w:tc>
        <w:tc>
          <w:tcPr>
            <w:tcBorders>
              <w:bottom w:val="single" w:color="000000" w:sz="4" w:space="0"/>
            </w:tcBorders>
            <w:tcW w:w="1985"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c>
          <w:tcPr>
            <w:tcBorders>
              <w:bottom w:val="single" w:color="000000" w:sz="4" w:space="0"/>
            </w:tcBorders>
            <w:tcW w:w="3248"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65"/>
              <w:jc w:val="center"/>
              <w:rPr>
                <w:b/>
                <w:sz w:val="20"/>
                <w:szCs w:val="20"/>
              </w:rPr>
            </w:pPr>
            <w:r>
              <w:rPr>
                <w:b/>
                <w:sz w:val="20"/>
                <w:szCs w:val="20"/>
              </w:rPr>
              <w:t xml:space="preserve">7.6.1.</w:t>
            </w:r>
            <w:r>
              <w:rPr>
                <w:b/>
                <w:sz w:val="20"/>
                <w:szCs w:val="20"/>
              </w:rPr>
            </w:r>
            <w:r>
              <w:rPr>
                <w:b/>
                <w:sz w:val="20"/>
                <w:szCs w:val="20"/>
              </w:rPr>
            </w:r>
          </w:p>
        </w:tc>
        <w:tc>
          <w:tcPr>
            <w:tcBorders>
              <w:bottom w:val="none" w:color="000000" w:sz="4" w:space="0"/>
            </w:tcBorders>
            <w:tcW w:w="3969" w:type="dxa"/>
            <w:vAlign w:val="top"/>
            <w:textDirection w:val="lrTb"/>
            <w:noWrap w:val="false"/>
          </w:tcPr>
          <w:p>
            <w:pPr>
              <w:pStyle w:val="965"/>
              <w:rPr>
                <w:b/>
                <w:sz w:val="20"/>
                <w:szCs w:val="20"/>
              </w:rPr>
            </w:pPr>
            <w:r>
              <w:rPr>
                <w:b/>
                <w:sz w:val="20"/>
                <w:szCs w:val="20"/>
              </w:rPr>
              <w:t xml:space="preserve">доллары США, евро</w:t>
            </w:r>
            <w:r>
              <w:rPr>
                <w:b/>
                <w:sz w:val="20"/>
                <w:szCs w:val="20"/>
              </w:rPr>
            </w:r>
            <w:r>
              <w:rPr>
                <w:b/>
                <w:sz w:val="20"/>
                <w:szCs w:val="20"/>
              </w:rPr>
            </w:r>
          </w:p>
        </w:tc>
        <w:tc>
          <w:tcPr>
            <w:tcBorders>
              <w:bottom w:val="none" w:color="000000" w:sz="4" w:space="0"/>
            </w:tcBorders>
            <w:tcW w:w="1985"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c>
          <w:tcPr>
            <w:tcBorders>
              <w:bottom w:val="none" w:color="000000" w:sz="4" w:space="0"/>
            </w:tcBorders>
            <w:tcW w:w="3248"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65"/>
              <w:jc w:val="center"/>
              <w:rPr>
                <w:b/>
                <w:sz w:val="20"/>
                <w:szCs w:val="20"/>
              </w:rPr>
            </w:pPr>
            <w:r>
              <w:rPr>
                <w:b/>
                <w:sz w:val="20"/>
                <w:szCs w:val="20"/>
              </w:rPr>
            </w:r>
            <w:r>
              <w:rPr>
                <w:b/>
                <w:sz w:val="20"/>
                <w:szCs w:val="20"/>
              </w:rPr>
            </w:r>
            <w:r>
              <w:rPr>
                <w:b/>
                <w:sz w:val="20"/>
                <w:szCs w:val="20"/>
              </w:rPr>
            </w:r>
          </w:p>
        </w:tc>
        <w:tc>
          <w:tcPr>
            <w:tcBorders>
              <w:top w:val="none" w:color="000000" w:sz="4" w:space="0"/>
              <w:bottom w:val="none" w:color="000000" w:sz="4" w:space="0"/>
            </w:tcBorders>
            <w:tcW w:w="3969" w:type="dxa"/>
            <w:vAlign w:val="top"/>
            <w:textDirection w:val="lrTb"/>
            <w:noWrap w:val="false"/>
          </w:tcPr>
          <w:p>
            <w:pPr>
              <w:pStyle w:val="965"/>
              <w:rPr>
                <w:b/>
                <w:sz w:val="20"/>
                <w:szCs w:val="20"/>
              </w:rPr>
            </w:pPr>
            <w:r>
              <w:rPr>
                <w:b/>
                <w:sz w:val="20"/>
                <w:szCs w:val="20"/>
              </w:rPr>
              <w:t xml:space="preserve">банкноты в упаковке банка-эмитента</w:t>
            </w:r>
            <w:r>
              <w:rPr>
                <w:b/>
                <w:sz w:val="20"/>
                <w:szCs w:val="20"/>
              </w:rPr>
            </w:r>
            <w:r>
              <w:rPr>
                <w:b/>
                <w:sz w:val="20"/>
                <w:szCs w:val="20"/>
              </w:rPr>
            </w:r>
          </w:p>
        </w:tc>
        <w:tc>
          <w:tcPr>
            <w:tcBorders>
              <w:top w:val="none" w:color="000000" w:sz="4" w:space="0"/>
              <w:bottom w:val="none" w:color="000000" w:sz="4" w:space="0"/>
            </w:tcBorders>
            <w:tcW w:w="1985" w:type="dxa"/>
            <w:vAlign w:val="top"/>
            <w:textDirection w:val="lrTb"/>
            <w:noWrap w:val="false"/>
          </w:tcPr>
          <w:p>
            <w:pPr>
              <w:pStyle w:val="965"/>
              <w:jc w:val="center"/>
              <w:rPr>
                <w:sz w:val="20"/>
                <w:szCs w:val="20"/>
              </w:rPr>
            </w:pPr>
            <w:r>
              <w:rPr>
                <w:sz w:val="20"/>
                <w:szCs w:val="20"/>
              </w:rPr>
              <w:t xml:space="preserve">0,5% от суммы</w:t>
            </w:r>
            <w:r>
              <w:rPr>
                <w:sz w:val="20"/>
                <w:szCs w:val="20"/>
              </w:rPr>
            </w:r>
            <w:r>
              <w:rPr>
                <w:sz w:val="20"/>
                <w:szCs w:val="20"/>
              </w:rPr>
            </w:r>
          </w:p>
        </w:tc>
        <w:tc>
          <w:tcPr>
            <w:tcBorders>
              <w:top w:val="none" w:color="000000" w:sz="4" w:space="0"/>
              <w:bottom w:val="none" w:color="000000" w:sz="4" w:space="0"/>
            </w:tcBorders>
            <w:tcW w:w="3248"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65"/>
              <w:jc w:val="center"/>
              <w:rPr>
                <w:b/>
                <w:sz w:val="20"/>
                <w:szCs w:val="20"/>
              </w:rPr>
            </w:pPr>
            <w:r>
              <w:rPr>
                <w:b/>
                <w:sz w:val="20"/>
                <w:szCs w:val="20"/>
              </w:rPr>
            </w:r>
            <w:r>
              <w:rPr>
                <w:b/>
                <w:sz w:val="20"/>
                <w:szCs w:val="20"/>
              </w:rPr>
            </w:r>
            <w:r>
              <w:rPr>
                <w:b/>
                <w:sz w:val="20"/>
                <w:szCs w:val="20"/>
              </w:rPr>
            </w:r>
          </w:p>
        </w:tc>
        <w:tc>
          <w:tcPr>
            <w:tcBorders>
              <w:top w:val="none" w:color="000000" w:sz="4" w:space="0"/>
              <w:bottom w:val="none" w:color="000000" w:sz="4" w:space="0"/>
            </w:tcBorders>
            <w:tcW w:w="3969" w:type="dxa"/>
            <w:vAlign w:val="top"/>
            <w:textDirection w:val="lrTb"/>
            <w:noWrap w:val="false"/>
          </w:tcPr>
          <w:p>
            <w:pPr>
              <w:pStyle w:val="965"/>
              <w:rPr>
                <w:b/>
                <w:sz w:val="20"/>
                <w:szCs w:val="20"/>
              </w:rPr>
            </w:pPr>
            <w:r>
              <w:rPr>
                <w:b/>
                <w:sz w:val="20"/>
                <w:szCs w:val="20"/>
              </w:rPr>
              <w:t xml:space="preserve">банкноты, бывшие в употреблении</w:t>
            </w:r>
            <w:r>
              <w:rPr>
                <w:b/>
                <w:sz w:val="20"/>
                <w:szCs w:val="20"/>
              </w:rPr>
            </w:r>
            <w:r>
              <w:rPr>
                <w:b/>
                <w:sz w:val="20"/>
                <w:szCs w:val="20"/>
              </w:rPr>
            </w:r>
          </w:p>
          <w:p>
            <w:pPr>
              <w:pStyle w:val="965"/>
              <w:rPr>
                <w:b/>
                <w:sz w:val="20"/>
                <w:szCs w:val="20"/>
              </w:rPr>
            </w:pPr>
            <w:r>
              <w:rPr>
                <w:b/>
                <w:sz w:val="20"/>
                <w:szCs w:val="20"/>
              </w:rPr>
              <w:t xml:space="preserve">(без повреждений и дефектов) </w:t>
            </w:r>
            <w:r>
              <w:rPr>
                <w:b/>
                <w:sz w:val="20"/>
                <w:szCs w:val="20"/>
              </w:rPr>
            </w:r>
            <w:r>
              <w:rPr>
                <w:b/>
                <w:sz w:val="20"/>
                <w:szCs w:val="20"/>
              </w:rPr>
            </w:r>
          </w:p>
        </w:tc>
        <w:tc>
          <w:tcPr>
            <w:tcBorders>
              <w:top w:val="none" w:color="000000" w:sz="4" w:space="0"/>
              <w:bottom w:val="none" w:color="000000" w:sz="4" w:space="0"/>
            </w:tcBorders>
            <w:tcW w:w="1985" w:type="dxa"/>
            <w:vAlign w:val="top"/>
            <w:textDirection w:val="lrTb"/>
            <w:noWrap w:val="false"/>
          </w:tcPr>
          <w:p>
            <w:pPr>
              <w:pStyle w:val="965"/>
              <w:jc w:val="center"/>
              <w:rPr>
                <w:sz w:val="20"/>
                <w:szCs w:val="20"/>
              </w:rPr>
            </w:pPr>
            <w:r>
              <w:rPr>
                <w:sz w:val="20"/>
                <w:szCs w:val="20"/>
              </w:rPr>
              <w:t xml:space="preserve">1% от суммы</w:t>
            </w:r>
            <w:r>
              <w:rPr>
                <w:sz w:val="20"/>
                <w:szCs w:val="20"/>
              </w:rPr>
            </w:r>
            <w:r>
              <w:rPr>
                <w:sz w:val="20"/>
                <w:szCs w:val="20"/>
              </w:rPr>
            </w:r>
          </w:p>
        </w:tc>
        <w:tc>
          <w:tcPr>
            <w:tcBorders>
              <w:top w:val="none" w:color="000000" w:sz="4" w:space="0"/>
              <w:bottom w:val="none" w:color="000000" w:sz="4" w:space="0"/>
            </w:tcBorders>
            <w:tcW w:w="3248"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965"/>
              <w:jc w:val="center"/>
              <w:rPr>
                <w:b/>
                <w:sz w:val="20"/>
                <w:szCs w:val="20"/>
              </w:rPr>
            </w:pPr>
            <w:r>
              <w:rPr>
                <w:b/>
                <w:sz w:val="20"/>
                <w:szCs w:val="20"/>
              </w:rPr>
            </w:r>
            <w:r>
              <w:rPr>
                <w:b/>
                <w:sz w:val="20"/>
                <w:szCs w:val="20"/>
              </w:rPr>
            </w:r>
            <w:r>
              <w:rPr>
                <w:b/>
                <w:sz w:val="20"/>
                <w:szCs w:val="20"/>
              </w:rPr>
            </w:r>
          </w:p>
        </w:tc>
        <w:tc>
          <w:tcPr>
            <w:tcBorders>
              <w:top w:val="none" w:color="000000" w:sz="4" w:space="0"/>
            </w:tcBorders>
            <w:tcW w:w="3969" w:type="dxa"/>
            <w:vAlign w:val="top"/>
            <w:textDirection w:val="lrTb"/>
            <w:noWrap w:val="false"/>
          </w:tcPr>
          <w:p>
            <w:pPr>
              <w:pStyle w:val="965"/>
              <w:rPr>
                <w:b/>
                <w:sz w:val="20"/>
                <w:szCs w:val="20"/>
              </w:rPr>
            </w:pPr>
            <w:r>
              <w:rPr>
                <w:b/>
                <w:sz w:val="20"/>
                <w:szCs w:val="20"/>
              </w:rPr>
              <w:t xml:space="preserve">банкноты поврежденные </w:t>
            </w:r>
            <w:r>
              <w:rPr>
                <w:b/>
                <w:sz w:val="20"/>
                <w:szCs w:val="20"/>
              </w:rPr>
            </w:r>
            <w:r>
              <w:rPr>
                <w:b/>
                <w:sz w:val="20"/>
                <w:szCs w:val="20"/>
              </w:rPr>
            </w:r>
          </w:p>
        </w:tc>
        <w:tc>
          <w:tcPr>
            <w:tcBorders>
              <w:top w:val="none" w:color="000000" w:sz="4" w:space="0"/>
            </w:tcBorders>
            <w:tcW w:w="1985" w:type="dxa"/>
            <w:vAlign w:val="top"/>
            <w:textDirection w:val="lrTb"/>
            <w:noWrap w:val="false"/>
          </w:tcPr>
          <w:p>
            <w:pPr>
              <w:pStyle w:val="965"/>
              <w:jc w:val="center"/>
              <w:rPr>
                <w:sz w:val="20"/>
                <w:szCs w:val="20"/>
              </w:rPr>
            </w:pPr>
            <w:r>
              <w:rPr>
                <w:sz w:val="20"/>
                <w:szCs w:val="20"/>
              </w:rPr>
              <w:t xml:space="preserve">Не подлежат приему</w:t>
            </w:r>
            <w:r>
              <w:rPr>
                <w:sz w:val="20"/>
                <w:szCs w:val="20"/>
              </w:rPr>
            </w:r>
            <w:r>
              <w:rPr>
                <w:sz w:val="20"/>
                <w:szCs w:val="20"/>
              </w:rPr>
            </w:r>
          </w:p>
        </w:tc>
        <w:tc>
          <w:tcPr>
            <w:tcBorders>
              <w:top w:val="none" w:color="000000" w:sz="4" w:space="0"/>
            </w:tcBorders>
            <w:tcW w:w="3248"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65"/>
              <w:jc w:val="center"/>
              <w:rPr>
                <w:b/>
                <w:sz w:val="20"/>
                <w:szCs w:val="20"/>
              </w:rPr>
            </w:pPr>
            <w:r>
              <w:rPr>
                <w:b/>
                <w:sz w:val="20"/>
                <w:szCs w:val="20"/>
              </w:rPr>
              <w:t xml:space="preserve">7.6.2.</w:t>
            </w:r>
            <w:r>
              <w:rPr>
                <w:b/>
                <w:sz w:val="20"/>
                <w:szCs w:val="20"/>
              </w:rPr>
            </w:r>
            <w:r>
              <w:rPr>
                <w:b/>
                <w:sz w:val="20"/>
                <w:szCs w:val="20"/>
              </w:rPr>
            </w:r>
          </w:p>
        </w:tc>
        <w:tc>
          <w:tcPr>
            <w:tcW w:w="3969" w:type="dxa"/>
            <w:vAlign w:val="top"/>
            <w:textDirection w:val="lrTb"/>
            <w:noWrap w:val="false"/>
          </w:tcPr>
          <w:p>
            <w:pPr>
              <w:pStyle w:val="965"/>
              <w:rPr>
                <w:b/>
                <w:sz w:val="20"/>
                <w:szCs w:val="20"/>
              </w:rPr>
            </w:pPr>
            <w:r>
              <w:rPr>
                <w:b/>
                <w:sz w:val="20"/>
                <w:szCs w:val="20"/>
              </w:rPr>
              <w:t xml:space="preserve">другие виды иностранных валют</w:t>
            </w:r>
            <w:r>
              <w:rPr>
                <w:b/>
                <w:sz w:val="20"/>
                <w:szCs w:val="20"/>
              </w:rPr>
            </w:r>
            <w:r>
              <w:rPr>
                <w:b/>
                <w:sz w:val="20"/>
                <w:szCs w:val="20"/>
              </w:rPr>
            </w:r>
          </w:p>
        </w:tc>
        <w:tc>
          <w:tcPr>
            <w:tcW w:w="1985" w:type="dxa"/>
            <w:vAlign w:val="top"/>
            <w:textDirection w:val="lrTb"/>
            <w:noWrap w:val="false"/>
          </w:tcPr>
          <w:p>
            <w:pPr>
              <w:pStyle w:val="965"/>
              <w:jc w:val="center"/>
              <w:rPr>
                <w:sz w:val="20"/>
                <w:szCs w:val="20"/>
              </w:rPr>
            </w:pPr>
            <w:r>
              <w:rPr>
                <w:sz w:val="20"/>
                <w:szCs w:val="20"/>
              </w:rPr>
              <w:t xml:space="preserve">3,0% от суммы</w:t>
            </w:r>
            <w:r>
              <w:rPr>
                <w:sz w:val="20"/>
                <w:szCs w:val="20"/>
              </w:rPr>
            </w:r>
            <w:r>
              <w:rPr>
                <w:sz w:val="20"/>
                <w:szCs w:val="20"/>
              </w:rPr>
            </w:r>
          </w:p>
        </w:tc>
        <w:tc>
          <w:tcPr>
            <w:tcW w:w="3248"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65"/>
              <w:jc w:val="center"/>
              <w:rPr>
                <w:b/>
                <w:sz w:val="20"/>
                <w:szCs w:val="20"/>
              </w:rPr>
            </w:pPr>
            <w:r>
              <w:rPr>
                <w:b/>
                <w:sz w:val="20"/>
                <w:szCs w:val="20"/>
              </w:rPr>
              <w:t xml:space="preserve">7.7.</w:t>
            </w:r>
            <w:r>
              <w:rPr>
                <w:b/>
                <w:sz w:val="20"/>
                <w:szCs w:val="20"/>
              </w:rPr>
            </w:r>
            <w:r>
              <w:rPr>
                <w:b/>
                <w:sz w:val="20"/>
                <w:szCs w:val="20"/>
              </w:rPr>
            </w:r>
          </w:p>
        </w:tc>
        <w:tc>
          <w:tcPr>
            <w:tcW w:w="3969" w:type="dxa"/>
            <w:vAlign w:val="top"/>
            <w:textDirection w:val="lrTb"/>
            <w:noWrap w:val="false"/>
          </w:tcPr>
          <w:p>
            <w:pPr>
              <w:pStyle w:val="965"/>
              <w:rPr>
                <w:b/>
                <w:sz w:val="20"/>
                <w:szCs w:val="20"/>
              </w:rPr>
            </w:pPr>
            <w:r>
              <w:rPr>
                <w:b/>
                <w:sz w:val="20"/>
                <w:szCs w:val="20"/>
              </w:rPr>
              <w:t xml:space="preserve">Покупка/продажа Банком наличной иностранной валюты</w:t>
            </w:r>
            <w:r>
              <w:rPr>
                <w:b/>
                <w:sz w:val="20"/>
                <w:szCs w:val="20"/>
              </w:rPr>
            </w:r>
            <w:r>
              <w:rPr>
                <w:b/>
                <w:sz w:val="20"/>
                <w:szCs w:val="20"/>
              </w:rPr>
            </w:r>
          </w:p>
        </w:tc>
        <w:tc>
          <w:tcPr>
            <w:tcW w:w="1985" w:type="dxa"/>
            <w:vAlign w:val="top"/>
            <w:textDirection w:val="lrTb"/>
            <w:noWrap w:val="false"/>
          </w:tcPr>
          <w:p>
            <w:pPr>
              <w:pStyle w:val="965"/>
              <w:jc w:val="center"/>
              <w:rPr>
                <w:sz w:val="20"/>
                <w:szCs w:val="20"/>
              </w:rPr>
            </w:pPr>
            <w:r>
              <w:rPr>
                <w:sz w:val="20"/>
                <w:szCs w:val="20"/>
              </w:rPr>
              <w:t xml:space="preserve">Тариф на услугу определяется существенными условиями банкнотной сделки в рамках Соглашения об общих условиях проведе</w:t>
            </w:r>
            <w:r>
              <w:rPr>
                <w:sz w:val="20"/>
                <w:szCs w:val="20"/>
              </w:rPr>
              <w:t xml:space="preserve">ния банкнотных сделок между </w:t>
            </w:r>
            <w:r>
              <w:rPr>
                <w:sz w:val="20"/>
                <w:szCs w:val="20"/>
              </w:rPr>
              <w:t xml:space="preserve">АО</w:t>
            </w:r>
            <w:r>
              <w:rPr>
                <w:sz w:val="20"/>
                <w:szCs w:val="20"/>
              </w:rPr>
            </w:r>
            <w:r>
              <w:rPr>
                <w:sz w:val="20"/>
                <w:szCs w:val="20"/>
              </w:rPr>
            </w:r>
          </w:p>
          <w:p>
            <w:pPr>
              <w:pStyle w:val="965"/>
              <w:jc w:val="center"/>
              <w:rPr>
                <w:sz w:val="20"/>
                <w:szCs w:val="20"/>
              </w:rPr>
            </w:pPr>
            <w:r>
              <w:rPr>
                <w:sz w:val="20"/>
                <w:szCs w:val="20"/>
              </w:rPr>
              <w:t xml:space="preserve">«Россельхозбанк» и другой кредитной организацией</w:t>
            </w:r>
            <w:r>
              <w:rPr>
                <w:sz w:val="20"/>
                <w:szCs w:val="20"/>
              </w:rPr>
            </w:r>
            <w:r>
              <w:rPr>
                <w:sz w:val="20"/>
                <w:szCs w:val="20"/>
              </w:rPr>
            </w:r>
          </w:p>
          <w:p>
            <w:pPr>
              <w:pStyle w:val="965"/>
              <w:jc w:val="center"/>
              <w:rPr>
                <w:sz w:val="20"/>
                <w:szCs w:val="20"/>
              </w:rPr>
            </w:pPr>
            <w:r>
              <w:rPr>
                <w:sz w:val="20"/>
                <w:szCs w:val="20"/>
              </w:rPr>
            </w:r>
            <w:r>
              <w:rPr>
                <w:sz w:val="20"/>
                <w:szCs w:val="20"/>
              </w:rPr>
            </w:r>
            <w:r>
              <w:rPr>
                <w:sz w:val="20"/>
                <w:szCs w:val="20"/>
              </w:rPr>
            </w:r>
          </w:p>
        </w:tc>
        <w:tc>
          <w:tcPr>
            <w:tcW w:w="3248" w:type="dxa"/>
            <w:vAlign w:val="top"/>
            <w:textDirection w:val="lrTb"/>
            <w:noWrap w:val="false"/>
          </w:tcPr>
          <w:p>
            <w:pPr>
              <w:pStyle w:val="965"/>
              <w:rPr>
                <w:sz w:val="20"/>
                <w:szCs w:val="20"/>
              </w:rPr>
            </w:pPr>
            <w:r>
              <w:rPr>
                <w:sz w:val="20"/>
                <w:szCs w:val="20"/>
              </w:rPr>
              <w:t xml:space="preserve">Данная услуга оказывается при наличии заключенного Соглашения об общих условиях проведения банкнотных сделок между </w:t>
            </w:r>
            <w:r>
              <w:rPr>
                <w:sz w:val="20"/>
                <w:szCs w:val="20"/>
              </w:rPr>
              <w:t xml:space="preserve">АО</w:t>
            </w:r>
            <w:r>
              <w:rPr>
                <w:sz w:val="20"/>
                <w:szCs w:val="20"/>
              </w:rPr>
              <w:t xml:space="preserve"> «Россельхозбанк» и другой кредитной организацией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65"/>
              <w:jc w:val="center"/>
              <w:rPr>
                <w:b/>
                <w:sz w:val="20"/>
                <w:szCs w:val="20"/>
              </w:rPr>
            </w:pPr>
            <w:r>
              <w:rPr>
                <w:b/>
                <w:sz w:val="20"/>
                <w:szCs w:val="20"/>
              </w:rPr>
              <w:t xml:space="preserve">7.8</w:t>
            </w:r>
            <w:r>
              <w:rPr>
                <w:b/>
                <w:sz w:val="20"/>
                <w:szCs w:val="20"/>
              </w:rPr>
            </w:r>
            <w:r>
              <w:rPr>
                <w:b/>
                <w:sz w:val="20"/>
                <w:szCs w:val="20"/>
              </w:rPr>
            </w:r>
          </w:p>
        </w:tc>
        <w:tc>
          <w:tcPr>
            <w:tcW w:w="3969" w:type="dxa"/>
            <w:vAlign w:val="top"/>
            <w:textDirection w:val="lrTb"/>
            <w:noWrap w:val="false"/>
          </w:tcPr>
          <w:p>
            <w:pPr>
              <w:pStyle w:val="965"/>
              <w:tabs>
                <w:tab w:val="left" w:pos="2429" w:leader="none"/>
              </w:tabs>
              <w:rPr>
                <w:b/>
                <w:sz w:val="20"/>
                <w:szCs w:val="20"/>
              </w:rPr>
            </w:pPr>
            <w:r>
              <w:rPr>
                <w:b/>
                <w:sz w:val="20"/>
                <w:szCs w:val="20"/>
              </w:rPr>
              <w:t xml:space="preserve">Операции с наличной валютой в рамках сделок, заключенных на Монетной площадке Банка России</w:t>
            </w:r>
            <w:r>
              <w:rPr>
                <w:b/>
                <w:sz w:val="20"/>
                <w:szCs w:val="20"/>
              </w:rPr>
            </w:r>
            <w:r>
              <w:rPr>
                <w:b/>
                <w:sz w:val="20"/>
                <w:szCs w:val="20"/>
              </w:rPr>
            </w:r>
          </w:p>
        </w:tc>
        <w:tc>
          <w:tcPr>
            <w:tcW w:w="1985"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c>
          <w:tcPr>
            <w:tcW w:w="3248"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65"/>
              <w:jc w:val="center"/>
              <w:rPr>
                <w:b/>
                <w:sz w:val="20"/>
                <w:szCs w:val="20"/>
              </w:rPr>
            </w:pPr>
            <w:r>
              <w:rPr>
                <w:b/>
                <w:sz w:val="20"/>
                <w:szCs w:val="20"/>
              </w:rPr>
              <w:t xml:space="preserve">7.8.1</w:t>
            </w:r>
            <w:r>
              <w:rPr>
                <w:b/>
                <w:sz w:val="20"/>
                <w:szCs w:val="20"/>
              </w:rPr>
            </w:r>
            <w:r>
              <w:rPr>
                <w:b/>
                <w:sz w:val="20"/>
                <w:szCs w:val="20"/>
              </w:rPr>
            </w:r>
          </w:p>
        </w:tc>
        <w:tc>
          <w:tcPr>
            <w:tcW w:w="3969" w:type="dxa"/>
            <w:vAlign w:val="top"/>
            <w:textDirection w:val="lrTb"/>
            <w:noWrap w:val="false"/>
          </w:tcPr>
          <w:p>
            <w:pPr>
              <w:pStyle w:val="965"/>
              <w:rPr>
                <w:b/>
                <w:sz w:val="20"/>
                <w:szCs w:val="20"/>
              </w:rPr>
            </w:pPr>
            <w:r>
              <w:rPr>
                <w:b/>
                <w:sz w:val="20"/>
                <w:szCs w:val="20"/>
              </w:rPr>
              <w:t xml:space="preserve">Выдача монеты Банка России в рамках сделок, заключенных на Монетной площадке Банка России</w:t>
            </w:r>
            <w:r>
              <w:rPr>
                <w:b/>
                <w:sz w:val="20"/>
                <w:szCs w:val="20"/>
              </w:rPr>
            </w:r>
            <w:r>
              <w:rPr>
                <w:b/>
                <w:sz w:val="20"/>
                <w:szCs w:val="20"/>
              </w:rPr>
            </w:r>
          </w:p>
        </w:tc>
        <w:tc>
          <w:tcPr>
            <w:tcW w:w="1985" w:type="dxa"/>
            <w:vAlign w:val="top"/>
            <w:textDirection w:val="lrTb"/>
            <w:noWrap w:val="false"/>
          </w:tcPr>
          <w:p>
            <w:pPr>
              <w:pStyle w:val="965"/>
              <w:jc w:val="center"/>
              <w:rPr>
                <w:sz w:val="20"/>
                <w:szCs w:val="20"/>
              </w:rPr>
            </w:pPr>
            <w:r>
              <w:rPr>
                <w:sz w:val="20"/>
                <w:szCs w:val="20"/>
              </w:rPr>
              <w:t xml:space="preserve">270 руб.</w:t>
            </w:r>
            <w:r>
              <w:rPr>
                <w:sz w:val="20"/>
                <w:szCs w:val="20"/>
              </w:rPr>
            </w:r>
            <w:r>
              <w:rPr>
                <w:sz w:val="20"/>
                <w:szCs w:val="20"/>
              </w:rPr>
            </w:r>
          </w:p>
        </w:tc>
        <w:tc>
          <w:tcPr>
            <w:tcW w:w="3248" w:type="dxa"/>
            <w:vAlign w:val="top"/>
            <w:textDirection w:val="lrTb"/>
            <w:noWrap w:val="false"/>
          </w:tcPr>
          <w:p>
            <w:pPr>
              <w:pStyle w:val="965"/>
              <w:rPr>
                <w:sz w:val="20"/>
                <w:szCs w:val="20"/>
              </w:rPr>
            </w:pPr>
            <w:r>
              <w:rPr>
                <w:sz w:val="20"/>
                <w:szCs w:val="20"/>
              </w:rPr>
              <w:t xml:space="preserve">Услуга предоставляется при наличии заключенного с АО «Россельхозбанк» Договора на получение (сдачу) монеты Банка России в рамках сделок, </w:t>
            </w:r>
            <w:r>
              <w:rPr>
                <w:sz w:val="20"/>
                <w:szCs w:val="20"/>
              </w:rPr>
            </w:r>
            <w:r>
              <w:rPr>
                <w:sz w:val="20"/>
                <w:szCs w:val="20"/>
              </w:rPr>
            </w:r>
          </w:p>
          <w:p>
            <w:pPr>
              <w:pStyle w:val="965"/>
              <w:rPr>
                <w:sz w:val="20"/>
                <w:szCs w:val="20"/>
              </w:rPr>
            </w:pPr>
            <w:r>
              <w:rPr>
                <w:sz w:val="20"/>
                <w:szCs w:val="20"/>
              </w:rPr>
              <w:t xml:space="preserve">согласованных на Монетной площадке Банка России.</w:t>
            </w:r>
            <w:r>
              <w:rPr>
                <w:sz w:val="20"/>
                <w:szCs w:val="20"/>
              </w:rPr>
            </w:r>
            <w:r>
              <w:rPr>
                <w:sz w:val="20"/>
                <w:szCs w:val="20"/>
              </w:rPr>
            </w:r>
          </w:p>
          <w:p>
            <w:pPr>
              <w:pStyle w:val="965"/>
              <w:rPr>
                <w:sz w:val="20"/>
                <w:szCs w:val="20"/>
              </w:rPr>
            </w:pPr>
            <w:r>
              <w:rPr>
                <w:sz w:val="20"/>
                <w:szCs w:val="20"/>
              </w:rPr>
              <w:t xml:space="preserve">Комиссия указана за одну сделку, взимается в дату, указанную в Заявке на получение монеты Банка России.</w:t>
            </w:r>
            <w:r>
              <w:rPr>
                <w:sz w:val="20"/>
                <w:szCs w:val="20"/>
              </w:rPr>
            </w:r>
            <w:r>
              <w:rPr>
                <w:sz w:val="20"/>
                <w:szCs w:val="20"/>
              </w:rPr>
            </w:r>
          </w:p>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65"/>
              <w:jc w:val="center"/>
              <w:rPr>
                <w:b/>
                <w:sz w:val="20"/>
                <w:szCs w:val="20"/>
              </w:rPr>
            </w:pPr>
            <w:r>
              <w:rPr>
                <w:b/>
                <w:sz w:val="20"/>
                <w:szCs w:val="20"/>
              </w:rPr>
              <w:t xml:space="preserve">7.8.2</w:t>
            </w:r>
            <w:r>
              <w:rPr>
                <w:b/>
                <w:sz w:val="20"/>
                <w:szCs w:val="20"/>
              </w:rPr>
            </w:r>
            <w:r>
              <w:rPr>
                <w:b/>
                <w:sz w:val="20"/>
                <w:szCs w:val="20"/>
              </w:rPr>
            </w:r>
          </w:p>
        </w:tc>
        <w:tc>
          <w:tcPr>
            <w:tcW w:w="3969" w:type="dxa"/>
            <w:vAlign w:val="top"/>
            <w:textDirection w:val="lrTb"/>
            <w:noWrap w:val="false"/>
          </w:tcPr>
          <w:p>
            <w:pPr>
              <w:pStyle w:val="965"/>
              <w:rPr>
                <w:b/>
                <w:sz w:val="20"/>
                <w:szCs w:val="20"/>
              </w:rPr>
            </w:pPr>
            <w:r>
              <w:rPr>
                <w:b/>
                <w:sz w:val="20"/>
                <w:szCs w:val="20"/>
              </w:rPr>
              <w:t xml:space="preserve">Размен банкнот на монеты Банка России в рамках сделок, заключенных на Монетной площадке Банка России</w:t>
            </w:r>
            <w:r>
              <w:rPr>
                <w:b/>
                <w:sz w:val="20"/>
                <w:szCs w:val="20"/>
              </w:rPr>
            </w:r>
            <w:r>
              <w:rPr>
                <w:b/>
                <w:sz w:val="20"/>
                <w:szCs w:val="20"/>
              </w:rPr>
            </w:r>
          </w:p>
        </w:tc>
        <w:tc>
          <w:tcPr>
            <w:tcW w:w="1985" w:type="dxa"/>
            <w:vAlign w:val="top"/>
            <w:textDirection w:val="lrTb"/>
            <w:noWrap w:val="false"/>
          </w:tcPr>
          <w:p>
            <w:pPr>
              <w:pStyle w:val="965"/>
              <w:jc w:val="center"/>
              <w:rPr>
                <w:sz w:val="20"/>
                <w:szCs w:val="20"/>
              </w:rPr>
            </w:pPr>
            <w:r>
              <w:rPr>
                <w:sz w:val="20"/>
                <w:szCs w:val="20"/>
              </w:rPr>
              <w:t xml:space="preserve">270 руб.</w:t>
            </w:r>
            <w:r>
              <w:rPr>
                <w:sz w:val="20"/>
                <w:szCs w:val="20"/>
              </w:rPr>
            </w:r>
            <w:r>
              <w:rPr>
                <w:sz w:val="20"/>
                <w:szCs w:val="20"/>
              </w:rPr>
            </w:r>
          </w:p>
        </w:tc>
        <w:tc>
          <w:tcPr>
            <w:tcW w:w="3248" w:type="dxa"/>
            <w:vAlign w:val="top"/>
            <w:textDirection w:val="lrTb"/>
            <w:noWrap w:val="false"/>
          </w:tcPr>
          <w:p>
            <w:pPr>
              <w:pStyle w:val="965"/>
              <w:rPr>
                <w:sz w:val="20"/>
                <w:szCs w:val="20"/>
              </w:rPr>
            </w:pPr>
            <w:r>
              <w:rPr>
                <w:sz w:val="20"/>
                <w:szCs w:val="20"/>
              </w:rPr>
              <w:t xml:space="preserve">Услуга предоставляется при наличии заключенного с АО «Россельхозбанк» Договора на получение (сдачу) монеты Банка России в рамках сделок, </w:t>
            </w:r>
            <w:r>
              <w:rPr>
                <w:sz w:val="20"/>
                <w:szCs w:val="20"/>
              </w:rPr>
            </w:r>
            <w:r>
              <w:rPr>
                <w:sz w:val="20"/>
                <w:szCs w:val="20"/>
              </w:rPr>
            </w:r>
          </w:p>
          <w:p>
            <w:pPr>
              <w:pStyle w:val="965"/>
              <w:rPr>
                <w:sz w:val="20"/>
                <w:szCs w:val="20"/>
              </w:rPr>
            </w:pPr>
            <w:r>
              <w:rPr>
                <w:sz w:val="20"/>
                <w:szCs w:val="20"/>
              </w:rPr>
              <w:t xml:space="preserve">согласованных на Монетной площадке Банка России. Комиссия указана за одну сделку, взимается в дату, указанную в Заявке о размене банкнот Банка России на монету Банка России.</w:t>
            </w:r>
            <w:r>
              <w:rPr>
                <w:sz w:val="20"/>
                <w:szCs w:val="20"/>
              </w:rPr>
            </w:r>
            <w:r>
              <w:rPr>
                <w:sz w:val="20"/>
                <w:szCs w:val="20"/>
              </w:rPr>
            </w:r>
          </w:p>
        </w:tc>
      </w:tr>
    </w:tbl>
    <w:p>
      <w:pPr>
        <w:pStyle w:val="965"/>
      </w:pPr>
      <w:r/>
      <w:r/>
    </w:p>
    <w:p>
      <w:pPr>
        <w:pStyle w:val="969"/>
      </w:pPr>
      <w:r/>
      <w:bookmarkStart w:id="9" w:name="_Toc497902225"/>
      <w:r>
        <w:t xml:space="preserve">8. Операции с ценными бумагами</w:t>
      </w:r>
      <w:bookmarkEnd w:id="9"/>
      <w:r/>
      <w:r/>
    </w:p>
    <w:p>
      <w:pPr>
        <w:pStyle w:val="965"/>
      </w:pPr>
      <w:r/>
      <w:r/>
    </w:p>
    <w:tbl>
      <w:tblPr>
        <w:tblW w:w="1005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2"/>
          <w:tblHeader/>
        </w:trPr>
        <w:tc>
          <w:tcPr>
            <w:tcW w:w="850" w:type="dxa"/>
            <w:vAlign w:val="top"/>
            <w:textDirection w:val="lrTb"/>
            <w:noWrap w:val="false"/>
          </w:tcPr>
          <w:p>
            <w:pPr>
              <w:pStyle w:val="965"/>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965"/>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965"/>
              <w:jc w:val="center"/>
              <w:rPr>
                <w:b/>
                <w:sz w:val="20"/>
                <w:szCs w:val="20"/>
              </w:rPr>
            </w:pPr>
            <w:r>
              <w:rPr>
                <w:b/>
                <w:sz w:val="20"/>
                <w:szCs w:val="20"/>
              </w:rPr>
              <w:t xml:space="preserve">Тариф</w:t>
            </w:r>
            <w:r>
              <w:rPr>
                <w:b/>
                <w:sz w:val="20"/>
                <w:szCs w:val="20"/>
              </w:rPr>
            </w:r>
            <w:r>
              <w:rPr>
                <w:b/>
                <w:sz w:val="20"/>
                <w:szCs w:val="20"/>
              </w:rPr>
            </w:r>
          </w:p>
        </w:tc>
        <w:tc>
          <w:tcPr>
            <w:tcW w:w="3248" w:type="dxa"/>
            <w:vAlign w:val="top"/>
            <w:textDirection w:val="lrTb"/>
            <w:noWrap w:val="false"/>
          </w:tcPr>
          <w:p>
            <w:pPr>
              <w:pStyle w:val="96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965"/>
              <w:jc w:val="center"/>
              <w:rPr>
                <w:b/>
                <w:sz w:val="20"/>
                <w:szCs w:val="20"/>
              </w:rPr>
            </w:pPr>
            <w:r>
              <w:rPr>
                <w:b/>
                <w:sz w:val="20"/>
                <w:szCs w:val="20"/>
              </w:rPr>
              <w:t xml:space="preserve">8.1.</w:t>
            </w:r>
            <w:r>
              <w:rPr>
                <w:b/>
                <w:sz w:val="20"/>
                <w:szCs w:val="20"/>
              </w:rPr>
            </w:r>
            <w:r>
              <w:rPr>
                <w:b/>
                <w:sz w:val="20"/>
                <w:szCs w:val="20"/>
              </w:rPr>
            </w:r>
          </w:p>
        </w:tc>
        <w:tc>
          <w:tcPr>
            <w:tcW w:w="3969" w:type="dxa"/>
            <w:vAlign w:val="top"/>
            <w:textDirection w:val="lrTb"/>
            <w:noWrap w:val="false"/>
          </w:tcPr>
          <w:p>
            <w:pPr>
              <w:pStyle w:val="965"/>
              <w:rPr>
                <w:rFonts w:eastAsia="Arial Unicode MS"/>
                <w:b/>
                <w:sz w:val="20"/>
                <w:szCs w:val="20"/>
              </w:rPr>
            </w:pPr>
            <w:r>
              <w:rPr>
                <w:b/>
                <w:sz w:val="20"/>
                <w:szCs w:val="20"/>
              </w:rPr>
              <w:t xml:space="preserve">Оформление векселя </w:t>
            </w:r>
            <w:r>
              <w:rPr>
                <w:b/>
                <w:sz w:val="20"/>
                <w:szCs w:val="20"/>
              </w:rPr>
              <w:t xml:space="preserve">АО</w:t>
            </w:r>
            <w:r>
              <w:rPr>
                <w:b/>
                <w:sz w:val="20"/>
                <w:szCs w:val="20"/>
              </w:rPr>
              <w:t xml:space="preserve"> «Россельхозбанк»</w:t>
            </w:r>
            <w:r>
              <w:rPr>
                <w:rFonts w:eastAsia="Arial Unicode MS"/>
                <w:b/>
                <w:sz w:val="20"/>
                <w:szCs w:val="20"/>
              </w:rPr>
            </w:r>
            <w:r>
              <w:rPr>
                <w:rFonts w:eastAsia="Arial Unicode MS"/>
                <w:b/>
                <w:sz w:val="20"/>
                <w:szCs w:val="20"/>
              </w:rPr>
            </w:r>
          </w:p>
        </w:tc>
        <w:tc>
          <w:tcPr>
            <w:tcW w:w="1985" w:type="dxa"/>
            <w:vAlign w:val="top"/>
            <w:textDirection w:val="lrTb"/>
            <w:noWrap w:val="false"/>
          </w:tcPr>
          <w:p>
            <w:pPr>
              <w:pStyle w:val="965"/>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248" w:type="dxa"/>
            <w:vAlign w:val="top"/>
            <w:textDirection w:val="lrTb"/>
            <w:noWrap w:val="false"/>
          </w:tcPr>
          <w:p>
            <w:pPr>
              <w:pStyle w:val="965"/>
              <w:rPr>
                <w:rFonts w:eastAsia="Arial Unicode MS"/>
                <w:sz w:val="20"/>
                <w:szCs w:val="20"/>
              </w:rPr>
            </w:pPr>
            <w:r>
              <w:rPr>
                <w:sz w:val="20"/>
                <w:szCs w:val="20"/>
              </w:rPr>
              <w:t xml:space="preserve">Комиссия включает НДС</w:t>
            </w:r>
            <w:r>
              <w:rPr>
                <w:rFonts w:eastAsia="Arial Unicode MS"/>
                <w:sz w:val="20"/>
                <w:szCs w:val="20"/>
              </w:rPr>
            </w:r>
            <w:r>
              <w:rPr>
                <w:rFonts w:eastAsia="Arial Unicode MS"/>
                <w:sz w:val="20"/>
                <w:szCs w:val="20"/>
              </w:rPr>
            </w:r>
          </w:p>
        </w:tc>
      </w:tr>
    </w:tbl>
    <w:p>
      <w:pPr>
        <w:pStyle w:val="965"/>
      </w:pPr>
      <w:r/>
      <w:r/>
    </w:p>
    <w:p>
      <w:pPr>
        <w:pStyle w:val="969"/>
        <w:ind w:left="421" w:right="850" w:hanging="529"/>
        <w:jc w:val="center"/>
        <w:tabs>
          <w:tab w:val="clear" w:pos="4464" w:leader="none"/>
          <w:tab w:val="left" w:pos="4677" w:leader="none"/>
          <w:tab w:val="clear" w:pos="5760" w:leader="none"/>
          <w:tab w:val="left" w:pos="7370" w:leader="none"/>
          <w:tab w:val="left" w:pos="7654" w:leader="none"/>
        </w:tabs>
      </w:pPr>
      <w:r>
        <w:t xml:space="preserve">                                                                    </w:t>
      </w:r>
      <w:bookmarkStart w:id="10" w:name="_Toc497902226"/>
      <w:r>
        <w:t xml:space="preserve">9. Депозитарные услуги</w:t>
      </w:r>
      <w:r>
        <w:rPr>
          <w:vertAlign w:val="superscript"/>
        </w:rPr>
        <w:t xml:space="preserve">4</w:t>
      </w:r>
      <w:bookmarkEnd w:id="10"/>
      <w:r/>
      <w:r/>
    </w:p>
    <w:p>
      <w:pPr>
        <w:pStyle w:val="965"/>
        <w:jc w:val="left"/>
      </w:pPr>
      <w:r/>
      <w:r/>
    </w:p>
    <w:tbl>
      <w:tblPr>
        <w:tblW w:w="1005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0"/>
        <w:gridCol w:w="3664"/>
        <w:gridCol w:w="1657"/>
        <w:gridCol w:w="1138"/>
        <w:gridCol w:w="2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40" w:type="dxa"/>
            <w:vAlign w:val="top"/>
            <w:textDirection w:val="lrTb"/>
            <w:noWrap w:val="false"/>
          </w:tcPr>
          <w:p>
            <w:pPr>
              <w:pStyle w:val="96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664" w:type="dxa"/>
            <w:vAlign w:val="top"/>
            <w:textDirection w:val="lrTb"/>
            <w:noWrap w:val="false"/>
          </w:tcPr>
          <w:p>
            <w:pPr>
              <w:pStyle w:val="96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2795" w:type="dxa"/>
            <w:vAlign w:val="top"/>
            <w:textDirection w:val="lrTb"/>
            <w:noWrap w:val="false"/>
          </w:tcPr>
          <w:p>
            <w:pPr>
              <w:pStyle w:val="965"/>
              <w:jc w:val="center"/>
              <w:rPr>
                <w:b/>
                <w:sz w:val="20"/>
                <w:szCs w:val="20"/>
              </w:rPr>
            </w:pPr>
            <w:r>
              <w:rPr>
                <w:b/>
                <w:sz w:val="20"/>
                <w:szCs w:val="20"/>
              </w:rPr>
              <w:t xml:space="preserve">Тариф</w:t>
            </w:r>
            <w:r>
              <w:rPr>
                <w:b/>
                <w:sz w:val="20"/>
                <w:szCs w:val="20"/>
              </w:rPr>
            </w:r>
            <w:r>
              <w:rPr>
                <w:b/>
                <w:sz w:val="20"/>
                <w:szCs w:val="20"/>
              </w:rPr>
            </w:r>
          </w:p>
        </w:tc>
        <w:tc>
          <w:tcPr>
            <w:tcW w:w="2753" w:type="dxa"/>
            <w:vAlign w:val="top"/>
            <w:textDirection w:val="lrTb"/>
            <w:noWrap w:val="false"/>
          </w:tcPr>
          <w:p>
            <w:pPr>
              <w:pStyle w:val="96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52" w:type="dxa"/>
            <w:vAlign w:val="top"/>
            <w:textDirection w:val="lrTb"/>
            <w:noWrap w:val="false"/>
          </w:tcPr>
          <w:p>
            <w:pPr>
              <w:pStyle w:val="965"/>
              <w:jc w:val="center"/>
              <w:rPr>
                <w:sz w:val="20"/>
                <w:szCs w:val="20"/>
              </w:rPr>
            </w:pPr>
            <w:r>
              <w:rPr>
                <w:sz w:val="20"/>
                <w:szCs w:val="20"/>
              </w:rPr>
              <w:t xml:space="preserve">9.1.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trPr>
        <w:tc>
          <w:tcPr>
            <w:tcW w:w="840" w:type="dxa"/>
            <w:vAlign w:val="top"/>
            <w:textDirection w:val="lrTb"/>
            <w:noWrap w:val="false"/>
          </w:tcPr>
          <w:p>
            <w:pPr>
              <w:pStyle w:val="965"/>
              <w:jc w:val="center"/>
              <w:rPr>
                <w:rFonts w:eastAsia="Arial Unicode MS"/>
                <w:b/>
                <w:sz w:val="20"/>
                <w:szCs w:val="20"/>
              </w:rPr>
            </w:pPr>
            <w:r>
              <w:rPr>
                <w:b/>
                <w:sz w:val="20"/>
                <w:szCs w:val="20"/>
              </w:rPr>
              <w:t xml:space="preserve">9.1.1.</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sz w:val="20"/>
                <w:szCs w:val="20"/>
              </w:rPr>
            </w:pPr>
            <w:r>
              <w:rPr>
                <w:b/>
                <w:sz w:val="20"/>
                <w:szCs w:val="20"/>
              </w:rPr>
              <w:t xml:space="preserve">Открытие счета депо</w:t>
            </w:r>
            <w:r>
              <w:rPr>
                <w:b/>
                <w:sz w:val="20"/>
                <w:szCs w:val="20"/>
              </w:rPr>
            </w:r>
            <w:r>
              <w:rPr>
                <w:b/>
                <w:sz w:val="20"/>
                <w:szCs w:val="20"/>
              </w:rPr>
            </w:r>
          </w:p>
        </w:tc>
        <w:tc>
          <w:tcPr>
            <w:gridSpan w:val="2"/>
            <w:tcW w:w="2795" w:type="dxa"/>
            <w:vAlign w:val="top"/>
            <w:textDirection w:val="lrTb"/>
            <w:noWrap w:val="false"/>
          </w:tcPr>
          <w:p>
            <w:pPr>
              <w:pStyle w:val="965"/>
              <w:jc w:val="center"/>
              <w:rPr>
                <w:sz w:val="20"/>
                <w:szCs w:val="20"/>
              </w:rPr>
            </w:pPr>
            <w:r>
              <w:rPr>
                <w:sz w:val="20"/>
                <w:szCs w:val="20"/>
              </w:rPr>
              <w:t xml:space="preserve">2 000 руб., </w:t>
            </w:r>
            <w:r>
              <w:rPr>
                <w:sz w:val="20"/>
                <w:szCs w:val="20"/>
              </w:rPr>
            </w:r>
            <w:r>
              <w:rPr>
                <w:sz w:val="20"/>
                <w:szCs w:val="20"/>
              </w:rPr>
            </w:r>
          </w:p>
          <w:p>
            <w:pPr>
              <w:pStyle w:val="965"/>
              <w:jc w:val="center"/>
              <w:rPr>
                <w:sz w:val="20"/>
                <w:szCs w:val="20"/>
              </w:rPr>
            </w:pPr>
            <w:r>
              <w:rPr>
                <w:sz w:val="20"/>
                <w:szCs w:val="20"/>
              </w:rPr>
              <w:t xml:space="preserve">100 руб. за каждый последующий счет</w:t>
            </w:r>
            <w:r>
              <w:rPr>
                <w:sz w:val="20"/>
                <w:szCs w:val="20"/>
              </w:rPr>
            </w:r>
            <w:r>
              <w:rPr>
                <w:sz w:val="20"/>
                <w:szCs w:val="20"/>
              </w:rPr>
            </w:r>
          </w:p>
        </w:tc>
        <w:tc>
          <w:tcPr>
            <w:tcW w:w="2753" w:type="dxa"/>
            <w:vAlign w:val="top"/>
            <w:textDirection w:val="lrTb"/>
            <w:noWrap w:val="false"/>
          </w:tcPr>
          <w:p>
            <w:pPr>
              <w:pStyle w:val="965"/>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9.1.2.</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sz w:val="20"/>
                <w:szCs w:val="20"/>
              </w:rPr>
            </w:pPr>
            <w:r>
              <w:rPr>
                <w:b/>
                <w:sz w:val="20"/>
                <w:szCs w:val="20"/>
              </w:rPr>
              <w:t xml:space="preserve">Открытие индивидуального раздела на междепозитарном счете </w:t>
            </w:r>
            <w:r>
              <w:rPr>
                <w:b/>
                <w:sz w:val="20"/>
                <w:szCs w:val="20"/>
              </w:rPr>
            </w:r>
            <w:r>
              <w:rPr>
                <w:b/>
                <w:sz w:val="20"/>
                <w:szCs w:val="20"/>
              </w:rPr>
            </w:r>
          </w:p>
          <w:p>
            <w:pPr>
              <w:pStyle w:val="965"/>
              <w:rPr>
                <w:b/>
                <w:sz w:val="20"/>
                <w:szCs w:val="20"/>
              </w:rPr>
            </w:pPr>
            <w:r>
              <w:rPr>
                <w:b/>
                <w:sz w:val="20"/>
                <w:szCs w:val="20"/>
              </w:rPr>
              <w:t xml:space="preserve">АО «Россельхозбанк» в НКО АО НРД и в других депозитариях по поручению клиента</w:t>
            </w:r>
            <w:r>
              <w:rPr>
                <w:b/>
                <w:sz w:val="20"/>
                <w:szCs w:val="20"/>
              </w:rPr>
            </w:r>
            <w:r>
              <w:rPr>
                <w:b/>
                <w:sz w:val="20"/>
                <w:szCs w:val="20"/>
              </w:rPr>
            </w:r>
          </w:p>
        </w:tc>
        <w:tc>
          <w:tcPr>
            <w:gridSpan w:val="2"/>
            <w:tcW w:w="2795" w:type="dxa"/>
            <w:vAlign w:val="top"/>
            <w:textDirection w:val="lrTb"/>
            <w:noWrap w:val="false"/>
          </w:tcPr>
          <w:p>
            <w:pPr>
              <w:pStyle w:val="965"/>
              <w:jc w:val="center"/>
              <w:rPr>
                <w:sz w:val="20"/>
                <w:szCs w:val="20"/>
              </w:rPr>
            </w:pPr>
            <w:r>
              <w:rPr>
                <w:sz w:val="20"/>
                <w:szCs w:val="20"/>
              </w:rPr>
              <w:t xml:space="preserve">1 000 руб. за каждый раздел</w:t>
            </w:r>
            <w:r>
              <w:rPr>
                <w:sz w:val="20"/>
                <w:szCs w:val="20"/>
              </w:rPr>
            </w:r>
            <w:r>
              <w:rPr>
                <w:sz w:val="20"/>
                <w:szCs w:val="20"/>
              </w:rPr>
            </w:r>
          </w:p>
        </w:tc>
        <w:tc>
          <w:tcPr>
            <w:tcW w:w="2753" w:type="dxa"/>
            <w:vAlign w:val="top"/>
            <w:textDirection w:val="lrTb"/>
            <w:noWrap w:val="false"/>
          </w:tcPr>
          <w:p>
            <w:pPr>
              <w:pStyle w:val="965"/>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b/>
                <w:sz w:val="20"/>
                <w:szCs w:val="20"/>
              </w:rPr>
            </w:pPr>
            <w:r>
              <w:rPr>
                <w:b/>
                <w:sz w:val="20"/>
                <w:szCs w:val="20"/>
              </w:rPr>
              <w:t xml:space="preserve">9.1.3.</w:t>
            </w:r>
            <w:r>
              <w:rPr>
                <w:b/>
                <w:sz w:val="20"/>
                <w:szCs w:val="20"/>
              </w:rPr>
            </w:r>
            <w:r>
              <w:rPr>
                <w:b/>
                <w:sz w:val="20"/>
                <w:szCs w:val="20"/>
              </w:rPr>
            </w:r>
          </w:p>
        </w:tc>
        <w:tc>
          <w:tcPr>
            <w:tcW w:w="3664" w:type="dxa"/>
            <w:vAlign w:val="top"/>
            <w:textDirection w:val="lrTb"/>
            <w:noWrap w:val="false"/>
          </w:tcPr>
          <w:p>
            <w:pPr>
              <w:pStyle w:val="965"/>
              <w:rPr>
                <w:b/>
                <w:sz w:val="20"/>
                <w:szCs w:val="20"/>
              </w:rPr>
            </w:pPr>
            <w:r>
              <w:rPr>
                <w:b/>
                <w:sz w:val="20"/>
                <w:szCs w:val="20"/>
              </w:rPr>
              <w:t xml:space="preserve">Ведение счета депо</w:t>
            </w:r>
            <w:r>
              <w:rPr>
                <w:b/>
                <w:sz w:val="20"/>
                <w:szCs w:val="20"/>
              </w:rPr>
            </w:r>
            <w:r>
              <w:rPr>
                <w:b/>
                <w:sz w:val="20"/>
                <w:szCs w:val="20"/>
              </w:rPr>
            </w:r>
          </w:p>
        </w:tc>
        <w:tc>
          <w:tcPr>
            <w:gridSpan w:val="2"/>
            <w:tcW w:w="2795" w:type="dxa"/>
            <w:vAlign w:val="top"/>
            <w:textDirection w:val="lrTb"/>
            <w:noWrap w:val="false"/>
          </w:tcPr>
          <w:p>
            <w:pPr>
              <w:pStyle w:val="965"/>
              <w:jc w:val="center"/>
              <w:rPr>
                <w:sz w:val="20"/>
                <w:szCs w:val="20"/>
              </w:rPr>
            </w:pPr>
            <w:r>
              <w:rPr>
                <w:sz w:val="20"/>
                <w:szCs w:val="20"/>
              </w:rPr>
              <w:t xml:space="preserve">Комиссия не взимается</w:t>
            </w:r>
            <w:r>
              <w:rPr>
                <w:sz w:val="20"/>
                <w:szCs w:val="20"/>
              </w:rPr>
            </w:r>
            <w:r>
              <w:rPr>
                <w:sz w:val="20"/>
                <w:szCs w:val="20"/>
              </w:rPr>
            </w:r>
          </w:p>
        </w:tc>
        <w:tc>
          <w:tcPr>
            <w:tcW w:w="2753" w:type="dxa"/>
            <w:vAlign w:val="top"/>
            <w:textDirection w:val="lrTb"/>
            <w:noWrap w:val="false"/>
          </w:tcPr>
          <w:p>
            <w:pPr>
              <w:pStyle w:val="965"/>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9.1.4.</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sz w:val="20"/>
                <w:szCs w:val="20"/>
              </w:rPr>
            </w:pPr>
            <w:r>
              <w:rPr>
                <w:b/>
                <w:sz w:val="20"/>
                <w:szCs w:val="20"/>
              </w:rPr>
              <w:t xml:space="preserve">Открытие счета номинального держателя АО «Россельхозбанк» в реестре владельцев ценных бумаг</w:t>
            </w:r>
            <w:r>
              <w:rPr>
                <w:b/>
                <w:sz w:val="20"/>
                <w:szCs w:val="20"/>
              </w:rPr>
            </w:r>
            <w:r>
              <w:rPr>
                <w:b/>
                <w:sz w:val="20"/>
                <w:szCs w:val="20"/>
              </w:rPr>
            </w:r>
          </w:p>
        </w:tc>
        <w:tc>
          <w:tcPr>
            <w:gridSpan w:val="2"/>
            <w:tcW w:w="2795" w:type="dxa"/>
            <w:vAlign w:val="top"/>
            <w:textDirection w:val="lrTb"/>
            <w:noWrap w:val="false"/>
          </w:tcPr>
          <w:p>
            <w:pPr>
              <w:pStyle w:val="965"/>
              <w:jc w:val="center"/>
              <w:rPr>
                <w:sz w:val="20"/>
                <w:szCs w:val="20"/>
              </w:rPr>
            </w:pPr>
            <w:r>
              <w:rPr>
                <w:sz w:val="20"/>
                <w:szCs w:val="20"/>
              </w:rPr>
              <w:t xml:space="preserve">20 000 руб.</w:t>
            </w:r>
            <w:r>
              <w:rPr>
                <w:sz w:val="20"/>
                <w:szCs w:val="20"/>
              </w:rPr>
            </w:r>
            <w:r>
              <w:rPr>
                <w:sz w:val="20"/>
                <w:szCs w:val="20"/>
              </w:rPr>
            </w:r>
          </w:p>
        </w:tc>
        <w:tc>
          <w:tcPr>
            <w:tcW w:w="2753" w:type="dxa"/>
            <w:vAlign w:val="top"/>
            <w:textDirection w:val="lrTb"/>
            <w:noWrap w:val="false"/>
          </w:tcPr>
          <w:p>
            <w:pPr>
              <w:pStyle w:val="965"/>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9.1.</w:t>
            </w:r>
            <w:r>
              <w:rPr>
                <w:b/>
                <w:sz w:val="20"/>
                <w:szCs w:val="20"/>
              </w:rPr>
              <w:t xml:space="preserve">5</w:t>
            </w:r>
            <w:r>
              <w:rPr>
                <w:b/>
                <w:sz w:val="20"/>
                <w:szCs w:val="20"/>
              </w:rPr>
              <w:t xml:space="preserve">.</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sz w:val="20"/>
                <w:szCs w:val="20"/>
              </w:rPr>
            </w:pPr>
            <w:r>
              <w:rPr>
                <w:b/>
                <w:sz w:val="20"/>
                <w:szCs w:val="20"/>
              </w:rPr>
              <w:t xml:space="preserve">Закрытие</w:t>
            </w:r>
            <w:r>
              <w:rPr>
                <w:b/>
                <w:sz w:val="20"/>
                <w:szCs w:val="20"/>
              </w:rPr>
              <w:t xml:space="preserve"> </w:t>
            </w:r>
            <w:r>
              <w:rPr>
                <w:b/>
                <w:sz w:val="20"/>
                <w:szCs w:val="20"/>
              </w:rPr>
              <w:t xml:space="preserve">счета</w:t>
            </w:r>
            <w:r>
              <w:rPr>
                <w:b/>
                <w:sz w:val="20"/>
                <w:szCs w:val="20"/>
              </w:rPr>
              <w:t xml:space="preserve"> </w:t>
            </w:r>
            <w:r>
              <w:rPr>
                <w:b/>
                <w:sz w:val="20"/>
                <w:szCs w:val="20"/>
              </w:rPr>
              <w:t xml:space="preserve">депо</w:t>
            </w:r>
            <w:r>
              <w:rPr>
                <w:b/>
                <w:sz w:val="20"/>
                <w:szCs w:val="20"/>
              </w:rPr>
            </w:r>
            <w:r>
              <w:rPr>
                <w:b/>
                <w:sz w:val="20"/>
                <w:szCs w:val="20"/>
              </w:rPr>
            </w:r>
          </w:p>
        </w:tc>
        <w:tc>
          <w:tcPr>
            <w:gridSpan w:val="2"/>
            <w:tcW w:w="2795" w:type="dxa"/>
            <w:vAlign w:val="top"/>
            <w:textDirection w:val="lrTb"/>
            <w:noWrap w:val="false"/>
          </w:tcPr>
          <w:p>
            <w:pPr>
              <w:pStyle w:val="965"/>
              <w:jc w:val="center"/>
              <w:rPr>
                <w:rFonts w:eastAsia="Arial Unicode MS"/>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753" w:type="dxa"/>
            <w:vAlign w:val="top"/>
            <w:textDirection w:val="lrTb"/>
            <w:noWrap w:val="false"/>
          </w:tcPr>
          <w:p>
            <w:pPr>
              <w:pStyle w:val="965"/>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52" w:type="dxa"/>
            <w:vAlign w:val="top"/>
            <w:textDirection w:val="lrTb"/>
            <w:noWrap w:val="false"/>
          </w:tcPr>
          <w:p>
            <w:pPr>
              <w:pStyle w:val="965"/>
              <w:jc w:val="center"/>
              <w:rPr>
                <w:b/>
                <w:sz w:val="20"/>
                <w:szCs w:val="20"/>
              </w:rPr>
            </w:pPr>
            <w:r>
              <w:rPr>
                <w:b/>
                <w:sz w:val="20"/>
                <w:szCs w:val="20"/>
              </w:rPr>
            </w:r>
            <w:r>
              <w:rPr>
                <w:b/>
                <w:sz w:val="20"/>
                <w:szCs w:val="20"/>
              </w:rPr>
            </w:r>
            <w:r>
              <w:rPr>
                <w:b/>
                <w:sz w:val="20"/>
                <w:szCs w:val="20"/>
              </w:rPr>
            </w:r>
          </w:p>
          <w:p>
            <w:pPr>
              <w:pStyle w:val="965"/>
              <w:jc w:val="center"/>
              <w:rPr>
                <w:b/>
                <w:sz w:val="20"/>
                <w:szCs w:val="20"/>
              </w:rPr>
            </w:pPr>
            <w:r>
              <w:rPr>
                <w:b/>
                <w:sz w:val="20"/>
                <w:szCs w:val="20"/>
              </w:rPr>
            </w:r>
            <w:r>
              <w:rPr>
                <w:b/>
                <w:sz w:val="20"/>
                <w:szCs w:val="20"/>
              </w:rPr>
            </w:r>
            <w:r>
              <w:rPr>
                <w:b/>
                <w:sz w:val="20"/>
                <w:szCs w:val="20"/>
              </w:rPr>
            </w:r>
          </w:p>
          <w:p>
            <w:pPr>
              <w:pStyle w:val="965"/>
              <w:jc w:val="center"/>
              <w:rPr>
                <w:b/>
                <w:sz w:val="20"/>
                <w:szCs w:val="20"/>
              </w:rPr>
            </w:pPr>
            <w:r>
              <w:rPr>
                <w:b/>
                <w:sz w:val="20"/>
                <w:szCs w:val="20"/>
              </w:rPr>
              <w:t xml:space="preserve">9.2.</w:t>
            </w:r>
            <w:r>
              <w:rPr>
                <w:b/>
                <w:sz w:val="20"/>
                <w:szCs w:val="20"/>
              </w:rPr>
              <w:t xml:space="preserve"> </w:t>
            </w:r>
            <w:r>
              <w:rPr>
                <w:b/>
                <w:sz w:val="20"/>
                <w:szCs w:val="20"/>
              </w:rPr>
              <w:t xml:space="preserve">Хранение</w:t>
            </w:r>
            <w:r>
              <w:rPr>
                <w:b/>
                <w:sz w:val="20"/>
                <w:szCs w:val="20"/>
              </w:rPr>
              <w:t xml:space="preserve"> </w:t>
            </w:r>
            <w:r>
              <w:rPr>
                <w:b/>
                <w:sz w:val="20"/>
                <w:szCs w:val="20"/>
              </w:rPr>
              <w:t xml:space="preserve">и</w:t>
            </w:r>
            <w:r>
              <w:rPr>
                <w:b/>
                <w:sz w:val="20"/>
                <w:szCs w:val="20"/>
              </w:rPr>
              <w:t xml:space="preserve"> </w:t>
            </w:r>
            <w:r>
              <w:rPr>
                <w:b/>
                <w:sz w:val="20"/>
                <w:szCs w:val="20"/>
              </w:rPr>
              <w:t xml:space="preserve">учет</w:t>
            </w:r>
            <w:r>
              <w:rPr>
                <w:b/>
                <w:sz w:val="20"/>
                <w:szCs w:val="20"/>
              </w:rPr>
              <w:t xml:space="preserve"> </w:t>
            </w:r>
            <w:r>
              <w:rPr>
                <w:b/>
                <w:sz w:val="20"/>
                <w:szCs w:val="20"/>
              </w:rPr>
              <w:t xml:space="preserve">ценных</w:t>
            </w:r>
            <w:r>
              <w:rPr>
                <w:b/>
                <w:sz w:val="20"/>
                <w:szCs w:val="20"/>
              </w:rPr>
              <w:t xml:space="preserve"> </w:t>
            </w:r>
            <w:r>
              <w:rPr>
                <w:b/>
                <w:sz w:val="20"/>
                <w:szCs w:val="20"/>
              </w:rPr>
              <w:t xml:space="preserve">бумаг</w:t>
            </w:r>
            <w:r>
              <w:rPr>
                <w:b/>
                <w:sz w:val="20"/>
                <w:szCs w:val="20"/>
              </w:rPr>
            </w:r>
            <w:r>
              <w:rPr>
                <w:b/>
                <w:sz w:val="20"/>
                <w:szCs w:val="20"/>
              </w:rPr>
            </w:r>
          </w:p>
          <w:p>
            <w:pPr>
              <w:pStyle w:val="96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9.2.1.</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color w:val="000000"/>
                <w:sz w:val="20"/>
                <w:szCs w:val="20"/>
              </w:rPr>
            </w:pPr>
            <w:r>
              <w:rPr>
                <w:b/>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color w:val="000000"/>
                <w:sz w:val="20"/>
                <w:szCs w:val="20"/>
              </w:rPr>
            </w:r>
            <w:r>
              <w:rPr>
                <w:b/>
                <w:color w:val="000000"/>
                <w:sz w:val="20"/>
                <w:szCs w:val="20"/>
              </w:rPr>
            </w:r>
          </w:p>
        </w:tc>
        <w:tc>
          <w:tcPr>
            <w:gridSpan w:val="2"/>
            <w:tcW w:w="2795" w:type="dxa"/>
            <w:vAlign w:val="top"/>
            <w:textDirection w:val="lrTb"/>
            <w:noWrap w:val="false"/>
          </w:tcPr>
          <w:p>
            <w:pPr>
              <w:pStyle w:val="965"/>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992"/>
              <w:spacing w:before="40" w:after="40"/>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tcW w:w="2753" w:type="dxa"/>
            <w:vAlign w:val="top"/>
            <w:textDirection w:val="lrTb"/>
            <w:noWrap w:val="false"/>
          </w:tcPr>
          <w:p>
            <w:pPr>
              <w:pStyle w:val="992"/>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b/>
                <w:sz w:val="20"/>
                <w:szCs w:val="20"/>
              </w:rPr>
            </w:pPr>
            <w:r>
              <w:rPr>
                <w:b/>
                <w:sz w:val="20"/>
                <w:szCs w:val="20"/>
              </w:rPr>
              <w:t xml:space="preserve">9.2.2.</w:t>
            </w:r>
            <w:r>
              <w:rPr>
                <w:b/>
                <w:sz w:val="20"/>
                <w:szCs w:val="20"/>
              </w:rPr>
            </w:r>
            <w:r>
              <w:rPr>
                <w:b/>
                <w:sz w:val="20"/>
                <w:szCs w:val="20"/>
              </w:rPr>
            </w:r>
          </w:p>
        </w:tc>
        <w:tc>
          <w:tcPr>
            <w:tcW w:w="3664" w:type="dxa"/>
            <w:vAlign w:val="top"/>
            <w:textDirection w:val="lrTb"/>
            <w:noWrap w:val="false"/>
          </w:tcPr>
          <w:p>
            <w:pPr>
              <w:pStyle w:val="965"/>
              <w:rPr>
                <w:b/>
                <w:color w:val="000000"/>
                <w:sz w:val="20"/>
                <w:szCs w:val="20"/>
              </w:rPr>
            </w:pPr>
            <w:r>
              <w:rPr>
                <w:b/>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
                <w:color w:val="000000"/>
                <w:sz w:val="20"/>
                <w:szCs w:val="20"/>
              </w:rPr>
            </w:r>
            <w:r>
              <w:rPr>
                <w:b/>
                <w:color w:val="000000"/>
                <w:sz w:val="20"/>
                <w:szCs w:val="20"/>
              </w:rPr>
            </w:r>
          </w:p>
        </w:tc>
        <w:tc>
          <w:tcPr>
            <w:gridSpan w:val="2"/>
            <w:tcW w:w="2795" w:type="dxa"/>
            <w:vAlign w:val="top"/>
            <w:textDirection w:val="lrTb"/>
            <w:noWrap w:val="false"/>
          </w:tcPr>
          <w:p>
            <w:pPr>
              <w:pStyle w:val="965"/>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992"/>
              <w:jc w:val="both"/>
              <w:spacing w:before="40" w:after="40"/>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tcW w:w="2753" w:type="dxa"/>
            <w:vAlign w:val="top"/>
            <w:textDirection w:val="lrTb"/>
            <w:noWrap w:val="false"/>
          </w:tcPr>
          <w:p>
            <w:pPr>
              <w:pStyle w:val="992"/>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52" w:type="dxa"/>
            <w:vAlign w:val="top"/>
            <w:textDirection w:val="lrTb"/>
            <w:noWrap w:val="false"/>
          </w:tcPr>
          <w:p>
            <w:pPr>
              <w:pStyle w:val="965"/>
              <w:rPr>
                <w:b/>
                <w:color w:val="000000"/>
                <w:sz w:val="20"/>
                <w:szCs w:val="20"/>
              </w:rPr>
            </w:pPr>
            <w:r>
              <w:rPr>
                <w:b/>
                <w:color w:val="000000"/>
                <w:sz w:val="20"/>
                <w:szCs w:val="20"/>
              </w:rPr>
              <w:t xml:space="preserve">9.2.3. Хранение неэмиссионных ценных бумаг:</w:t>
            </w:r>
            <w:r>
              <w:rPr>
                <w:b/>
                <w:color w:val="000000"/>
                <w:sz w:val="20"/>
                <w:szCs w:val="20"/>
              </w:rPr>
            </w:r>
            <w:r>
              <w:rPr>
                <w:b/>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b/>
                <w:sz w:val="20"/>
                <w:szCs w:val="20"/>
              </w:rPr>
            </w:pPr>
            <w:r>
              <w:rPr>
                <w:b/>
                <w:sz w:val="20"/>
                <w:szCs w:val="20"/>
              </w:rPr>
              <w:t xml:space="preserve">9.2.3.1.</w:t>
            </w:r>
            <w:r>
              <w:rPr>
                <w:b/>
                <w:sz w:val="20"/>
                <w:szCs w:val="20"/>
              </w:rPr>
            </w:r>
            <w:r>
              <w:rPr>
                <w:b/>
                <w:sz w:val="20"/>
                <w:szCs w:val="20"/>
              </w:rPr>
            </w:r>
          </w:p>
        </w:tc>
        <w:tc>
          <w:tcPr>
            <w:tcW w:w="3664" w:type="dxa"/>
            <w:vAlign w:val="top"/>
            <w:textDirection w:val="lrTb"/>
            <w:noWrap w:val="false"/>
          </w:tcPr>
          <w:p>
            <w:pPr>
              <w:pStyle w:val="965"/>
              <w:rPr>
                <w:b/>
                <w:color w:val="000000"/>
                <w:sz w:val="20"/>
                <w:szCs w:val="20"/>
              </w:rPr>
            </w:pPr>
            <w:r>
              <w:rPr>
                <w:b/>
                <w:color w:val="000000"/>
                <w:sz w:val="20"/>
                <w:szCs w:val="20"/>
              </w:rPr>
              <w:t xml:space="preserve">Хранение неэмиссионных ценных бумаг имеющих номинальную стоимость</w:t>
            </w:r>
            <w:r>
              <w:rPr>
                <w:b/>
                <w:color w:val="000000"/>
                <w:sz w:val="20"/>
                <w:szCs w:val="20"/>
              </w:rPr>
            </w:r>
            <w:r>
              <w:rPr>
                <w:b/>
                <w:color w:val="000000"/>
                <w:sz w:val="20"/>
                <w:szCs w:val="20"/>
              </w:rPr>
            </w:r>
          </w:p>
        </w:tc>
        <w:tc>
          <w:tcPr>
            <w:gridSpan w:val="2"/>
            <w:tcW w:w="2795" w:type="dxa"/>
            <w:vAlign w:val="top"/>
            <w:textDirection w:val="lrTb"/>
            <w:noWrap w:val="false"/>
          </w:tcPr>
          <w:p>
            <w:pPr>
              <w:pStyle w:val="965"/>
            </w:pPr>
            <w:r>
              <w:rPr>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p>
        </w:tc>
        <w:tc>
          <w:tcPr>
            <w:tcW w:w="2753" w:type="dxa"/>
            <w:vAlign w:val="top"/>
            <w:textDirection w:val="lrTb"/>
            <w:noWrap w:val="false"/>
          </w:tcPr>
          <w:p>
            <w:pPr>
              <w:pStyle w:val="965"/>
              <w:rPr>
                <w:color w:val="000000"/>
                <w:sz w:val="20"/>
                <w:szCs w:val="20"/>
              </w:rPr>
            </w:pPr>
            <w:r>
              <w:rPr>
                <w:color w:val="000000"/>
                <w:sz w:val="20"/>
                <w:szCs w:val="20"/>
              </w:rPr>
              <w:t xml:space="preserve">Рассчитывается ежеквартально от номинальной стоимости ежедневного остатка ценных бумаг</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b/>
                <w:sz w:val="20"/>
                <w:szCs w:val="20"/>
              </w:rPr>
            </w:pPr>
            <w:r>
              <w:rPr>
                <w:b/>
                <w:sz w:val="20"/>
                <w:szCs w:val="20"/>
              </w:rPr>
              <w:t xml:space="preserve">9.2.3.2.</w:t>
            </w:r>
            <w:r>
              <w:rPr>
                <w:b/>
                <w:sz w:val="20"/>
                <w:szCs w:val="20"/>
              </w:rPr>
            </w:r>
            <w:r>
              <w:rPr>
                <w:b/>
                <w:sz w:val="20"/>
                <w:szCs w:val="20"/>
              </w:rPr>
            </w:r>
          </w:p>
        </w:tc>
        <w:tc>
          <w:tcPr>
            <w:tcW w:w="3664" w:type="dxa"/>
            <w:vAlign w:val="top"/>
            <w:textDirection w:val="lrTb"/>
            <w:noWrap w:val="false"/>
          </w:tcPr>
          <w:p>
            <w:pPr>
              <w:pStyle w:val="965"/>
              <w:rPr>
                <w:b/>
                <w:color w:val="000000"/>
                <w:sz w:val="20"/>
                <w:szCs w:val="20"/>
              </w:rPr>
            </w:pPr>
            <w:r>
              <w:rPr>
                <w:b/>
                <w:color w:val="000000"/>
                <w:sz w:val="20"/>
                <w:szCs w:val="20"/>
              </w:rPr>
              <w:t xml:space="preserve">Хранение неэмиссионных ценных бумаг, не имеющих номинальной стоимости</w:t>
            </w:r>
            <w:r>
              <w:rPr>
                <w:b/>
                <w:color w:val="000000"/>
                <w:sz w:val="20"/>
                <w:szCs w:val="20"/>
              </w:rPr>
            </w:r>
            <w:r>
              <w:rPr>
                <w:b/>
                <w:color w:val="000000"/>
                <w:sz w:val="20"/>
                <w:szCs w:val="20"/>
              </w:rPr>
            </w:r>
          </w:p>
        </w:tc>
        <w:tc>
          <w:tcPr>
            <w:gridSpan w:val="2"/>
            <w:tcW w:w="2795" w:type="dxa"/>
            <w:vAlign w:val="top"/>
            <w:textDirection w:val="lrTb"/>
            <w:noWrap w:val="false"/>
          </w:tcPr>
          <w:p>
            <w:pPr>
              <w:pStyle w:val="992"/>
              <w:jc w:val="both"/>
              <w:spacing w:before="40" w:after="40"/>
              <w:rPr>
                <w:bCs/>
                <w:sz w:val="20"/>
                <w:szCs w:val="20"/>
              </w:rPr>
            </w:pPr>
            <w:r>
              <w:rPr>
                <w:bCs/>
                <w:sz w:val="20"/>
                <w:szCs w:val="20"/>
              </w:rPr>
              <w:t xml:space="preserve">1 000 руб. в месяц</w:t>
            </w:r>
            <w:r>
              <w:rPr>
                <w:bCs/>
                <w:sz w:val="20"/>
                <w:szCs w:val="20"/>
              </w:rPr>
            </w:r>
            <w:r>
              <w:rPr>
                <w:bCs/>
                <w:sz w:val="20"/>
                <w:szCs w:val="20"/>
              </w:rPr>
            </w:r>
          </w:p>
        </w:tc>
        <w:tc>
          <w:tcPr>
            <w:tcW w:w="2753" w:type="dxa"/>
            <w:vAlign w:val="top"/>
            <w:textDirection w:val="lrTb"/>
            <w:noWrap w:val="false"/>
          </w:tcPr>
          <w:p>
            <w:pPr>
              <w:pStyle w:val="965"/>
              <w:rPr>
                <w:color w:val="000000"/>
                <w:sz w:val="20"/>
                <w:szCs w:val="20"/>
              </w:rPr>
            </w:pPr>
            <w:r>
              <w:rPr>
                <w:color w:val="000000"/>
                <w:sz w:val="20"/>
                <w:szCs w:val="20"/>
              </w:rPr>
              <w:t xml:space="preserve">Взимается ежеквартально независимо от количества ценных бумаг.</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9.2.4.</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color w:val="000000"/>
                <w:sz w:val="20"/>
                <w:szCs w:val="20"/>
              </w:rPr>
            </w:pPr>
            <w:r>
              <w:rPr>
                <w:b/>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b/>
                <w:color w:val="000000"/>
                <w:sz w:val="20"/>
                <w:szCs w:val="20"/>
              </w:rPr>
            </w:r>
            <w:r>
              <w:rPr>
                <w:b/>
                <w:color w:val="000000"/>
                <w:sz w:val="20"/>
                <w:szCs w:val="20"/>
              </w:rPr>
            </w:r>
          </w:p>
        </w:tc>
        <w:tc>
          <w:tcPr>
            <w:gridSpan w:val="2"/>
            <w:tcW w:w="2795" w:type="dxa"/>
            <w:vAlign w:val="top"/>
            <w:textDirection w:val="lrTb"/>
            <w:noWrap w:val="false"/>
          </w:tcPr>
          <w:p>
            <w:pPr>
              <w:pStyle w:val="992"/>
              <w:jc w:val="both"/>
              <w:spacing w:before="40" w:after="40"/>
              <w:rPr>
                <w:bCs/>
                <w:sz w:val="20"/>
                <w:szCs w:val="20"/>
              </w:rPr>
            </w:pPr>
            <w:r>
              <w:rPr>
                <w:bCs/>
                <w:sz w:val="20"/>
                <w:szCs w:val="20"/>
              </w:rPr>
              <w:t xml:space="preserve">500 руб. в месяц</w:t>
            </w:r>
            <w:r>
              <w:rPr>
                <w:bCs/>
                <w:sz w:val="20"/>
                <w:szCs w:val="20"/>
              </w:rPr>
            </w:r>
            <w:r>
              <w:rPr>
                <w:bCs/>
                <w:sz w:val="20"/>
                <w:szCs w:val="20"/>
              </w:rPr>
            </w:r>
          </w:p>
        </w:tc>
        <w:tc>
          <w:tcPr>
            <w:tcW w:w="2753" w:type="dxa"/>
            <w:vAlign w:val="top"/>
            <w:textDirection w:val="lrTb"/>
            <w:noWrap w:val="false"/>
          </w:tcPr>
          <w:p>
            <w:pPr>
              <w:pStyle w:val="965"/>
              <w:rPr>
                <w:color w:val="000000"/>
                <w:sz w:val="20"/>
                <w:szCs w:val="20"/>
              </w:rPr>
            </w:pPr>
            <w:r>
              <w:rPr>
                <w:color w:val="000000"/>
                <w:sz w:val="20"/>
                <w:szCs w:val="20"/>
              </w:rPr>
              <w:t xml:space="preserve">В месяц за инвестиционные паи каждого инвестиционного фонда (вне зависимости от количества паев).</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spacing w:before="40" w:after="40"/>
              <w:rPr>
                <w:b/>
                <w:bCs/>
                <w:sz w:val="20"/>
                <w:szCs w:val="20"/>
              </w:rPr>
            </w:pPr>
            <w:r>
              <w:rPr>
                <w:b/>
                <w:bCs/>
                <w:sz w:val="20"/>
                <w:szCs w:val="20"/>
              </w:rPr>
              <w:t xml:space="preserve">9.2.5.</w:t>
            </w:r>
            <w:r>
              <w:rPr>
                <w:b/>
                <w:bCs/>
                <w:sz w:val="20"/>
                <w:szCs w:val="20"/>
              </w:rPr>
            </w:r>
            <w:r>
              <w:rPr>
                <w:b/>
                <w:bCs/>
                <w:sz w:val="20"/>
                <w:szCs w:val="20"/>
              </w:rPr>
            </w:r>
          </w:p>
        </w:tc>
        <w:tc>
          <w:tcPr>
            <w:tcW w:w="3664" w:type="dxa"/>
            <w:vAlign w:val="top"/>
            <w:textDirection w:val="lrTb"/>
            <w:noWrap w:val="false"/>
          </w:tcPr>
          <w:p>
            <w:pPr>
              <w:pStyle w:val="965"/>
              <w:rPr>
                <w:b/>
                <w:color w:val="000000"/>
                <w:sz w:val="20"/>
                <w:szCs w:val="20"/>
              </w:rPr>
            </w:pPr>
            <w:r>
              <w:rPr>
                <w:b/>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b/>
                <w:color w:val="000000"/>
                <w:sz w:val="20"/>
                <w:szCs w:val="20"/>
              </w:rPr>
            </w:r>
            <w:r>
              <w:rPr>
                <w:b/>
                <w:color w:val="000000"/>
                <w:sz w:val="20"/>
                <w:szCs w:val="20"/>
              </w:rPr>
            </w:r>
          </w:p>
        </w:tc>
        <w:tc>
          <w:tcPr>
            <w:gridSpan w:val="2"/>
            <w:tcW w:w="2795" w:type="dxa"/>
            <w:vAlign w:val="top"/>
            <w:textDirection w:val="lrTb"/>
            <w:noWrap w:val="false"/>
          </w:tcPr>
          <w:p>
            <w:pPr>
              <w:pStyle w:val="992"/>
              <w:jc w:val="both"/>
              <w:spacing w:before="40" w:after="40"/>
              <w:rPr>
                <w:bCs/>
                <w:color w:val="000000"/>
                <w:sz w:val="20"/>
                <w:szCs w:val="20"/>
              </w:rPr>
            </w:pPr>
            <w:r>
              <w:rPr>
                <w:sz w:val="20"/>
                <w:szCs w:val="20"/>
              </w:rPr>
              <w:t xml:space="preserve">0,7% годовых, минимум 300 руб. в месяц</w:t>
            </w:r>
            <w:r>
              <w:rPr>
                <w:bCs/>
                <w:color w:val="000000"/>
                <w:sz w:val="20"/>
                <w:szCs w:val="20"/>
              </w:rPr>
            </w:r>
            <w:r>
              <w:rPr>
                <w:bCs/>
                <w:color w:val="000000"/>
                <w:sz w:val="20"/>
                <w:szCs w:val="20"/>
              </w:rPr>
            </w:r>
          </w:p>
        </w:tc>
        <w:tc>
          <w:tcPr>
            <w:tcW w:w="2753" w:type="dxa"/>
            <w:vAlign w:val="top"/>
            <w:textDirection w:val="lrTb"/>
            <w:noWrap w:val="false"/>
          </w:tcPr>
          <w:p>
            <w:pPr>
              <w:pStyle w:val="992"/>
              <w:jc w:val="both"/>
              <w:spacing w:before="40" w:after="40"/>
              <w:rPr>
                <w:bCs/>
                <w:color w:val="000000"/>
              </w:rPr>
            </w:pPr>
            <w:r>
              <w:rPr>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9.2.6.</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color w:val="000000"/>
                <w:sz w:val="20"/>
                <w:szCs w:val="20"/>
              </w:rPr>
            </w:pPr>
            <w:r>
              <w:rPr>
                <w:b/>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b/>
                <w:color w:val="000000"/>
                <w:sz w:val="20"/>
                <w:szCs w:val="20"/>
              </w:rPr>
            </w:r>
            <w:r>
              <w:rPr>
                <w:b/>
                <w:color w:val="000000"/>
                <w:sz w:val="20"/>
                <w:szCs w:val="20"/>
              </w:rPr>
            </w:r>
          </w:p>
        </w:tc>
        <w:tc>
          <w:tcPr>
            <w:gridSpan w:val="2"/>
            <w:tcW w:w="2795" w:type="dxa"/>
            <w:vAlign w:val="top"/>
            <w:textDirection w:val="lrTb"/>
            <w:noWrap w:val="false"/>
          </w:tcPr>
          <w:p>
            <w:pPr>
              <w:pStyle w:val="992"/>
              <w:jc w:val="both"/>
              <w:spacing w:before="40" w:after="40"/>
              <w:rPr>
                <w:bCs/>
                <w:color w:val="000000"/>
                <w:sz w:val="20"/>
                <w:szCs w:val="20"/>
              </w:rPr>
            </w:pPr>
            <w:r>
              <w:rPr>
                <w:bCs/>
                <w:sz w:val="20"/>
                <w:szCs w:val="20"/>
              </w:rPr>
              <w:t xml:space="preserve">0,035%, годовых минимум 100 руб. в месяц</w:t>
            </w:r>
            <w:r>
              <w:rPr>
                <w:bCs/>
                <w:color w:val="000000"/>
                <w:sz w:val="20"/>
                <w:szCs w:val="20"/>
              </w:rPr>
            </w:r>
            <w:r>
              <w:rPr>
                <w:bCs/>
                <w:color w:val="000000"/>
                <w:sz w:val="20"/>
                <w:szCs w:val="20"/>
              </w:rPr>
            </w:r>
          </w:p>
        </w:tc>
        <w:tc>
          <w:tcPr>
            <w:tcW w:w="2753" w:type="dxa"/>
            <w:vAlign w:val="top"/>
            <w:textDirection w:val="lrTb"/>
            <w:noWrap w:val="false"/>
          </w:tcPr>
          <w:p>
            <w:pPr>
              <w:pStyle w:val="992"/>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restart"/>
            <w:textDirection w:val="lrTb"/>
            <w:noWrap w:val="false"/>
          </w:tcPr>
          <w:p>
            <w:pPr>
              <w:pStyle w:val="965"/>
              <w:jc w:val="center"/>
              <w:rPr>
                <w:b/>
                <w:sz w:val="20"/>
                <w:szCs w:val="20"/>
              </w:rPr>
            </w:pPr>
            <w:r>
              <w:rPr>
                <w:b/>
                <w:sz w:val="20"/>
                <w:szCs w:val="20"/>
              </w:rPr>
              <w:t xml:space="preserve">9.2.7.</w:t>
            </w:r>
            <w:r>
              <w:rPr>
                <w:b/>
                <w:sz w:val="20"/>
                <w:szCs w:val="20"/>
              </w:rPr>
            </w:r>
            <w:r>
              <w:rPr>
                <w:b/>
                <w:sz w:val="20"/>
                <w:szCs w:val="20"/>
              </w:rPr>
            </w:r>
          </w:p>
        </w:tc>
        <w:tc>
          <w:tcPr>
            <w:gridSpan w:val="4"/>
            <w:tcW w:w="9212" w:type="dxa"/>
            <w:vAlign w:val="top"/>
            <w:textDirection w:val="lrTb"/>
            <w:noWrap w:val="false"/>
          </w:tcPr>
          <w:p>
            <w:pPr>
              <w:pStyle w:val="965"/>
              <w:rPr>
                <w:b/>
                <w:sz w:val="20"/>
                <w:szCs w:val="20"/>
              </w:rPr>
            </w:pPr>
            <w:r>
              <w:rPr>
                <w:b/>
                <w:sz w:val="20"/>
                <w:szCs w:val="20"/>
              </w:rPr>
              <w:t xml:space="preserve">Хранение и учет на счете ДЕПО ценных бумаг Депонентов </w:t>
            </w:r>
            <w:r>
              <w:rPr>
                <w:b/>
                <w:sz w:val="20"/>
                <w:szCs w:val="20"/>
                <w:vertAlign w:val="superscript"/>
              </w:rPr>
              <w:t xml:space="preserve">3</w:t>
            </w:r>
            <w:r>
              <w:rPr>
                <w:b/>
                <w:sz w:val="20"/>
                <w:szCs w:val="20"/>
              </w:rPr>
              <w:t xml:space="preserve">, принятых </w:t>
            </w:r>
            <w:r>
              <w:rPr>
                <w:b/>
                <w:sz w:val="20"/>
                <w:szCs w:val="20"/>
              </w:rPr>
            </w:r>
            <w:r>
              <w:rPr>
                <w:b/>
                <w:sz w:val="20"/>
                <w:szCs w:val="20"/>
              </w:rPr>
            </w:r>
          </w:p>
          <w:p>
            <w:pPr>
              <w:pStyle w:val="965"/>
              <w:rPr>
                <w:b/>
                <w:sz w:val="20"/>
                <w:szCs w:val="20"/>
              </w:rPr>
            </w:pPr>
            <w:r>
              <w:rPr>
                <w:b/>
                <w:sz w:val="20"/>
                <w:szCs w:val="20"/>
              </w:rPr>
              <w:t xml:space="preserve">АО «Россельхозбанк» на брокерское обслуживание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continue"/>
            <w:textDirection w:val="lrTb"/>
            <w:noWrap w:val="false"/>
          </w:tcPr>
          <w:p>
            <w:pPr>
              <w:pStyle w:val="965"/>
              <w:jc w:val="center"/>
              <w:rPr>
                <w:sz w:val="20"/>
                <w:szCs w:val="20"/>
              </w:rPr>
            </w:pPr>
            <w:r>
              <w:rPr>
                <w:sz w:val="20"/>
                <w:szCs w:val="20"/>
              </w:rPr>
            </w:r>
            <w:r>
              <w:rPr>
                <w:sz w:val="20"/>
                <w:szCs w:val="20"/>
              </w:rPr>
            </w:r>
            <w:r>
              <w:rPr>
                <w:sz w:val="20"/>
                <w:szCs w:val="20"/>
              </w:rPr>
            </w:r>
          </w:p>
        </w:tc>
        <w:tc>
          <w:tcPr>
            <w:tcW w:w="3664" w:type="dxa"/>
            <w:vAlign w:val="top"/>
            <w:textDirection w:val="lrTb"/>
            <w:noWrap w:val="false"/>
          </w:tcPr>
          <w:p>
            <w:pPr>
              <w:pStyle w:val="965"/>
              <w:rPr>
                <w:sz w:val="20"/>
                <w:szCs w:val="20"/>
              </w:rPr>
            </w:pPr>
            <w:r>
              <w:rPr>
                <w:sz w:val="20"/>
                <w:szCs w:val="20"/>
              </w:rPr>
            </w:r>
            <w:r>
              <w:rPr>
                <w:sz w:val="20"/>
                <w:szCs w:val="20"/>
              </w:rPr>
            </w:r>
            <w:r>
              <w:rPr>
                <w:sz w:val="20"/>
                <w:szCs w:val="20"/>
              </w:rPr>
            </w:r>
          </w:p>
        </w:tc>
        <w:tc>
          <w:tcPr>
            <w:tcW w:w="1657" w:type="dxa"/>
            <w:vAlign w:val="top"/>
            <w:textDirection w:val="lrTb"/>
            <w:noWrap w:val="false"/>
          </w:tcPr>
          <w:p>
            <w:pPr>
              <w:pStyle w:val="965"/>
              <w:ind w:left="-72" w:right="-101"/>
              <w:jc w:val="center"/>
              <w:spacing w:before="40" w:after="40"/>
              <w:rPr>
                <w:color w:val="000000"/>
                <w:sz w:val="20"/>
                <w:szCs w:val="20"/>
              </w:rPr>
            </w:pPr>
            <w:r>
              <w:rPr>
                <w:color w:val="000000"/>
                <w:sz w:val="20"/>
                <w:szCs w:val="20"/>
              </w:rPr>
            </w:r>
            <w:r>
              <w:rPr>
                <w:color w:val="000000"/>
                <w:sz w:val="20"/>
                <w:szCs w:val="20"/>
              </w:rPr>
            </w:r>
            <w:r>
              <w:rPr>
                <w:color w:val="000000"/>
                <w:sz w:val="20"/>
                <w:szCs w:val="20"/>
              </w:rPr>
            </w:r>
          </w:p>
          <w:p>
            <w:pPr>
              <w:pStyle w:val="965"/>
              <w:ind w:left="-72" w:right="-101"/>
              <w:jc w:val="center"/>
              <w:spacing w:before="40" w:after="40"/>
              <w:rPr>
                <w:bCs/>
                <w:sz w:val="20"/>
                <w:szCs w:val="20"/>
              </w:rPr>
            </w:pPr>
            <w:r>
              <w:rPr>
                <w:color w:val="000000"/>
                <w:sz w:val="20"/>
                <w:szCs w:val="20"/>
              </w:rPr>
              <w:t xml:space="preserve">Средневзвешенная стоимость</w:t>
            </w:r>
            <w:r>
              <w:rPr>
                <w:rStyle w:val="991"/>
                <w:sz w:val="20"/>
                <w:szCs w:val="20"/>
              </w:rPr>
              <w:footnoteReference w:id="3"/>
            </w:r>
            <w:r>
              <w:rPr>
                <w:color w:val="000000"/>
                <w:sz w:val="20"/>
                <w:szCs w:val="20"/>
              </w:rPr>
              <w:t xml:space="preserve"> ценных бумаг (млрд. руб.)</w:t>
            </w:r>
            <w:r>
              <w:rPr>
                <w:bCs/>
                <w:sz w:val="20"/>
                <w:szCs w:val="20"/>
              </w:rPr>
            </w:r>
            <w:r>
              <w:rPr>
                <w:bCs/>
                <w:sz w:val="20"/>
                <w:szCs w:val="20"/>
              </w:rPr>
            </w:r>
          </w:p>
        </w:tc>
        <w:tc>
          <w:tcPr>
            <w:tcW w:w="1138" w:type="dxa"/>
            <w:vAlign w:val="center"/>
            <w:textDirection w:val="lrTb"/>
            <w:noWrap w:val="false"/>
          </w:tcPr>
          <w:p>
            <w:pPr>
              <w:pStyle w:val="965"/>
              <w:ind w:left="-72" w:right="-101"/>
              <w:jc w:val="center"/>
              <w:spacing w:before="40" w:after="40"/>
              <w:rPr>
                <w:bCs/>
                <w:sz w:val="20"/>
                <w:szCs w:val="20"/>
              </w:rPr>
            </w:pPr>
            <w:r>
              <w:rPr>
                <w:bCs/>
                <w:sz w:val="20"/>
                <w:szCs w:val="20"/>
              </w:rPr>
            </w:r>
            <w:r>
              <w:rPr>
                <w:bCs/>
                <w:sz w:val="20"/>
                <w:szCs w:val="20"/>
              </w:rPr>
            </w:r>
            <w:r>
              <w:rPr>
                <w:bCs/>
                <w:sz w:val="20"/>
                <w:szCs w:val="20"/>
              </w:rPr>
            </w:r>
          </w:p>
          <w:p>
            <w:pPr>
              <w:pStyle w:val="965"/>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965"/>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restart"/>
            <w:textDirection w:val="lrTb"/>
            <w:noWrap w:val="false"/>
          </w:tcPr>
          <w:p>
            <w:pPr>
              <w:pStyle w:val="965"/>
              <w:jc w:val="center"/>
              <w:rPr>
                <w:rFonts w:eastAsia="Arial Unicode MS"/>
                <w:b/>
                <w:sz w:val="20"/>
                <w:szCs w:val="20"/>
              </w:rPr>
            </w:pPr>
            <w:r>
              <w:rPr>
                <w:b/>
                <w:sz w:val="20"/>
                <w:szCs w:val="20"/>
              </w:rPr>
              <w:t xml:space="preserve">9.2.7.1.</w:t>
            </w:r>
            <w:r>
              <w:rPr>
                <w:rFonts w:eastAsia="Arial Unicode MS"/>
                <w:b/>
                <w:sz w:val="20"/>
                <w:szCs w:val="20"/>
              </w:rPr>
            </w:r>
            <w:r>
              <w:rPr>
                <w:rFonts w:eastAsia="Arial Unicode MS"/>
                <w:b/>
                <w:sz w:val="20"/>
                <w:szCs w:val="20"/>
              </w:rPr>
            </w:r>
          </w:p>
        </w:tc>
        <w:tc>
          <w:tcPr>
            <w:tcW w:w="3664" w:type="dxa"/>
            <w:vAlign w:val="top"/>
            <w:vMerge w:val="restart"/>
            <w:textDirection w:val="lrTb"/>
            <w:noWrap w:val="false"/>
          </w:tcPr>
          <w:p>
            <w:pPr>
              <w:pStyle w:val="965"/>
              <w:rPr>
                <w:rFonts w:eastAsia="Arial Unicode MS"/>
                <w:b/>
                <w:sz w:val="20"/>
                <w:szCs w:val="20"/>
              </w:rPr>
            </w:pPr>
            <w:r>
              <w:rPr>
                <w:b/>
                <w:sz w:val="20"/>
                <w:szCs w:val="20"/>
              </w:rPr>
              <w:t xml:space="preserve">Депозитарный учет облигаций, выпущенных на территории Российской Федерации  </w:t>
            </w:r>
            <w:r>
              <w:rPr>
                <w:rFonts w:eastAsia="Arial Unicode MS"/>
                <w:b/>
                <w:sz w:val="20"/>
                <w:szCs w:val="20"/>
              </w:rPr>
            </w:r>
            <w:r>
              <w:rPr>
                <w:rFonts w:eastAsia="Arial Unicode MS"/>
                <w:b/>
                <w:sz w:val="20"/>
                <w:szCs w:val="20"/>
              </w:rPr>
            </w:r>
          </w:p>
        </w:tc>
        <w:tc>
          <w:tcPr>
            <w:tcW w:w="1657" w:type="dxa"/>
            <w:vAlign w:val="center"/>
            <w:textDirection w:val="lrTb"/>
            <w:noWrap w:val="false"/>
          </w:tcPr>
          <w:p>
            <w:pPr>
              <w:pStyle w:val="965"/>
              <w:jc w:val="center"/>
              <w:rPr>
                <w:sz w:val="20"/>
                <w:szCs w:val="20"/>
              </w:rPr>
            </w:pPr>
            <w:r>
              <w:rPr>
                <w:sz w:val="20"/>
                <w:szCs w:val="20"/>
              </w:rPr>
              <w:t xml:space="preserve">до 1</w:t>
            </w:r>
            <w:r>
              <w:rPr>
                <w:sz w:val="20"/>
                <w:szCs w:val="20"/>
              </w:rPr>
            </w:r>
            <w:r>
              <w:rPr>
                <w:sz w:val="20"/>
                <w:szCs w:val="20"/>
              </w:rPr>
            </w:r>
          </w:p>
        </w:tc>
        <w:tc>
          <w:tcPr>
            <w:tcW w:w="1138" w:type="dxa"/>
            <w:vAlign w:val="top"/>
            <w:textDirection w:val="lrTb"/>
            <w:noWrap w:val="false"/>
          </w:tcPr>
          <w:p>
            <w:pPr>
              <w:pStyle w:val="965"/>
              <w:jc w:val="center"/>
              <w:rPr>
                <w:sz w:val="20"/>
                <w:szCs w:val="20"/>
              </w:rPr>
            </w:pPr>
            <w:r>
              <w:rPr>
                <w:sz w:val="20"/>
                <w:szCs w:val="20"/>
              </w:rPr>
              <w:t xml:space="preserve">0,026% минимум 30 руб. в месяц</w:t>
            </w:r>
            <w:r>
              <w:rPr>
                <w:sz w:val="20"/>
                <w:szCs w:val="20"/>
              </w:rPr>
            </w:r>
            <w:r>
              <w:rPr>
                <w:sz w:val="20"/>
                <w:szCs w:val="20"/>
              </w:rPr>
            </w:r>
          </w:p>
        </w:tc>
        <w:tc>
          <w:tcPr>
            <w:tcW w:w="2753" w:type="dxa"/>
            <w:vAlign w:val="top"/>
            <w:vMerge w:val="restart"/>
            <w:textDirection w:val="lrTb"/>
            <w:noWrap w:val="false"/>
          </w:tcPr>
          <w:p>
            <w:pPr>
              <w:pStyle w:val="965"/>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965"/>
              <w:rPr>
                <w:sz w:val="20"/>
                <w:szCs w:val="20"/>
              </w:rPr>
            </w:pPr>
            <w:r>
              <w:rPr>
                <w:sz w:val="20"/>
                <w:szCs w:val="20"/>
              </w:rPr>
            </w:r>
            <w:r>
              <w:rPr>
                <w:sz w:val="20"/>
                <w:szCs w:val="20"/>
              </w:rPr>
            </w:r>
            <w:r>
              <w:rPr>
                <w:sz w:val="20"/>
                <w:szCs w:val="20"/>
              </w:rPr>
            </w:r>
          </w:p>
          <w:p>
            <w:pPr>
              <w:pStyle w:val="965"/>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continue"/>
            <w:textDirection w:val="lrTb"/>
            <w:noWrap w:val="false"/>
          </w:tcPr>
          <w:p>
            <w:pPr>
              <w:pStyle w:val="965"/>
              <w:jc w:val="center"/>
              <w:rPr>
                <w:b/>
                <w:sz w:val="20"/>
                <w:szCs w:val="20"/>
              </w:rPr>
            </w:pPr>
            <w:r>
              <w:rPr>
                <w:b/>
                <w:sz w:val="20"/>
                <w:szCs w:val="20"/>
              </w:rPr>
            </w:r>
            <w:r>
              <w:rPr>
                <w:b/>
                <w:sz w:val="20"/>
                <w:szCs w:val="20"/>
              </w:rPr>
            </w:r>
            <w:r>
              <w:rPr>
                <w:b/>
                <w:sz w:val="20"/>
                <w:szCs w:val="20"/>
              </w:rPr>
            </w:r>
          </w:p>
        </w:tc>
        <w:tc>
          <w:tcPr>
            <w:tcW w:w="3664" w:type="dxa"/>
            <w:vAlign w:val="top"/>
            <w:vMerge w:val="continue"/>
            <w:textDirection w:val="lrTb"/>
            <w:noWrap w:val="false"/>
          </w:tcPr>
          <w:p>
            <w:pPr>
              <w:pStyle w:val="965"/>
              <w:rPr>
                <w:b/>
                <w:sz w:val="20"/>
                <w:szCs w:val="20"/>
              </w:rPr>
            </w:pPr>
            <w:r>
              <w:rPr>
                <w:b/>
                <w:sz w:val="20"/>
                <w:szCs w:val="20"/>
              </w:rPr>
            </w:r>
            <w:r>
              <w:rPr>
                <w:b/>
                <w:sz w:val="20"/>
                <w:szCs w:val="20"/>
              </w:rPr>
            </w:r>
            <w:r>
              <w:rPr>
                <w:b/>
                <w:sz w:val="20"/>
                <w:szCs w:val="20"/>
              </w:rPr>
            </w:r>
          </w:p>
        </w:tc>
        <w:tc>
          <w:tcPr>
            <w:tcW w:w="1657" w:type="dxa"/>
            <w:vAlign w:val="center"/>
            <w:textDirection w:val="lrTb"/>
            <w:noWrap w:val="false"/>
          </w:tcPr>
          <w:p>
            <w:pPr>
              <w:pStyle w:val="965"/>
              <w:jc w:val="center"/>
              <w:rPr>
                <w:sz w:val="20"/>
                <w:szCs w:val="20"/>
              </w:rPr>
            </w:pPr>
            <w:r>
              <w:rPr>
                <w:sz w:val="20"/>
                <w:szCs w:val="20"/>
              </w:rPr>
              <w:t xml:space="preserve">от 1 до 5</w:t>
            </w:r>
            <w:r>
              <w:rPr>
                <w:sz w:val="20"/>
                <w:szCs w:val="20"/>
              </w:rPr>
            </w:r>
            <w:r>
              <w:rPr>
                <w:sz w:val="20"/>
                <w:szCs w:val="20"/>
              </w:rPr>
            </w:r>
          </w:p>
        </w:tc>
        <w:tc>
          <w:tcPr>
            <w:tcW w:w="1138" w:type="dxa"/>
            <w:vAlign w:val="top"/>
            <w:textDirection w:val="lrTb"/>
            <w:noWrap w:val="false"/>
          </w:tcPr>
          <w:p>
            <w:pPr>
              <w:pStyle w:val="965"/>
              <w:jc w:val="center"/>
              <w:rPr>
                <w:sz w:val="20"/>
                <w:szCs w:val="20"/>
              </w:rPr>
            </w:pPr>
            <w:r>
              <w:rPr>
                <w:sz w:val="20"/>
                <w:szCs w:val="20"/>
              </w:rPr>
              <w:t xml:space="preserve">0,024 %</w:t>
            </w:r>
            <w:r>
              <w:rPr>
                <w:sz w:val="20"/>
                <w:szCs w:val="20"/>
              </w:rPr>
            </w:r>
            <w:r>
              <w:rPr>
                <w:sz w:val="20"/>
                <w:szCs w:val="20"/>
              </w:rPr>
            </w:r>
          </w:p>
        </w:tc>
        <w:tc>
          <w:tcPr>
            <w:tcW w:w="2753" w:type="dxa"/>
            <w:vAlign w:val="top"/>
            <w:vMerge w:val="continue"/>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continue"/>
            <w:textDirection w:val="lrTb"/>
            <w:noWrap w:val="false"/>
          </w:tcPr>
          <w:p>
            <w:pPr>
              <w:pStyle w:val="965"/>
              <w:jc w:val="center"/>
              <w:rPr>
                <w:b/>
                <w:sz w:val="20"/>
                <w:szCs w:val="20"/>
              </w:rPr>
            </w:pPr>
            <w:r>
              <w:rPr>
                <w:b/>
                <w:sz w:val="20"/>
                <w:szCs w:val="20"/>
              </w:rPr>
            </w:r>
            <w:r>
              <w:rPr>
                <w:b/>
                <w:sz w:val="20"/>
                <w:szCs w:val="20"/>
              </w:rPr>
            </w:r>
            <w:r>
              <w:rPr>
                <w:b/>
                <w:sz w:val="20"/>
                <w:szCs w:val="20"/>
              </w:rPr>
            </w:r>
          </w:p>
        </w:tc>
        <w:tc>
          <w:tcPr>
            <w:tcW w:w="3664" w:type="dxa"/>
            <w:vAlign w:val="top"/>
            <w:vMerge w:val="continue"/>
            <w:textDirection w:val="lrTb"/>
            <w:noWrap w:val="false"/>
          </w:tcPr>
          <w:p>
            <w:pPr>
              <w:pStyle w:val="965"/>
              <w:rPr>
                <w:b/>
                <w:sz w:val="20"/>
                <w:szCs w:val="20"/>
              </w:rPr>
            </w:pPr>
            <w:r>
              <w:rPr>
                <w:b/>
                <w:sz w:val="20"/>
                <w:szCs w:val="20"/>
              </w:rPr>
            </w:r>
            <w:r>
              <w:rPr>
                <w:b/>
                <w:sz w:val="20"/>
                <w:szCs w:val="20"/>
              </w:rPr>
            </w:r>
            <w:r>
              <w:rPr>
                <w:b/>
                <w:sz w:val="20"/>
                <w:szCs w:val="20"/>
              </w:rPr>
            </w:r>
          </w:p>
        </w:tc>
        <w:tc>
          <w:tcPr>
            <w:tcW w:w="1657" w:type="dxa"/>
            <w:vAlign w:val="center"/>
            <w:textDirection w:val="lrTb"/>
            <w:noWrap w:val="false"/>
          </w:tcPr>
          <w:p>
            <w:pPr>
              <w:pStyle w:val="965"/>
              <w:jc w:val="center"/>
              <w:rPr>
                <w:sz w:val="20"/>
                <w:szCs w:val="20"/>
              </w:rPr>
            </w:pPr>
            <w:r>
              <w:rPr>
                <w:sz w:val="20"/>
                <w:szCs w:val="20"/>
              </w:rPr>
              <w:t xml:space="preserve">от 5 до 10</w:t>
            </w:r>
            <w:r>
              <w:rPr>
                <w:sz w:val="20"/>
                <w:szCs w:val="20"/>
              </w:rPr>
            </w:r>
            <w:r>
              <w:rPr>
                <w:sz w:val="20"/>
                <w:szCs w:val="20"/>
              </w:rPr>
            </w:r>
          </w:p>
        </w:tc>
        <w:tc>
          <w:tcPr>
            <w:tcW w:w="1138" w:type="dxa"/>
            <w:vAlign w:val="top"/>
            <w:textDirection w:val="lrTb"/>
            <w:noWrap w:val="false"/>
          </w:tcPr>
          <w:p>
            <w:pPr>
              <w:pStyle w:val="965"/>
              <w:jc w:val="center"/>
              <w:rPr>
                <w:sz w:val="20"/>
                <w:szCs w:val="20"/>
              </w:rPr>
            </w:pPr>
            <w:r>
              <w:rPr>
                <w:sz w:val="20"/>
                <w:szCs w:val="20"/>
              </w:rPr>
              <w:t xml:space="preserve">0,0197%</w:t>
            </w:r>
            <w:r>
              <w:rPr>
                <w:sz w:val="20"/>
                <w:szCs w:val="20"/>
              </w:rPr>
            </w:r>
            <w:r>
              <w:rPr>
                <w:sz w:val="20"/>
                <w:szCs w:val="20"/>
              </w:rPr>
            </w:r>
          </w:p>
        </w:tc>
        <w:tc>
          <w:tcPr>
            <w:tcW w:w="2753" w:type="dxa"/>
            <w:vAlign w:val="top"/>
            <w:vMerge w:val="continue"/>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continue"/>
            <w:textDirection w:val="lrTb"/>
            <w:noWrap w:val="false"/>
          </w:tcPr>
          <w:p>
            <w:pPr>
              <w:pStyle w:val="965"/>
              <w:jc w:val="center"/>
              <w:rPr>
                <w:b/>
                <w:sz w:val="20"/>
                <w:szCs w:val="20"/>
              </w:rPr>
            </w:pPr>
            <w:r>
              <w:rPr>
                <w:b/>
                <w:sz w:val="20"/>
                <w:szCs w:val="20"/>
              </w:rPr>
            </w:r>
            <w:r>
              <w:rPr>
                <w:b/>
                <w:sz w:val="20"/>
                <w:szCs w:val="20"/>
              </w:rPr>
            </w:r>
            <w:r>
              <w:rPr>
                <w:b/>
                <w:sz w:val="20"/>
                <w:szCs w:val="20"/>
              </w:rPr>
            </w:r>
          </w:p>
        </w:tc>
        <w:tc>
          <w:tcPr>
            <w:tcW w:w="3664" w:type="dxa"/>
            <w:vAlign w:val="top"/>
            <w:vMerge w:val="continue"/>
            <w:textDirection w:val="lrTb"/>
            <w:noWrap w:val="false"/>
          </w:tcPr>
          <w:p>
            <w:pPr>
              <w:pStyle w:val="965"/>
              <w:rPr>
                <w:b/>
                <w:sz w:val="20"/>
                <w:szCs w:val="20"/>
              </w:rPr>
            </w:pPr>
            <w:r>
              <w:rPr>
                <w:b/>
                <w:sz w:val="20"/>
                <w:szCs w:val="20"/>
              </w:rPr>
            </w:r>
            <w:r>
              <w:rPr>
                <w:b/>
                <w:sz w:val="20"/>
                <w:szCs w:val="20"/>
              </w:rPr>
            </w:r>
            <w:r>
              <w:rPr>
                <w:b/>
                <w:sz w:val="20"/>
                <w:szCs w:val="20"/>
              </w:rPr>
            </w:r>
          </w:p>
        </w:tc>
        <w:tc>
          <w:tcPr>
            <w:tcW w:w="1657" w:type="dxa"/>
            <w:vAlign w:val="center"/>
            <w:textDirection w:val="lrTb"/>
            <w:noWrap w:val="false"/>
          </w:tcPr>
          <w:p>
            <w:pPr>
              <w:pStyle w:val="965"/>
              <w:jc w:val="center"/>
              <w:rPr>
                <w:sz w:val="20"/>
                <w:szCs w:val="20"/>
              </w:rPr>
            </w:pPr>
            <w:r>
              <w:rPr>
                <w:sz w:val="20"/>
                <w:szCs w:val="20"/>
              </w:rPr>
              <w:t xml:space="preserve">от 10 до 20</w:t>
            </w:r>
            <w:r>
              <w:rPr>
                <w:sz w:val="20"/>
                <w:szCs w:val="20"/>
              </w:rPr>
            </w:r>
            <w:r>
              <w:rPr>
                <w:sz w:val="20"/>
                <w:szCs w:val="20"/>
              </w:rPr>
            </w:r>
          </w:p>
        </w:tc>
        <w:tc>
          <w:tcPr>
            <w:tcW w:w="1138" w:type="dxa"/>
            <w:vAlign w:val="top"/>
            <w:textDirection w:val="lrTb"/>
            <w:noWrap w:val="false"/>
          </w:tcPr>
          <w:p>
            <w:pPr>
              <w:pStyle w:val="965"/>
              <w:jc w:val="center"/>
              <w:rPr>
                <w:sz w:val="20"/>
                <w:szCs w:val="20"/>
              </w:rPr>
            </w:pPr>
            <w:r>
              <w:rPr>
                <w:sz w:val="20"/>
                <w:szCs w:val="20"/>
              </w:rPr>
              <w:t xml:space="preserve">0,0192%</w:t>
            </w:r>
            <w:r>
              <w:rPr>
                <w:sz w:val="20"/>
                <w:szCs w:val="20"/>
              </w:rPr>
            </w:r>
            <w:r>
              <w:rPr>
                <w:sz w:val="20"/>
                <w:szCs w:val="20"/>
              </w:rPr>
            </w:r>
          </w:p>
        </w:tc>
        <w:tc>
          <w:tcPr>
            <w:tcW w:w="2753" w:type="dxa"/>
            <w:vAlign w:val="top"/>
            <w:vMerge w:val="continue"/>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continue"/>
            <w:textDirection w:val="lrTb"/>
            <w:noWrap w:val="false"/>
          </w:tcPr>
          <w:p>
            <w:pPr>
              <w:pStyle w:val="965"/>
              <w:jc w:val="center"/>
              <w:rPr>
                <w:b/>
                <w:sz w:val="20"/>
                <w:szCs w:val="20"/>
              </w:rPr>
            </w:pPr>
            <w:r>
              <w:rPr>
                <w:b/>
                <w:sz w:val="20"/>
                <w:szCs w:val="20"/>
              </w:rPr>
            </w:r>
            <w:r>
              <w:rPr>
                <w:b/>
                <w:sz w:val="20"/>
                <w:szCs w:val="20"/>
              </w:rPr>
            </w:r>
            <w:r>
              <w:rPr>
                <w:b/>
                <w:sz w:val="20"/>
                <w:szCs w:val="20"/>
              </w:rPr>
            </w:r>
          </w:p>
        </w:tc>
        <w:tc>
          <w:tcPr>
            <w:tcW w:w="3664" w:type="dxa"/>
            <w:vAlign w:val="top"/>
            <w:vMerge w:val="continue"/>
            <w:textDirection w:val="lrTb"/>
            <w:noWrap w:val="false"/>
          </w:tcPr>
          <w:p>
            <w:pPr>
              <w:pStyle w:val="965"/>
              <w:rPr>
                <w:b/>
                <w:sz w:val="20"/>
                <w:szCs w:val="20"/>
              </w:rPr>
            </w:pPr>
            <w:r>
              <w:rPr>
                <w:b/>
                <w:sz w:val="20"/>
                <w:szCs w:val="20"/>
              </w:rPr>
            </w:r>
            <w:r>
              <w:rPr>
                <w:b/>
                <w:sz w:val="20"/>
                <w:szCs w:val="20"/>
              </w:rPr>
            </w:r>
            <w:r>
              <w:rPr>
                <w:b/>
                <w:sz w:val="20"/>
                <w:szCs w:val="20"/>
              </w:rPr>
            </w:r>
          </w:p>
        </w:tc>
        <w:tc>
          <w:tcPr>
            <w:tcW w:w="1657" w:type="dxa"/>
            <w:vAlign w:val="center"/>
            <w:textDirection w:val="lrTb"/>
            <w:noWrap w:val="false"/>
          </w:tcPr>
          <w:p>
            <w:pPr>
              <w:pStyle w:val="965"/>
              <w:jc w:val="center"/>
              <w:rPr>
                <w:sz w:val="20"/>
                <w:szCs w:val="20"/>
              </w:rPr>
            </w:pPr>
            <w:r>
              <w:rPr>
                <w:sz w:val="20"/>
                <w:szCs w:val="20"/>
              </w:rPr>
              <w:t xml:space="preserve">от 20 до 50</w:t>
            </w:r>
            <w:r>
              <w:rPr>
                <w:sz w:val="20"/>
                <w:szCs w:val="20"/>
              </w:rPr>
            </w:r>
            <w:r>
              <w:rPr>
                <w:sz w:val="20"/>
                <w:szCs w:val="20"/>
              </w:rPr>
            </w:r>
          </w:p>
        </w:tc>
        <w:tc>
          <w:tcPr>
            <w:tcW w:w="1138" w:type="dxa"/>
            <w:vAlign w:val="top"/>
            <w:textDirection w:val="lrTb"/>
            <w:noWrap w:val="false"/>
          </w:tcPr>
          <w:p>
            <w:pPr>
              <w:pStyle w:val="965"/>
              <w:jc w:val="center"/>
              <w:rPr>
                <w:sz w:val="20"/>
                <w:szCs w:val="20"/>
              </w:rPr>
            </w:pPr>
            <w:r>
              <w:rPr>
                <w:sz w:val="20"/>
                <w:szCs w:val="20"/>
              </w:rPr>
              <w:t xml:space="preserve">0,0172%</w:t>
            </w:r>
            <w:r>
              <w:rPr>
                <w:sz w:val="20"/>
                <w:szCs w:val="20"/>
              </w:rPr>
            </w:r>
            <w:r>
              <w:rPr>
                <w:sz w:val="20"/>
                <w:szCs w:val="20"/>
              </w:rPr>
            </w:r>
          </w:p>
        </w:tc>
        <w:tc>
          <w:tcPr>
            <w:tcW w:w="2753" w:type="dxa"/>
            <w:vAlign w:val="top"/>
            <w:vMerge w:val="continue"/>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continue"/>
            <w:textDirection w:val="lrTb"/>
            <w:noWrap w:val="false"/>
          </w:tcPr>
          <w:p>
            <w:pPr>
              <w:pStyle w:val="965"/>
              <w:jc w:val="center"/>
              <w:rPr>
                <w:b/>
                <w:sz w:val="20"/>
                <w:szCs w:val="20"/>
              </w:rPr>
            </w:pPr>
            <w:r>
              <w:rPr>
                <w:b/>
                <w:sz w:val="20"/>
                <w:szCs w:val="20"/>
              </w:rPr>
            </w:r>
            <w:r>
              <w:rPr>
                <w:b/>
                <w:sz w:val="20"/>
                <w:szCs w:val="20"/>
              </w:rPr>
            </w:r>
            <w:r>
              <w:rPr>
                <w:b/>
                <w:sz w:val="20"/>
                <w:szCs w:val="20"/>
              </w:rPr>
            </w:r>
          </w:p>
        </w:tc>
        <w:tc>
          <w:tcPr>
            <w:tcW w:w="3664" w:type="dxa"/>
            <w:vAlign w:val="top"/>
            <w:vMerge w:val="continue"/>
            <w:textDirection w:val="lrTb"/>
            <w:noWrap w:val="false"/>
          </w:tcPr>
          <w:p>
            <w:pPr>
              <w:pStyle w:val="965"/>
              <w:rPr>
                <w:b/>
                <w:sz w:val="20"/>
                <w:szCs w:val="20"/>
              </w:rPr>
            </w:pPr>
            <w:r>
              <w:rPr>
                <w:b/>
                <w:sz w:val="20"/>
                <w:szCs w:val="20"/>
              </w:rPr>
            </w:r>
            <w:r>
              <w:rPr>
                <w:b/>
                <w:sz w:val="20"/>
                <w:szCs w:val="20"/>
              </w:rPr>
            </w:r>
            <w:r>
              <w:rPr>
                <w:b/>
                <w:sz w:val="20"/>
                <w:szCs w:val="20"/>
              </w:rPr>
            </w:r>
          </w:p>
        </w:tc>
        <w:tc>
          <w:tcPr>
            <w:tcW w:w="1657" w:type="dxa"/>
            <w:vAlign w:val="center"/>
            <w:textDirection w:val="lrTb"/>
            <w:noWrap w:val="false"/>
          </w:tcPr>
          <w:p>
            <w:pPr>
              <w:pStyle w:val="965"/>
              <w:jc w:val="center"/>
              <w:rPr>
                <w:sz w:val="20"/>
                <w:szCs w:val="20"/>
              </w:rPr>
            </w:pPr>
            <w:r>
              <w:rPr>
                <w:sz w:val="20"/>
                <w:szCs w:val="20"/>
              </w:rPr>
              <w:t xml:space="preserve">свыше 50</w:t>
            </w:r>
            <w:r>
              <w:rPr>
                <w:sz w:val="20"/>
                <w:szCs w:val="20"/>
              </w:rPr>
            </w:r>
            <w:r>
              <w:rPr>
                <w:sz w:val="20"/>
                <w:szCs w:val="20"/>
              </w:rPr>
            </w:r>
          </w:p>
        </w:tc>
        <w:tc>
          <w:tcPr>
            <w:tcW w:w="1138" w:type="dxa"/>
            <w:vAlign w:val="top"/>
            <w:textDirection w:val="lrTb"/>
            <w:noWrap w:val="false"/>
          </w:tcPr>
          <w:p>
            <w:pPr>
              <w:pStyle w:val="965"/>
              <w:jc w:val="center"/>
              <w:rPr>
                <w:sz w:val="20"/>
                <w:szCs w:val="20"/>
              </w:rPr>
            </w:pPr>
            <w:r>
              <w:rPr>
                <w:sz w:val="20"/>
                <w:szCs w:val="20"/>
              </w:rPr>
              <w:t xml:space="preserve">0,016%</w:t>
            </w:r>
            <w:r>
              <w:rPr>
                <w:sz w:val="20"/>
                <w:szCs w:val="20"/>
              </w:rPr>
            </w:r>
            <w:r>
              <w:rPr>
                <w:sz w:val="20"/>
                <w:szCs w:val="20"/>
              </w:rPr>
            </w:r>
          </w:p>
        </w:tc>
        <w:tc>
          <w:tcPr>
            <w:tcW w:w="2753" w:type="dxa"/>
            <w:vAlign w:val="top"/>
            <w:vMerge w:val="continue"/>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40" w:type="dxa"/>
            <w:vAlign w:val="top"/>
            <w:vMerge w:val="restart"/>
            <w:textDirection w:val="lrTb"/>
            <w:noWrap w:val="false"/>
          </w:tcPr>
          <w:p>
            <w:pPr>
              <w:pStyle w:val="965"/>
              <w:jc w:val="center"/>
              <w:rPr>
                <w:b/>
                <w:sz w:val="20"/>
                <w:szCs w:val="20"/>
              </w:rPr>
            </w:pPr>
            <w:r>
              <w:rPr>
                <w:b/>
                <w:sz w:val="20"/>
                <w:szCs w:val="20"/>
              </w:rPr>
              <w:t xml:space="preserve">9.2.7.2.</w:t>
            </w:r>
            <w:r>
              <w:rPr>
                <w:b/>
                <w:sz w:val="20"/>
                <w:szCs w:val="20"/>
              </w:rPr>
            </w:r>
            <w:r>
              <w:rPr>
                <w:b/>
                <w:sz w:val="20"/>
                <w:szCs w:val="20"/>
              </w:rPr>
            </w:r>
          </w:p>
        </w:tc>
        <w:tc>
          <w:tcPr>
            <w:tcW w:w="3664" w:type="dxa"/>
            <w:vAlign w:val="top"/>
            <w:vMerge w:val="restart"/>
            <w:textDirection w:val="lrTb"/>
            <w:noWrap w:val="false"/>
          </w:tcPr>
          <w:p>
            <w:pPr>
              <w:pStyle w:val="965"/>
              <w:rPr>
                <w:b/>
                <w:sz w:val="20"/>
                <w:szCs w:val="20"/>
              </w:rPr>
            </w:pPr>
            <w:r>
              <w:rPr>
                <w:b/>
                <w:sz w:val="20"/>
                <w:szCs w:val="20"/>
              </w:rPr>
              <w:t xml:space="preserve">Депозитарный учет акций и  российских депозитарных расписок, выпущенных на территории Российской Федерации  </w:t>
            </w:r>
            <w:r>
              <w:rPr>
                <w:b/>
                <w:sz w:val="20"/>
                <w:szCs w:val="20"/>
              </w:rPr>
            </w:r>
            <w:r>
              <w:rPr>
                <w:b/>
                <w:sz w:val="20"/>
                <w:szCs w:val="20"/>
              </w:rPr>
            </w:r>
          </w:p>
        </w:tc>
        <w:tc>
          <w:tcPr>
            <w:tcW w:w="1657" w:type="dxa"/>
            <w:vAlign w:val="center"/>
            <w:textDirection w:val="lrTb"/>
            <w:noWrap w:val="false"/>
          </w:tcPr>
          <w:p>
            <w:pPr>
              <w:pStyle w:val="965"/>
              <w:jc w:val="center"/>
              <w:rPr>
                <w:sz w:val="20"/>
                <w:szCs w:val="20"/>
              </w:rPr>
            </w:pPr>
            <w:r>
              <w:rPr>
                <w:sz w:val="20"/>
                <w:szCs w:val="20"/>
              </w:rPr>
              <w:t xml:space="preserve">до 0,5</w:t>
            </w:r>
            <w:r>
              <w:rPr>
                <w:sz w:val="20"/>
                <w:szCs w:val="20"/>
              </w:rPr>
            </w:r>
            <w:r>
              <w:rPr>
                <w:sz w:val="20"/>
                <w:szCs w:val="20"/>
              </w:rPr>
            </w:r>
          </w:p>
        </w:tc>
        <w:tc>
          <w:tcPr>
            <w:tcW w:w="1138" w:type="dxa"/>
            <w:vAlign w:val="top"/>
            <w:textDirection w:val="lrTb"/>
            <w:noWrap w:val="false"/>
          </w:tcPr>
          <w:p>
            <w:pPr>
              <w:pStyle w:val="965"/>
              <w:jc w:val="center"/>
              <w:rPr>
                <w:sz w:val="20"/>
                <w:szCs w:val="20"/>
              </w:rPr>
            </w:pPr>
            <w:r>
              <w:rPr>
                <w:sz w:val="20"/>
                <w:szCs w:val="20"/>
              </w:rPr>
              <w:t xml:space="preserve">0,019% минимум 30 руб. в месяц</w:t>
            </w:r>
            <w:r>
              <w:rPr>
                <w:sz w:val="20"/>
                <w:szCs w:val="20"/>
              </w:rPr>
            </w:r>
            <w:r>
              <w:rPr>
                <w:sz w:val="20"/>
                <w:szCs w:val="20"/>
              </w:rPr>
            </w:r>
          </w:p>
        </w:tc>
        <w:tc>
          <w:tcPr>
            <w:tcW w:w="2753" w:type="dxa"/>
            <w:vAlign w:val="top"/>
            <w:vMerge w:val="continue"/>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continue"/>
            <w:textDirection w:val="lrTb"/>
            <w:noWrap w:val="false"/>
          </w:tcPr>
          <w:p>
            <w:pPr>
              <w:pStyle w:val="965"/>
              <w:jc w:val="center"/>
              <w:rPr>
                <w:b/>
                <w:sz w:val="20"/>
                <w:szCs w:val="20"/>
              </w:rPr>
            </w:pPr>
            <w:r>
              <w:rPr>
                <w:b/>
                <w:sz w:val="20"/>
                <w:szCs w:val="20"/>
              </w:rPr>
            </w:r>
            <w:r>
              <w:rPr>
                <w:b/>
                <w:sz w:val="20"/>
                <w:szCs w:val="20"/>
              </w:rPr>
            </w:r>
            <w:r>
              <w:rPr>
                <w:b/>
                <w:sz w:val="20"/>
                <w:szCs w:val="20"/>
              </w:rPr>
            </w:r>
          </w:p>
        </w:tc>
        <w:tc>
          <w:tcPr>
            <w:tcW w:w="3664" w:type="dxa"/>
            <w:vAlign w:val="top"/>
            <w:vMerge w:val="continue"/>
            <w:textDirection w:val="lrTb"/>
            <w:noWrap w:val="false"/>
          </w:tcPr>
          <w:p>
            <w:pPr>
              <w:pStyle w:val="965"/>
              <w:rPr>
                <w:b/>
                <w:sz w:val="20"/>
                <w:szCs w:val="20"/>
              </w:rPr>
            </w:pPr>
            <w:r>
              <w:rPr>
                <w:b/>
                <w:sz w:val="20"/>
                <w:szCs w:val="20"/>
              </w:rPr>
            </w:r>
            <w:r>
              <w:rPr>
                <w:b/>
                <w:sz w:val="20"/>
                <w:szCs w:val="20"/>
              </w:rPr>
            </w:r>
            <w:r>
              <w:rPr>
                <w:b/>
                <w:sz w:val="20"/>
                <w:szCs w:val="20"/>
              </w:rPr>
            </w:r>
          </w:p>
        </w:tc>
        <w:tc>
          <w:tcPr>
            <w:tcW w:w="1657" w:type="dxa"/>
            <w:vAlign w:val="center"/>
            <w:textDirection w:val="lrTb"/>
            <w:noWrap w:val="false"/>
          </w:tcPr>
          <w:p>
            <w:pPr>
              <w:pStyle w:val="965"/>
              <w:jc w:val="center"/>
              <w:rPr>
                <w:sz w:val="20"/>
                <w:szCs w:val="20"/>
              </w:rPr>
            </w:pPr>
            <w:r>
              <w:rPr>
                <w:sz w:val="20"/>
                <w:szCs w:val="20"/>
              </w:rPr>
              <w:t xml:space="preserve">от 0,5 до 1</w:t>
            </w:r>
            <w:r>
              <w:rPr>
                <w:sz w:val="20"/>
                <w:szCs w:val="20"/>
              </w:rPr>
            </w:r>
            <w:r>
              <w:rPr>
                <w:sz w:val="20"/>
                <w:szCs w:val="20"/>
              </w:rPr>
            </w:r>
          </w:p>
        </w:tc>
        <w:tc>
          <w:tcPr>
            <w:tcW w:w="1138" w:type="dxa"/>
            <w:vAlign w:val="top"/>
            <w:textDirection w:val="lrTb"/>
            <w:noWrap w:val="false"/>
          </w:tcPr>
          <w:p>
            <w:pPr>
              <w:pStyle w:val="965"/>
              <w:jc w:val="center"/>
              <w:rPr>
                <w:sz w:val="20"/>
                <w:szCs w:val="20"/>
              </w:rPr>
            </w:pPr>
            <w:r>
              <w:rPr>
                <w:sz w:val="20"/>
                <w:szCs w:val="20"/>
              </w:rPr>
              <w:t xml:space="preserve">0,014%</w:t>
            </w:r>
            <w:r>
              <w:rPr>
                <w:sz w:val="20"/>
                <w:szCs w:val="20"/>
              </w:rPr>
            </w:r>
            <w:r>
              <w:rPr>
                <w:sz w:val="20"/>
                <w:szCs w:val="20"/>
              </w:rPr>
            </w:r>
          </w:p>
        </w:tc>
        <w:tc>
          <w:tcPr>
            <w:tcW w:w="2753" w:type="dxa"/>
            <w:vAlign w:val="top"/>
            <w:vMerge w:val="continue"/>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continue"/>
            <w:textDirection w:val="lrTb"/>
            <w:noWrap w:val="false"/>
          </w:tcPr>
          <w:p>
            <w:pPr>
              <w:pStyle w:val="965"/>
              <w:jc w:val="center"/>
              <w:rPr>
                <w:b/>
                <w:sz w:val="20"/>
                <w:szCs w:val="20"/>
              </w:rPr>
            </w:pPr>
            <w:r>
              <w:rPr>
                <w:b/>
                <w:sz w:val="20"/>
                <w:szCs w:val="20"/>
              </w:rPr>
            </w:r>
            <w:r>
              <w:rPr>
                <w:b/>
                <w:sz w:val="20"/>
                <w:szCs w:val="20"/>
              </w:rPr>
            </w:r>
            <w:r>
              <w:rPr>
                <w:b/>
                <w:sz w:val="20"/>
                <w:szCs w:val="20"/>
              </w:rPr>
            </w:r>
          </w:p>
        </w:tc>
        <w:tc>
          <w:tcPr>
            <w:tcW w:w="3664" w:type="dxa"/>
            <w:vAlign w:val="top"/>
            <w:vMerge w:val="continue"/>
            <w:textDirection w:val="lrTb"/>
            <w:noWrap w:val="false"/>
          </w:tcPr>
          <w:p>
            <w:pPr>
              <w:pStyle w:val="965"/>
              <w:rPr>
                <w:b/>
                <w:sz w:val="20"/>
                <w:szCs w:val="20"/>
              </w:rPr>
            </w:pPr>
            <w:r>
              <w:rPr>
                <w:b/>
                <w:sz w:val="20"/>
                <w:szCs w:val="20"/>
              </w:rPr>
            </w:r>
            <w:r>
              <w:rPr>
                <w:b/>
                <w:sz w:val="20"/>
                <w:szCs w:val="20"/>
              </w:rPr>
            </w:r>
            <w:r>
              <w:rPr>
                <w:b/>
                <w:sz w:val="20"/>
                <w:szCs w:val="20"/>
              </w:rPr>
            </w:r>
          </w:p>
        </w:tc>
        <w:tc>
          <w:tcPr>
            <w:tcW w:w="1657" w:type="dxa"/>
            <w:vAlign w:val="center"/>
            <w:textDirection w:val="lrTb"/>
            <w:noWrap w:val="false"/>
          </w:tcPr>
          <w:p>
            <w:pPr>
              <w:pStyle w:val="965"/>
              <w:jc w:val="center"/>
              <w:rPr>
                <w:sz w:val="20"/>
                <w:szCs w:val="20"/>
              </w:rPr>
            </w:pPr>
            <w:r>
              <w:rPr>
                <w:sz w:val="20"/>
                <w:szCs w:val="20"/>
              </w:rPr>
              <w:t xml:space="preserve">от 1 до 5</w:t>
            </w:r>
            <w:r>
              <w:rPr>
                <w:sz w:val="20"/>
                <w:szCs w:val="20"/>
              </w:rPr>
            </w:r>
            <w:r>
              <w:rPr>
                <w:sz w:val="20"/>
                <w:szCs w:val="20"/>
              </w:rPr>
            </w:r>
          </w:p>
        </w:tc>
        <w:tc>
          <w:tcPr>
            <w:tcW w:w="1138" w:type="dxa"/>
            <w:vAlign w:val="top"/>
            <w:textDirection w:val="lrTb"/>
            <w:noWrap w:val="false"/>
          </w:tcPr>
          <w:p>
            <w:pPr>
              <w:pStyle w:val="965"/>
              <w:jc w:val="center"/>
              <w:rPr>
                <w:sz w:val="20"/>
                <w:szCs w:val="20"/>
              </w:rPr>
            </w:pPr>
            <w:r>
              <w:rPr>
                <w:sz w:val="20"/>
                <w:szCs w:val="20"/>
              </w:rPr>
              <w:t xml:space="preserve">0,013%</w:t>
            </w:r>
            <w:r>
              <w:rPr>
                <w:sz w:val="20"/>
                <w:szCs w:val="20"/>
              </w:rPr>
            </w:r>
            <w:r>
              <w:rPr>
                <w:sz w:val="20"/>
                <w:szCs w:val="20"/>
              </w:rPr>
            </w:r>
          </w:p>
        </w:tc>
        <w:tc>
          <w:tcPr>
            <w:tcW w:w="2753" w:type="dxa"/>
            <w:vAlign w:val="top"/>
            <w:vMerge w:val="continue"/>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continue"/>
            <w:textDirection w:val="lrTb"/>
            <w:noWrap w:val="false"/>
          </w:tcPr>
          <w:p>
            <w:pPr>
              <w:pStyle w:val="965"/>
              <w:jc w:val="center"/>
              <w:rPr>
                <w:b/>
                <w:sz w:val="20"/>
                <w:szCs w:val="20"/>
              </w:rPr>
            </w:pPr>
            <w:r>
              <w:rPr>
                <w:b/>
                <w:sz w:val="20"/>
                <w:szCs w:val="20"/>
              </w:rPr>
            </w:r>
            <w:r>
              <w:rPr>
                <w:b/>
                <w:sz w:val="20"/>
                <w:szCs w:val="20"/>
              </w:rPr>
            </w:r>
            <w:r>
              <w:rPr>
                <w:b/>
                <w:sz w:val="20"/>
                <w:szCs w:val="20"/>
              </w:rPr>
            </w:r>
          </w:p>
        </w:tc>
        <w:tc>
          <w:tcPr>
            <w:tcW w:w="3664" w:type="dxa"/>
            <w:vAlign w:val="top"/>
            <w:vMerge w:val="continue"/>
            <w:textDirection w:val="lrTb"/>
            <w:noWrap w:val="false"/>
          </w:tcPr>
          <w:p>
            <w:pPr>
              <w:pStyle w:val="965"/>
              <w:rPr>
                <w:b/>
                <w:sz w:val="20"/>
                <w:szCs w:val="20"/>
              </w:rPr>
            </w:pPr>
            <w:r>
              <w:rPr>
                <w:b/>
                <w:sz w:val="20"/>
                <w:szCs w:val="20"/>
              </w:rPr>
            </w:r>
            <w:r>
              <w:rPr>
                <w:b/>
                <w:sz w:val="20"/>
                <w:szCs w:val="20"/>
              </w:rPr>
            </w:r>
            <w:r>
              <w:rPr>
                <w:b/>
                <w:sz w:val="20"/>
                <w:szCs w:val="20"/>
              </w:rPr>
            </w:r>
          </w:p>
        </w:tc>
        <w:tc>
          <w:tcPr>
            <w:tcW w:w="1657" w:type="dxa"/>
            <w:vAlign w:val="center"/>
            <w:textDirection w:val="lrTb"/>
            <w:noWrap w:val="false"/>
          </w:tcPr>
          <w:p>
            <w:pPr>
              <w:pStyle w:val="965"/>
              <w:jc w:val="center"/>
              <w:rPr>
                <w:sz w:val="20"/>
                <w:szCs w:val="20"/>
              </w:rPr>
            </w:pPr>
            <w:r>
              <w:rPr>
                <w:sz w:val="20"/>
                <w:szCs w:val="20"/>
              </w:rPr>
              <w:t xml:space="preserve">свыше 5</w:t>
            </w:r>
            <w:r>
              <w:rPr>
                <w:sz w:val="20"/>
                <w:szCs w:val="20"/>
              </w:rPr>
            </w:r>
            <w:r>
              <w:rPr>
                <w:sz w:val="20"/>
                <w:szCs w:val="20"/>
              </w:rPr>
            </w:r>
          </w:p>
        </w:tc>
        <w:tc>
          <w:tcPr>
            <w:tcW w:w="1138" w:type="dxa"/>
            <w:vAlign w:val="top"/>
            <w:textDirection w:val="lrTb"/>
            <w:noWrap w:val="false"/>
          </w:tcPr>
          <w:p>
            <w:pPr>
              <w:pStyle w:val="965"/>
              <w:jc w:val="center"/>
              <w:rPr>
                <w:sz w:val="20"/>
                <w:szCs w:val="20"/>
              </w:rPr>
            </w:pPr>
            <w:r>
              <w:rPr>
                <w:sz w:val="20"/>
                <w:szCs w:val="20"/>
              </w:rPr>
              <w:t xml:space="preserve">0,01%</w:t>
            </w:r>
            <w:r>
              <w:rPr>
                <w:sz w:val="20"/>
                <w:szCs w:val="20"/>
              </w:rPr>
            </w:r>
            <w:r>
              <w:rPr>
                <w:sz w:val="20"/>
                <w:szCs w:val="20"/>
              </w:rPr>
            </w:r>
          </w:p>
        </w:tc>
        <w:tc>
          <w:tcPr>
            <w:tcW w:w="2753" w:type="dxa"/>
            <w:vAlign w:val="top"/>
            <w:vMerge w:val="continue"/>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b/>
                <w:sz w:val="20"/>
                <w:szCs w:val="20"/>
              </w:rPr>
            </w:pPr>
            <w:r>
              <w:rPr>
                <w:b/>
                <w:sz w:val="20"/>
                <w:szCs w:val="20"/>
              </w:rPr>
              <w:t xml:space="preserve">9.2.</w:t>
            </w:r>
            <w:r>
              <w:rPr>
                <w:b/>
                <w:sz w:val="20"/>
                <w:szCs w:val="20"/>
              </w:rPr>
              <w:t xml:space="preserve">7</w:t>
            </w:r>
            <w:r>
              <w:rPr>
                <w:b/>
                <w:sz w:val="20"/>
                <w:szCs w:val="20"/>
              </w:rPr>
              <w:t xml:space="preserve">.3.</w:t>
            </w:r>
            <w:r>
              <w:rPr>
                <w:b/>
                <w:sz w:val="20"/>
                <w:szCs w:val="20"/>
              </w:rPr>
            </w:r>
            <w:r>
              <w:rPr>
                <w:b/>
                <w:sz w:val="20"/>
                <w:szCs w:val="20"/>
              </w:rPr>
            </w:r>
          </w:p>
        </w:tc>
        <w:tc>
          <w:tcPr>
            <w:tcW w:w="3664" w:type="dxa"/>
            <w:vAlign w:val="top"/>
            <w:textDirection w:val="lrTb"/>
            <w:noWrap w:val="false"/>
          </w:tcPr>
          <w:p>
            <w:pPr>
              <w:pStyle w:val="965"/>
              <w:rPr>
                <w:b/>
                <w:sz w:val="20"/>
                <w:szCs w:val="20"/>
              </w:rPr>
            </w:pPr>
            <w:r>
              <w:rPr>
                <w:b/>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
                <w:sz w:val="20"/>
                <w:szCs w:val="20"/>
              </w:rPr>
            </w:r>
            <w:r>
              <w:rPr>
                <w:b/>
                <w:sz w:val="20"/>
                <w:szCs w:val="20"/>
              </w:rPr>
            </w:r>
          </w:p>
        </w:tc>
        <w:tc>
          <w:tcPr>
            <w:gridSpan w:val="2"/>
            <w:tcW w:w="2795" w:type="dxa"/>
            <w:vAlign w:val="top"/>
            <w:textDirection w:val="lrTb"/>
            <w:noWrap w:val="false"/>
          </w:tcPr>
          <w:p>
            <w:pPr>
              <w:pStyle w:val="965"/>
              <w:jc w:val="center"/>
              <w:rPr>
                <w:sz w:val="20"/>
                <w:szCs w:val="20"/>
              </w:rPr>
            </w:pPr>
            <w:r>
              <w:rPr>
                <w:sz w:val="20"/>
                <w:szCs w:val="20"/>
              </w:rPr>
              <w:t xml:space="preserve">0,035% годовых </w:t>
            </w:r>
            <w:r>
              <w:rPr>
                <w:bCs/>
                <w:iCs/>
                <w:sz w:val="20"/>
                <w:szCs w:val="20"/>
              </w:rPr>
              <w:t xml:space="preserve">минимум </w:t>
            </w:r>
            <w:r>
              <w:rPr>
                <w:bCs/>
                <w:iCs/>
                <w:sz w:val="20"/>
                <w:szCs w:val="20"/>
              </w:rPr>
              <w:t xml:space="preserve">3</w:t>
            </w:r>
            <w:r>
              <w:rPr>
                <w:bCs/>
                <w:iCs/>
                <w:sz w:val="20"/>
                <w:szCs w:val="20"/>
              </w:rPr>
              <w:t xml:space="preserve">0 </w:t>
            </w:r>
            <w:r>
              <w:rPr>
                <w:bCs/>
                <w:iCs/>
                <w:sz w:val="20"/>
                <w:szCs w:val="20"/>
              </w:rPr>
              <w:t xml:space="preserve">руб.</w:t>
            </w:r>
            <w:r>
              <w:rPr>
                <w:bCs/>
                <w:iCs/>
                <w:sz w:val="20"/>
                <w:szCs w:val="20"/>
              </w:rPr>
              <w:t xml:space="preserve"> в месяц</w:t>
            </w:r>
            <w:r>
              <w:rPr>
                <w:sz w:val="20"/>
                <w:szCs w:val="20"/>
              </w:rPr>
            </w:r>
            <w:r>
              <w:rPr>
                <w:sz w:val="20"/>
                <w:szCs w:val="20"/>
              </w:rPr>
            </w:r>
          </w:p>
        </w:tc>
        <w:tc>
          <w:tcPr>
            <w:tcW w:w="2753" w:type="dxa"/>
            <w:vAlign w:val="top"/>
            <w:textDirection w:val="lrTb"/>
            <w:noWrap w:val="false"/>
          </w:tcPr>
          <w:p>
            <w:pPr>
              <w:pStyle w:val="965"/>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52" w:type="dxa"/>
            <w:vAlign w:val="top"/>
            <w:textDirection w:val="lrTb"/>
            <w:noWrap w:val="false"/>
          </w:tcPr>
          <w:p>
            <w:pPr>
              <w:pStyle w:val="965"/>
              <w:jc w:val="center"/>
              <w:rPr>
                <w:b/>
                <w:sz w:val="20"/>
                <w:szCs w:val="20"/>
              </w:rPr>
            </w:pPr>
            <w:r>
              <w:rPr>
                <w:b/>
                <w:sz w:val="20"/>
                <w:szCs w:val="20"/>
              </w:rPr>
            </w:r>
            <w:r>
              <w:rPr>
                <w:b/>
                <w:sz w:val="20"/>
                <w:szCs w:val="20"/>
              </w:rPr>
            </w:r>
            <w:r>
              <w:rPr>
                <w:b/>
                <w:sz w:val="20"/>
                <w:szCs w:val="20"/>
              </w:rPr>
            </w:r>
          </w:p>
          <w:p>
            <w:pPr>
              <w:jc w:val="center"/>
              <w:rPr>
                <w:b/>
                <w:bCs/>
                <w:sz w:val="20"/>
                <w:szCs w:val="20"/>
              </w:rPr>
            </w:pPr>
            <w:r>
              <w:rPr>
                <w:b/>
                <w:sz w:val="20"/>
                <w:szCs w:val="20"/>
                <w:highlight w:val="none"/>
              </w:rPr>
            </w:r>
            <w:r>
              <w:rPr>
                <w:b/>
                <w:sz w:val="20"/>
                <w:szCs w:val="20"/>
                <w:highlight w:val="none"/>
              </w:rPr>
            </w:r>
            <w:r>
              <w:rPr>
                <w:b/>
                <w:bCs/>
                <w:sz w:val="20"/>
                <w:szCs w:val="20"/>
              </w:rPr>
            </w:r>
          </w:p>
          <w:p>
            <w:pPr>
              <w:pStyle w:val="965"/>
              <w:jc w:val="center"/>
              <w:rPr>
                <w:b/>
                <w:bCs/>
                <w:sz w:val="20"/>
                <w:szCs w:val="20"/>
                <w:highlight w:val="none"/>
              </w:rPr>
            </w:pPr>
            <w:r>
              <w:rPr>
                <w:b/>
                <w:sz w:val="20"/>
                <w:szCs w:val="20"/>
              </w:rPr>
              <w:t xml:space="preserve">9.3. Прием/выдача сертификатов ценных бумаг на/с хранение(я)</w:t>
            </w:r>
            <w:r>
              <w:rPr>
                <w:b/>
                <w:bCs/>
                <w:sz w:val="20"/>
                <w:szCs w:val="20"/>
                <w:highlight w:val="none"/>
              </w:rPr>
            </w:r>
            <w:r>
              <w:rPr>
                <w:b/>
                <w:bCs/>
                <w:sz w:val="20"/>
                <w:szCs w:val="20"/>
                <w:highlight w:val="none"/>
              </w:rPr>
            </w:r>
          </w:p>
          <w:p>
            <w:pPr>
              <w:pStyle w:val="96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9.3.1.</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sz w:val="20"/>
                <w:szCs w:val="20"/>
              </w:rPr>
            </w:pPr>
            <w:r>
              <w:rPr>
                <w:b/>
                <w:sz w:val="20"/>
                <w:szCs w:val="20"/>
              </w:rPr>
              <w:t xml:space="preserve">Прием сертификатов эмисcионных ценных бумаг</w:t>
            </w:r>
            <w:r>
              <w:rPr>
                <w:b/>
                <w:sz w:val="20"/>
                <w:szCs w:val="20"/>
              </w:rPr>
            </w:r>
            <w:r>
              <w:rPr>
                <w:b/>
                <w:sz w:val="20"/>
                <w:szCs w:val="20"/>
              </w:rPr>
            </w:r>
          </w:p>
        </w:tc>
        <w:tc>
          <w:tcPr>
            <w:gridSpan w:val="2"/>
            <w:tcW w:w="2795" w:type="dxa"/>
            <w:vAlign w:val="top"/>
            <w:textDirection w:val="lrTb"/>
            <w:noWrap w:val="false"/>
          </w:tcPr>
          <w:p>
            <w:pPr>
              <w:pStyle w:val="965"/>
              <w:jc w:val="center"/>
              <w:rPr>
                <w:sz w:val="20"/>
                <w:szCs w:val="20"/>
              </w:rPr>
            </w:pPr>
            <w:r>
              <w:rPr>
                <w:sz w:val="20"/>
                <w:szCs w:val="20"/>
              </w:rPr>
              <w:t xml:space="preserve">30 руб. за каждый лист</w:t>
            </w:r>
            <w:r>
              <w:rPr>
                <w:sz w:val="20"/>
                <w:szCs w:val="20"/>
              </w:rPr>
            </w:r>
            <w:r>
              <w:rPr>
                <w:sz w:val="20"/>
                <w:szCs w:val="20"/>
              </w:rPr>
            </w:r>
          </w:p>
        </w:tc>
        <w:tc>
          <w:tcPr>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9.3.2.</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sz w:val="20"/>
                <w:szCs w:val="20"/>
              </w:rPr>
            </w:pPr>
            <w:r>
              <w:rPr>
                <w:b/>
                <w:sz w:val="20"/>
                <w:szCs w:val="20"/>
              </w:rPr>
              <w:t xml:space="preserve">Выдача сертификатов эмиссионных ценных бумаг</w:t>
            </w:r>
            <w:r>
              <w:rPr>
                <w:b/>
                <w:sz w:val="20"/>
                <w:szCs w:val="20"/>
              </w:rPr>
            </w:r>
            <w:r>
              <w:rPr>
                <w:b/>
                <w:sz w:val="20"/>
                <w:szCs w:val="20"/>
              </w:rPr>
            </w:r>
          </w:p>
        </w:tc>
        <w:tc>
          <w:tcPr>
            <w:gridSpan w:val="2"/>
            <w:tcW w:w="2795" w:type="dxa"/>
            <w:vAlign w:val="top"/>
            <w:textDirection w:val="lrTb"/>
            <w:noWrap w:val="false"/>
          </w:tcPr>
          <w:p>
            <w:pPr>
              <w:pStyle w:val="965"/>
              <w:jc w:val="center"/>
              <w:rPr>
                <w:sz w:val="20"/>
                <w:szCs w:val="20"/>
              </w:rPr>
            </w:pPr>
            <w:r>
              <w:rPr>
                <w:sz w:val="20"/>
                <w:szCs w:val="20"/>
              </w:rPr>
              <w:t xml:space="preserve">10 руб. за каждый лист</w:t>
            </w:r>
            <w:r>
              <w:rPr>
                <w:sz w:val="20"/>
                <w:szCs w:val="20"/>
              </w:rPr>
            </w:r>
            <w:r>
              <w:rPr>
                <w:sz w:val="20"/>
                <w:szCs w:val="20"/>
              </w:rPr>
            </w:r>
          </w:p>
          <w:p>
            <w:pPr>
              <w:pStyle w:val="965"/>
              <w:jc w:val="center"/>
              <w:rPr>
                <w:sz w:val="20"/>
                <w:szCs w:val="20"/>
              </w:rPr>
            </w:pPr>
            <w:r>
              <w:rPr>
                <w:sz w:val="20"/>
                <w:szCs w:val="20"/>
              </w:rPr>
              <w:t xml:space="preserve">Мин 300 руб.</w:t>
            </w:r>
            <w:r>
              <w:rPr>
                <w:sz w:val="20"/>
                <w:szCs w:val="20"/>
              </w:rPr>
            </w:r>
            <w:r>
              <w:rPr>
                <w:sz w:val="20"/>
                <w:szCs w:val="20"/>
              </w:rPr>
            </w:r>
          </w:p>
        </w:tc>
        <w:tc>
          <w:tcPr>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9.3.3.</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sz w:val="20"/>
                <w:szCs w:val="20"/>
              </w:rPr>
            </w:pPr>
            <w:r>
              <w:rPr>
                <w:b/>
                <w:sz w:val="20"/>
                <w:szCs w:val="20"/>
              </w:rPr>
              <w:t xml:space="preserve">Прием неэмиссионных ценных бумаг с обязательной проверкой у эмитента</w:t>
            </w:r>
            <w:r>
              <w:rPr>
                <w:b/>
                <w:sz w:val="20"/>
                <w:szCs w:val="20"/>
              </w:rPr>
            </w:r>
            <w:r>
              <w:rPr>
                <w:b/>
                <w:sz w:val="20"/>
                <w:szCs w:val="20"/>
              </w:rPr>
            </w:r>
          </w:p>
        </w:tc>
        <w:tc>
          <w:tcPr>
            <w:gridSpan w:val="2"/>
            <w:tcW w:w="2795" w:type="dxa"/>
            <w:vAlign w:val="top"/>
            <w:textDirection w:val="lrTb"/>
            <w:noWrap w:val="false"/>
          </w:tcPr>
          <w:p>
            <w:pPr>
              <w:pStyle w:val="965"/>
              <w:jc w:val="center"/>
              <w:rPr>
                <w:sz w:val="20"/>
                <w:szCs w:val="20"/>
              </w:rPr>
            </w:pPr>
            <w:r>
              <w:rPr>
                <w:sz w:val="20"/>
                <w:szCs w:val="20"/>
              </w:rPr>
              <w:t xml:space="preserve">30 руб. за каждый лист</w:t>
            </w:r>
            <w:r>
              <w:rPr>
                <w:sz w:val="20"/>
                <w:szCs w:val="20"/>
              </w:rPr>
            </w:r>
            <w:r>
              <w:rPr>
                <w:sz w:val="20"/>
                <w:szCs w:val="20"/>
              </w:rPr>
            </w:r>
          </w:p>
        </w:tc>
        <w:tc>
          <w:tcPr>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9.3.4.</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sz w:val="20"/>
                <w:szCs w:val="20"/>
              </w:rPr>
            </w:pPr>
            <w:r>
              <w:rPr>
                <w:b/>
                <w:sz w:val="20"/>
                <w:szCs w:val="20"/>
              </w:rPr>
              <w:t xml:space="preserve">Выдача неэмиссионных ценных бумаг</w:t>
            </w:r>
            <w:r>
              <w:rPr>
                <w:b/>
                <w:sz w:val="20"/>
                <w:szCs w:val="20"/>
              </w:rPr>
            </w:r>
            <w:r>
              <w:rPr>
                <w:b/>
                <w:sz w:val="20"/>
                <w:szCs w:val="20"/>
              </w:rPr>
            </w:r>
          </w:p>
        </w:tc>
        <w:tc>
          <w:tcPr>
            <w:gridSpan w:val="2"/>
            <w:tcW w:w="2795" w:type="dxa"/>
            <w:vAlign w:val="top"/>
            <w:textDirection w:val="lrTb"/>
            <w:noWrap w:val="false"/>
          </w:tcPr>
          <w:p>
            <w:pPr>
              <w:pStyle w:val="965"/>
              <w:jc w:val="center"/>
              <w:rPr>
                <w:sz w:val="20"/>
                <w:szCs w:val="20"/>
              </w:rPr>
            </w:pPr>
            <w:r>
              <w:rPr>
                <w:sz w:val="20"/>
                <w:szCs w:val="20"/>
              </w:rPr>
              <w:t xml:space="preserve">10 руб. за каждый лист</w:t>
            </w:r>
            <w:r>
              <w:rPr>
                <w:sz w:val="20"/>
                <w:szCs w:val="20"/>
              </w:rPr>
            </w:r>
            <w:r>
              <w:rPr>
                <w:sz w:val="20"/>
                <w:szCs w:val="20"/>
              </w:rPr>
            </w:r>
          </w:p>
          <w:p>
            <w:pPr>
              <w:pStyle w:val="965"/>
              <w:jc w:val="center"/>
              <w:rPr>
                <w:sz w:val="20"/>
                <w:szCs w:val="20"/>
              </w:rPr>
            </w:pPr>
            <w:r>
              <w:rPr>
                <w:sz w:val="20"/>
                <w:szCs w:val="20"/>
              </w:rPr>
              <w:t xml:space="preserve">Мин 300 руб.</w:t>
            </w:r>
            <w:r>
              <w:rPr>
                <w:sz w:val="20"/>
                <w:szCs w:val="20"/>
              </w:rPr>
            </w:r>
            <w:r>
              <w:rPr>
                <w:sz w:val="20"/>
                <w:szCs w:val="20"/>
              </w:rPr>
            </w:r>
          </w:p>
        </w:tc>
        <w:tc>
          <w:tcPr>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52" w:type="dxa"/>
            <w:vAlign w:val="top"/>
            <w:textDirection w:val="lrTb"/>
            <w:noWrap w:val="false"/>
          </w:tcPr>
          <w:p>
            <w:pPr>
              <w:pStyle w:val="965"/>
              <w:jc w:val="center"/>
              <w:rPr>
                <w:b/>
                <w:sz w:val="20"/>
                <w:szCs w:val="20"/>
              </w:rPr>
            </w:pPr>
            <w:r>
              <w:rPr>
                <w:b/>
                <w:sz w:val="20"/>
                <w:szCs w:val="20"/>
              </w:rPr>
            </w:r>
            <w:r>
              <w:rPr>
                <w:b/>
                <w:sz w:val="20"/>
                <w:szCs w:val="20"/>
              </w:rPr>
            </w:r>
            <w:r>
              <w:rPr>
                <w:b/>
                <w:sz w:val="20"/>
                <w:szCs w:val="20"/>
              </w:rPr>
            </w:r>
          </w:p>
          <w:p>
            <w:pPr>
              <w:pStyle w:val="965"/>
              <w:jc w:val="center"/>
              <w:rPr>
                <w:b/>
                <w:sz w:val="20"/>
                <w:szCs w:val="20"/>
              </w:rPr>
            </w:pPr>
            <w:r>
              <w:rPr>
                <w:b/>
                <w:sz w:val="20"/>
                <w:szCs w:val="20"/>
              </w:rPr>
              <w:t xml:space="preserve">9.4. Переводы ценных бумаг и иностранных финансовых инструментов по счетам депо</w:t>
            </w:r>
            <w:r>
              <w:rPr>
                <w:b/>
                <w:sz w:val="20"/>
                <w:szCs w:val="20"/>
              </w:rPr>
            </w:r>
            <w:r>
              <w:rPr>
                <w:b/>
                <w:sz w:val="20"/>
                <w:szCs w:val="20"/>
              </w:rPr>
            </w:r>
          </w:p>
          <w:p>
            <w:pPr>
              <w:pStyle w:val="96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9.4.1.</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sz w:val="20"/>
                <w:szCs w:val="20"/>
              </w:rPr>
            </w:pPr>
            <w:r>
              <w:rPr>
                <w:b/>
                <w:sz w:val="20"/>
                <w:szCs w:val="20"/>
              </w:rPr>
              <w:t xml:space="preserve">Перевод «поставка / получение, свободная от платежа»</w:t>
            </w:r>
            <w:r>
              <w:rPr>
                <w:b/>
                <w:sz w:val="20"/>
                <w:szCs w:val="20"/>
              </w:rPr>
            </w:r>
            <w:r>
              <w:rPr>
                <w:b/>
                <w:sz w:val="20"/>
                <w:szCs w:val="20"/>
              </w:rPr>
            </w:r>
          </w:p>
        </w:tc>
        <w:tc>
          <w:tcPr>
            <w:gridSpan w:val="2"/>
            <w:tcW w:w="2795" w:type="dxa"/>
            <w:vAlign w:val="top"/>
            <w:textDirection w:val="lrTb"/>
            <w:noWrap w:val="false"/>
          </w:tcPr>
          <w:p>
            <w:pPr>
              <w:pStyle w:val="965"/>
              <w:jc w:val="center"/>
              <w:rPr>
                <w:sz w:val="20"/>
                <w:szCs w:val="20"/>
              </w:rPr>
            </w:pPr>
            <w:r>
              <w:rPr>
                <w:sz w:val="20"/>
                <w:szCs w:val="20"/>
              </w:rPr>
              <w:t xml:space="preserve">6</w:t>
            </w:r>
            <w:r>
              <w:rPr>
                <w:sz w:val="20"/>
                <w:szCs w:val="20"/>
              </w:rPr>
              <w:t xml:space="preserve">00 руб.</w:t>
            </w:r>
            <w:r>
              <w:rPr>
                <w:sz w:val="20"/>
                <w:szCs w:val="20"/>
              </w:rPr>
            </w:r>
            <w:r>
              <w:rPr>
                <w:sz w:val="20"/>
                <w:szCs w:val="20"/>
              </w:rPr>
            </w:r>
          </w:p>
        </w:tc>
        <w:tc>
          <w:tcPr>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9.4.2.</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sz w:val="20"/>
                <w:szCs w:val="20"/>
              </w:rPr>
            </w:pPr>
            <w:r>
              <w:rPr>
                <w:b/>
                <w:sz w:val="20"/>
                <w:szCs w:val="20"/>
              </w:rPr>
              <w:t xml:space="preserve">Перевод «поставка / получение против платежа»</w:t>
            </w:r>
            <w:r>
              <w:rPr>
                <w:b/>
                <w:sz w:val="20"/>
                <w:szCs w:val="20"/>
              </w:rPr>
            </w:r>
            <w:r>
              <w:rPr>
                <w:b/>
                <w:sz w:val="20"/>
                <w:szCs w:val="20"/>
              </w:rPr>
            </w:r>
          </w:p>
        </w:tc>
        <w:tc>
          <w:tcPr>
            <w:gridSpan w:val="2"/>
            <w:tcW w:w="2795" w:type="dxa"/>
            <w:vAlign w:val="top"/>
            <w:textDirection w:val="lrTb"/>
            <w:noWrap w:val="false"/>
          </w:tcPr>
          <w:p>
            <w:pPr>
              <w:pStyle w:val="965"/>
              <w:jc w:val="center"/>
              <w:rPr>
                <w:sz w:val="20"/>
                <w:szCs w:val="20"/>
              </w:rPr>
            </w:pPr>
            <w:r>
              <w:rPr>
                <w:sz w:val="20"/>
                <w:szCs w:val="20"/>
              </w:rPr>
              <w:t xml:space="preserve">7</w:t>
            </w:r>
            <w:r>
              <w:rPr>
                <w:sz w:val="20"/>
                <w:szCs w:val="20"/>
              </w:rPr>
              <w:t xml:space="preserve">00 руб.</w:t>
            </w:r>
            <w:r>
              <w:rPr>
                <w:sz w:val="20"/>
                <w:szCs w:val="20"/>
              </w:rPr>
            </w:r>
            <w:r>
              <w:rPr>
                <w:sz w:val="20"/>
                <w:szCs w:val="20"/>
              </w:rPr>
            </w:r>
          </w:p>
        </w:tc>
        <w:tc>
          <w:tcPr>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9.4.3.</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sz w:val="20"/>
                <w:szCs w:val="20"/>
              </w:rPr>
            </w:pPr>
            <w:r>
              <w:rPr>
                <w:b/>
                <w:sz w:val="20"/>
                <w:szCs w:val="20"/>
              </w:rPr>
              <w:t xml:space="preserve">Зачисление ценных бумаг на счета </w:t>
            </w:r>
            <w:r>
              <w:rPr>
                <w:b/>
                <w:sz w:val="20"/>
                <w:szCs w:val="20"/>
              </w:rPr>
              <w:t xml:space="preserve">АО</w:t>
            </w:r>
            <w:r>
              <w:rPr>
                <w:b/>
                <w:sz w:val="20"/>
                <w:szCs w:val="20"/>
              </w:rPr>
              <w:t xml:space="preserve"> «Россельхозбанк» в реестрах/ на междепозитарные счета </w:t>
            </w:r>
            <w:r>
              <w:rPr>
                <w:b/>
                <w:sz w:val="20"/>
                <w:szCs w:val="20"/>
              </w:rPr>
              <w:t xml:space="preserve">АО</w:t>
            </w:r>
            <w:r>
              <w:rPr>
                <w:b/>
                <w:sz w:val="20"/>
                <w:szCs w:val="20"/>
              </w:rPr>
              <w:t xml:space="preserve"> «Россельхозбанк» в других депозитариях</w:t>
            </w:r>
            <w:r>
              <w:rPr>
                <w:b/>
                <w:sz w:val="20"/>
                <w:szCs w:val="20"/>
              </w:rPr>
            </w:r>
            <w:r>
              <w:rPr>
                <w:b/>
                <w:sz w:val="20"/>
                <w:szCs w:val="20"/>
              </w:rPr>
            </w:r>
          </w:p>
        </w:tc>
        <w:tc>
          <w:tcPr>
            <w:gridSpan w:val="2"/>
            <w:tcW w:w="2795" w:type="dxa"/>
            <w:vAlign w:val="top"/>
            <w:textDirection w:val="lrTb"/>
            <w:noWrap w:val="false"/>
          </w:tcPr>
          <w:p>
            <w:pPr>
              <w:pStyle w:val="965"/>
              <w:jc w:val="center"/>
              <w:rPr>
                <w:rFonts w:eastAsia="Arial Unicode MS"/>
                <w:sz w:val="20"/>
                <w:szCs w:val="20"/>
              </w:rPr>
            </w:pPr>
            <w:r>
              <w:rPr>
                <w:sz w:val="20"/>
                <w:szCs w:val="20"/>
              </w:rPr>
              <w:t xml:space="preserve">2</w:t>
            </w:r>
            <w:r>
              <w:rPr>
                <w:sz w:val="20"/>
                <w:szCs w:val="20"/>
              </w:rPr>
              <w:t xml:space="preserve">00 руб.</w:t>
            </w:r>
            <w:r>
              <w:rPr>
                <w:rFonts w:eastAsia="Arial Unicode MS"/>
                <w:sz w:val="20"/>
                <w:szCs w:val="20"/>
              </w:rPr>
            </w:r>
            <w:r>
              <w:rPr>
                <w:rFonts w:eastAsia="Arial Unicode MS"/>
                <w:sz w:val="20"/>
                <w:szCs w:val="20"/>
              </w:rPr>
            </w:r>
          </w:p>
        </w:tc>
        <w:tc>
          <w:tcPr>
            <w:tcW w:w="2753" w:type="dxa"/>
            <w:vAlign w:val="top"/>
            <w:textDirection w:val="lrTb"/>
            <w:noWrap w:val="false"/>
          </w:tcPr>
          <w:p>
            <w:pPr>
              <w:pStyle w:val="965"/>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9.4.4.</w:t>
            </w:r>
            <w:r>
              <w:rPr>
                <w:rFonts w:eastAsia="Arial Unicode MS"/>
                <w:b/>
                <w:sz w:val="20"/>
                <w:szCs w:val="20"/>
              </w:rPr>
            </w:r>
            <w:r>
              <w:rPr>
                <w:rFonts w:eastAsia="Arial Unicode MS"/>
                <w:b/>
                <w:sz w:val="20"/>
                <w:szCs w:val="20"/>
              </w:rPr>
            </w:r>
          </w:p>
        </w:tc>
        <w:tc>
          <w:tcPr>
            <w:shd w:val="clear" w:color="auto" w:fill="ffffff"/>
            <w:tcW w:w="3664" w:type="dxa"/>
            <w:vAlign w:val="top"/>
            <w:textDirection w:val="lrTb"/>
            <w:noWrap w:val="false"/>
          </w:tcPr>
          <w:p>
            <w:pPr>
              <w:pStyle w:val="965"/>
              <w:rPr>
                <w:b/>
                <w:sz w:val="20"/>
                <w:szCs w:val="20"/>
              </w:rPr>
            </w:pPr>
            <w:r>
              <w:rPr>
                <w:b/>
                <w:sz w:val="20"/>
                <w:szCs w:val="20"/>
              </w:rPr>
              <w:t xml:space="preserve">Списание ценных бумаг со счетов </w:t>
            </w:r>
            <w:r>
              <w:rPr>
                <w:b/>
                <w:sz w:val="20"/>
                <w:szCs w:val="20"/>
              </w:rPr>
              <w:t xml:space="preserve">АО</w:t>
            </w:r>
            <w:r>
              <w:rPr>
                <w:b/>
                <w:sz w:val="20"/>
                <w:szCs w:val="20"/>
              </w:rPr>
              <w:t xml:space="preserve"> «Россельхозбанк» в реестрах/ междепозитарных счетов </w:t>
            </w:r>
            <w:r>
              <w:rPr>
                <w:b/>
                <w:sz w:val="20"/>
                <w:szCs w:val="20"/>
              </w:rPr>
              <w:t xml:space="preserve">АО</w:t>
            </w:r>
            <w:r>
              <w:rPr>
                <w:b/>
                <w:sz w:val="20"/>
                <w:szCs w:val="20"/>
              </w:rPr>
              <w:t xml:space="preserve"> «Россельхозбанк» в других депозитариях</w:t>
            </w:r>
            <w:r>
              <w:rPr>
                <w:b/>
                <w:sz w:val="20"/>
                <w:szCs w:val="20"/>
              </w:rPr>
            </w:r>
            <w:r>
              <w:rPr>
                <w:b/>
                <w:sz w:val="20"/>
                <w:szCs w:val="20"/>
              </w:rPr>
            </w:r>
          </w:p>
        </w:tc>
        <w:tc>
          <w:tcPr>
            <w:gridSpan w:val="2"/>
            <w:tcW w:w="2795" w:type="dxa"/>
            <w:vAlign w:val="top"/>
            <w:textDirection w:val="lrTb"/>
            <w:noWrap w:val="false"/>
          </w:tcPr>
          <w:p>
            <w:pPr>
              <w:pStyle w:val="965"/>
              <w:jc w:val="center"/>
              <w:rPr>
                <w:sz w:val="20"/>
                <w:szCs w:val="20"/>
              </w:rPr>
            </w:pPr>
            <w:r>
              <w:rPr>
                <w:sz w:val="20"/>
                <w:szCs w:val="20"/>
              </w:rPr>
              <w:t xml:space="preserve">600 руб.</w:t>
            </w:r>
            <w:r>
              <w:rPr>
                <w:sz w:val="20"/>
                <w:szCs w:val="20"/>
              </w:rPr>
            </w:r>
            <w:r>
              <w:rPr>
                <w:sz w:val="20"/>
                <w:szCs w:val="20"/>
              </w:rPr>
            </w:r>
          </w:p>
        </w:tc>
        <w:tc>
          <w:tcPr>
            <w:tcW w:w="2753" w:type="dxa"/>
            <w:vAlign w:val="top"/>
            <w:textDirection w:val="lrTb"/>
            <w:noWrap w:val="false"/>
          </w:tcPr>
          <w:p>
            <w:pPr>
              <w:pStyle w:val="965"/>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9.4.5.</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sz w:val="20"/>
                <w:szCs w:val="20"/>
              </w:rPr>
            </w:pPr>
            <w:r>
              <w:rPr>
                <w:b/>
                <w:sz w:val="20"/>
                <w:szCs w:val="20"/>
              </w:rPr>
              <w:t xml:space="preserve">Перевод ценных бумаг по разделам счета депо (по счетам </w:t>
            </w:r>
            <w:r>
              <w:rPr>
                <w:b/>
                <w:sz w:val="20"/>
                <w:szCs w:val="20"/>
              </w:rPr>
              <w:t xml:space="preserve">АО</w:t>
            </w:r>
            <w:r>
              <w:rPr>
                <w:b/>
                <w:sz w:val="20"/>
                <w:szCs w:val="20"/>
              </w:rPr>
              <w:t xml:space="preserve"> «Россельхозбанк», открытым в других депозитариях)</w:t>
            </w:r>
            <w:r>
              <w:rPr>
                <w:b/>
                <w:sz w:val="20"/>
                <w:szCs w:val="20"/>
              </w:rPr>
            </w:r>
            <w:r>
              <w:rPr>
                <w:b/>
                <w:sz w:val="20"/>
                <w:szCs w:val="20"/>
              </w:rPr>
            </w:r>
          </w:p>
        </w:tc>
        <w:tc>
          <w:tcPr>
            <w:gridSpan w:val="2"/>
            <w:tcW w:w="2795" w:type="dxa"/>
            <w:vAlign w:val="top"/>
            <w:textDirection w:val="lrTb"/>
            <w:noWrap w:val="false"/>
          </w:tcPr>
          <w:p>
            <w:pPr>
              <w:pStyle w:val="965"/>
              <w:jc w:val="center"/>
              <w:rPr>
                <w:sz w:val="20"/>
                <w:szCs w:val="20"/>
              </w:rPr>
            </w:pPr>
            <w:r>
              <w:rPr>
                <w:sz w:val="20"/>
                <w:szCs w:val="20"/>
              </w:rPr>
              <w:t xml:space="preserve">100 руб.</w:t>
            </w:r>
            <w:r>
              <w:rPr>
                <w:sz w:val="20"/>
                <w:szCs w:val="20"/>
              </w:rPr>
            </w:r>
            <w:r>
              <w:rPr>
                <w:sz w:val="20"/>
                <w:szCs w:val="20"/>
              </w:rPr>
            </w:r>
          </w:p>
        </w:tc>
        <w:tc>
          <w:tcPr>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9.4.6.</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sz w:val="20"/>
                <w:szCs w:val="20"/>
              </w:rPr>
            </w:pPr>
            <w:r>
              <w:rPr>
                <w:b/>
                <w:sz w:val="20"/>
                <w:szCs w:val="20"/>
              </w:rPr>
              <w:t xml:space="preserve">Переводы ценных бумаг по операциям купли-продажи ценных бумаг, совершенным через брокера </w:t>
            </w:r>
            <w:r>
              <w:rPr>
                <w:b/>
                <w:sz w:val="20"/>
                <w:szCs w:val="20"/>
              </w:rPr>
              <w:t xml:space="preserve">АО</w:t>
            </w:r>
            <w:r>
              <w:rPr>
                <w:b/>
                <w:sz w:val="20"/>
                <w:szCs w:val="20"/>
              </w:rPr>
              <w:t xml:space="preserve"> «Россельхозбанк»</w:t>
            </w:r>
            <w:r>
              <w:rPr>
                <w:b/>
                <w:sz w:val="20"/>
                <w:szCs w:val="20"/>
              </w:rPr>
            </w:r>
            <w:r>
              <w:rPr>
                <w:b/>
                <w:sz w:val="20"/>
                <w:szCs w:val="20"/>
              </w:rPr>
            </w:r>
          </w:p>
        </w:tc>
        <w:tc>
          <w:tcPr>
            <w:gridSpan w:val="2"/>
            <w:tcW w:w="2795" w:type="dxa"/>
            <w:vAlign w:val="top"/>
            <w:textDirection w:val="lrTb"/>
            <w:noWrap w:val="false"/>
          </w:tcPr>
          <w:p>
            <w:pPr>
              <w:pStyle w:val="965"/>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9.4.7.</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sz w:val="20"/>
                <w:szCs w:val="20"/>
              </w:rPr>
            </w:pPr>
            <w:r>
              <w:rPr>
                <w:b/>
                <w:sz w:val="20"/>
                <w:szCs w:val="20"/>
              </w:rPr>
              <w:t xml:space="preserve">Изменение места хранения ценных бумаг</w:t>
            </w:r>
            <w:r>
              <w:rPr>
                <w:b/>
                <w:sz w:val="20"/>
                <w:szCs w:val="20"/>
              </w:rPr>
            </w:r>
            <w:r>
              <w:rPr>
                <w:b/>
                <w:sz w:val="20"/>
                <w:szCs w:val="20"/>
              </w:rPr>
            </w:r>
          </w:p>
        </w:tc>
        <w:tc>
          <w:tcPr>
            <w:gridSpan w:val="2"/>
            <w:tcW w:w="2795" w:type="dxa"/>
            <w:vAlign w:val="top"/>
            <w:textDirection w:val="lrTb"/>
            <w:noWrap w:val="false"/>
          </w:tcPr>
          <w:p>
            <w:pPr>
              <w:pStyle w:val="965"/>
              <w:jc w:val="center"/>
              <w:rPr>
                <w:sz w:val="20"/>
                <w:szCs w:val="20"/>
              </w:rPr>
            </w:pPr>
            <w:r>
              <w:rPr>
                <w:sz w:val="20"/>
                <w:szCs w:val="20"/>
              </w:rPr>
              <w:t xml:space="preserve">300 руб.</w:t>
            </w:r>
            <w:r>
              <w:rPr>
                <w:sz w:val="20"/>
                <w:szCs w:val="20"/>
              </w:rPr>
            </w:r>
            <w:r>
              <w:rPr>
                <w:sz w:val="20"/>
                <w:szCs w:val="20"/>
              </w:rPr>
            </w:r>
          </w:p>
        </w:tc>
        <w:tc>
          <w:tcPr>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rPr>
                <w:rFonts w:eastAsia="Arial Unicode MS"/>
                <w:b/>
                <w:sz w:val="20"/>
                <w:szCs w:val="20"/>
              </w:rPr>
            </w:pPr>
            <w:r>
              <w:rPr>
                <w:b/>
                <w:sz w:val="20"/>
                <w:szCs w:val="20"/>
              </w:rPr>
              <w:t xml:space="preserve">9.4.8.</w:t>
            </w:r>
            <w:r>
              <w:rPr>
                <w:rFonts w:eastAsia="Arial Unicode MS"/>
                <w:b/>
                <w:sz w:val="20"/>
                <w:szCs w:val="20"/>
              </w:rPr>
            </w:r>
            <w:r>
              <w:rPr>
                <w:rFonts w:eastAsia="Arial Unicode MS"/>
                <w:b/>
                <w:sz w:val="20"/>
                <w:szCs w:val="20"/>
              </w:rPr>
            </w:r>
          </w:p>
        </w:tc>
        <w:tc>
          <w:tcPr>
            <w:tcW w:w="3664" w:type="dxa"/>
            <w:vAlign w:val="top"/>
            <w:textDirection w:val="lrTb"/>
            <w:noWrap w:val="false"/>
          </w:tcPr>
          <w:p>
            <w:pPr>
              <w:pStyle w:val="965"/>
              <w:rPr>
                <w:b/>
                <w:sz w:val="20"/>
                <w:szCs w:val="20"/>
              </w:rPr>
            </w:pPr>
            <w:r>
              <w:rPr>
                <w:b/>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b/>
                <w:sz w:val="20"/>
                <w:szCs w:val="20"/>
              </w:rPr>
            </w:r>
            <w:r>
              <w:rPr>
                <w:b/>
                <w:sz w:val="20"/>
                <w:szCs w:val="20"/>
              </w:rPr>
            </w:r>
          </w:p>
        </w:tc>
        <w:tc>
          <w:tcPr>
            <w:gridSpan w:val="2"/>
            <w:tcW w:w="2795" w:type="dxa"/>
            <w:vAlign w:val="top"/>
            <w:textDirection w:val="lrTb"/>
            <w:noWrap w:val="false"/>
          </w:tcPr>
          <w:p>
            <w:pPr>
              <w:pStyle w:val="965"/>
              <w:jc w:val="center"/>
              <w:rPr>
                <w:sz w:val="20"/>
                <w:szCs w:val="20"/>
              </w:rPr>
            </w:pPr>
            <w:r>
              <w:rPr>
                <w:sz w:val="20"/>
                <w:szCs w:val="20"/>
              </w:rPr>
              <w:t xml:space="preserve">0,1% от суммы сделки</w:t>
            </w:r>
            <w:r>
              <w:rPr>
                <w:sz w:val="20"/>
                <w:szCs w:val="20"/>
              </w:rPr>
            </w:r>
            <w:r>
              <w:rPr>
                <w:sz w:val="20"/>
                <w:szCs w:val="20"/>
              </w:rPr>
            </w:r>
          </w:p>
          <w:p>
            <w:pPr>
              <w:pStyle w:val="965"/>
              <w:jc w:val="center"/>
              <w:rPr>
                <w:sz w:val="20"/>
                <w:szCs w:val="20"/>
              </w:rPr>
            </w:pPr>
            <w:r>
              <w:rPr>
                <w:sz w:val="20"/>
                <w:szCs w:val="20"/>
              </w:rPr>
              <w:t xml:space="preserve">Макс 5000руб.</w:t>
            </w:r>
            <w:r>
              <w:rPr>
                <w:sz w:val="20"/>
                <w:szCs w:val="20"/>
              </w:rPr>
            </w:r>
            <w:r>
              <w:rPr>
                <w:sz w:val="20"/>
                <w:szCs w:val="20"/>
              </w:rPr>
            </w:r>
          </w:p>
        </w:tc>
        <w:tc>
          <w:tcPr>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52" w:type="dxa"/>
            <w:vAlign w:val="top"/>
            <w:textDirection w:val="lrTb"/>
            <w:noWrap w:val="false"/>
          </w:tcPr>
          <w:p>
            <w:pPr>
              <w:pStyle w:val="965"/>
              <w:jc w:val="center"/>
              <w:rPr>
                <w:b/>
                <w:sz w:val="20"/>
                <w:szCs w:val="20"/>
              </w:rPr>
            </w:pPr>
            <w:r>
              <w:rPr>
                <w:b/>
                <w:sz w:val="20"/>
                <w:szCs w:val="20"/>
              </w:rPr>
            </w:r>
            <w:r>
              <w:rPr>
                <w:b/>
                <w:sz w:val="20"/>
                <w:szCs w:val="20"/>
              </w:rPr>
            </w:r>
            <w:r>
              <w:rPr>
                <w:b/>
                <w:sz w:val="20"/>
                <w:szCs w:val="20"/>
              </w:rPr>
            </w:r>
          </w:p>
          <w:p>
            <w:pPr>
              <w:pStyle w:val="965"/>
              <w:jc w:val="center"/>
              <w:rPr>
                <w:b/>
                <w:sz w:val="20"/>
                <w:szCs w:val="20"/>
              </w:rPr>
            </w:pPr>
            <w:r>
              <w:rPr>
                <w:b/>
                <w:sz w:val="20"/>
                <w:szCs w:val="20"/>
              </w:rPr>
              <w:t xml:space="preserve">9.5. Операции по блокировке</w:t>
            </w:r>
            <w:r>
              <w:rPr>
                <w:b/>
                <w:sz w:val="20"/>
                <w:szCs w:val="20"/>
              </w:rPr>
            </w:r>
            <w:r>
              <w:rPr>
                <w:b/>
                <w:sz w:val="20"/>
                <w:szCs w:val="20"/>
              </w:rPr>
            </w:r>
          </w:p>
          <w:p>
            <w:pPr>
              <w:pStyle w:val="96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restart"/>
            <w:textDirection w:val="lrTb"/>
            <w:noWrap w:val="false"/>
          </w:tcPr>
          <w:p>
            <w:pPr>
              <w:pStyle w:val="965"/>
              <w:jc w:val="center"/>
              <w:spacing w:before="40" w:after="40"/>
              <w:rPr>
                <w:b/>
                <w:sz w:val="20"/>
                <w:szCs w:val="20"/>
              </w:rPr>
            </w:pPr>
            <w:r>
              <w:rPr>
                <w:b/>
                <w:sz w:val="20"/>
                <w:szCs w:val="20"/>
              </w:rPr>
              <w:t xml:space="preserve">9.5.1.</w:t>
            </w:r>
            <w:r>
              <w:rPr>
                <w:b/>
                <w:sz w:val="20"/>
                <w:szCs w:val="20"/>
              </w:rPr>
            </w:r>
            <w:r>
              <w:rPr>
                <w:b/>
                <w:sz w:val="20"/>
                <w:szCs w:val="20"/>
              </w:rPr>
            </w:r>
          </w:p>
        </w:tc>
        <w:tc>
          <w:tcPr>
            <w:tcBorders>
              <w:bottom w:val="none" w:color="000000" w:sz="4" w:space="0"/>
            </w:tcBorders>
            <w:tcW w:w="3664" w:type="dxa"/>
            <w:vAlign w:val="top"/>
            <w:textDirection w:val="lrTb"/>
            <w:noWrap w:val="false"/>
          </w:tcPr>
          <w:p>
            <w:pPr>
              <w:pStyle w:val="965"/>
              <w:jc w:val="both"/>
              <w:spacing w:before="40"/>
              <w:tabs>
                <w:tab w:val="left" w:pos="290" w:leader="none"/>
              </w:tabs>
              <w:rPr>
                <w:b/>
                <w:sz w:val="20"/>
                <w:szCs w:val="20"/>
              </w:rPr>
            </w:pPr>
            <w:r>
              <w:rPr>
                <w:b/>
                <w:sz w:val="20"/>
                <w:szCs w:val="20"/>
              </w:rPr>
              <w:t xml:space="preserve">-</w:t>
              <w:tab/>
              <w:t xml:space="preserve">блокирование, разблокирование ценных бумаг на счете депо по поручению клиента</w:t>
            </w:r>
            <w:r>
              <w:rPr>
                <w:b/>
                <w:sz w:val="20"/>
                <w:szCs w:val="20"/>
              </w:rPr>
            </w:r>
            <w:r>
              <w:rPr>
                <w:b/>
                <w:sz w:val="20"/>
                <w:szCs w:val="20"/>
              </w:rPr>
            </w:r>
          </w:p>
        </w:tc>
        <w:tc>
          <w:tcPr>
            <w:gridSpan w:val="2"/>
            <w:tcBorders>
              <w:top w:val="none" w:color="000000" w:sz="4" w:space="0"/>
              <w:bottom w:val="none" w:color="000000" w:sz="4" w:space="0"/>
              <w:right w:val="single" w:color="000000" w:sz="4" w:space="0"/>
            </w:tcBorders>
            <w:tcW w:w="2795" w:type="dxa"/>
            <w:vAlign w:val="center"/>
            <w:vMerge w:val="restart"/>
            <w:textDirection w:val="lrTb"/>
            <w:noWrap w:val="false"/>
          </w:tcPr>
          <w:p>
            <w:pPr>
              <w:pStyle w:val="965"/>
              <w:jc w:val="center"/>
              <w:spacing w:before="40" w:after="40"/>
              <w:rPr>
                <w:sz w:val="20"/>
                <w:szCs w:val="20"/>
              </w:rPr>
            </w:pPr>
            <w:r>
              <w:rPr>
                <w:sz w:val="20"/>
                <w:szCs w:val="20"/>
              </w:rPr>
              <w:t xml:space="preserve">3</w:t>
            </w:r>
            <w:r>
              <w:rPr>
                <w:sz w:val="20"/>
                <w:szCs w:val="20"/>
              </w:rPr>
              <w:t xml:space="preserve"> </w:t>
            </w:r>
            <w:r>
              <w:rPr>
                <w:sz w:val="20"/>
                <w:szCs w:val="20"/>
              </w:rPr>
              <w:t xml:space="preserve">000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753" w:type="dxa"/>
            <w:vAlign w:val="top"/>
            <w:textDirection w:val="lrTb"/>
            <w:noWrap w:val="false"/>
          </w:tcPr>
          <w:p>
            <w:pPr>
              <w:pStyle w:val="96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continue"/>
            <w:textDirection w:val="lrTb"/>
            <w:noWrap w:val="false"/>
          </w:tcPr>
          <w:p>
            <w:pPr>
              <w:pStyle w:val="965"/>
              <w:jc w:val="center"/>
              <w:rPr>
                <w:b/>
                <w:sz w:val="20"/>
                <w:szCs w:val="20"/>
              </w:rPr>
            </w:pPr>
            <w:r>
              <w:rPr>
                <w:b/>
                <w:sz w:val="20"/>
                <w:szCs w:val="20"/>
              </w:rPr>
            </w:r>
            <w:r>
              <w:rPr>
                <w:b/>
                <w:sz w:val="20"/>
                <w:szCs w:val="20"/>
              </w:rPr>
            </w:r>
            <w:r>
              <w:rPr>
                <w:b/>
                <w:sz w:val="20"/>
                <w:szCs w:val="20"/>
              </w:rPr>
            </w:r>
          </w:p>
        </w:tc>
        <w:tc>
          <w:tcPr>
            <w:tcBorders>
              <w:top w:val="none" w:color="000000" w:sz="4" w:space="0"/>
              <w:bottom w:val="none" w:color="000000" w:sz="4" w:space="0"/>
            </w:tcBorders>
            <w:tcW w:w="3664" w:type="dxa"/>
            <w:vAlign w:val="top"/>
            <w:textDirection w:val="lrTb"/>
            <w:noWrap w:val="false"/>
          </w:tcPr>
          <w:p>
            <w:pPr>
              <w:pStyle w:val="965"/>
              <w:rPr>
                <w:b/>
                <w:sz w:val="20"/>
                <w:szCs w:val="20"/>
              </w:rPr>
            </w:pPr>
            <w:r>
              <w:rPr>
                <w:b/>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
                <w:sz w:val="20"/>
                <w:szCs w:val="20"/>
              </w:rPr>
            </w:r>
            <w:r>
              <w:rPr>
                <w:b/>
                <w:sz w:val="20"/>
                <w:szCs w:val="20"/>
              </w:rPr>
            </w:r>
          </w:p>
        </w:tc>
        <w:tc>
          <w:tcPr>
            <w:gridSpan w:val="2"/>
            <w:tcBorders>
              <w:top w:val="none" w:color="000000" w:sz="4" w:space="0"/>
              <w:bottom w:val="none" w:color="000000" w:sz="4" w:space="0"/>
              <w:right w:val="single" w:color="000000" w:sz="4" w:space="0"/>
            </w:tcBorders>
            <w:tcW w:w="2795" w:type="dxa"/>
            <w:vAlign w:val="top"/>
            <w:vMerge w:val="continue"/>
            <w:textDirection w:val="lrTb"/>
            <w:noWrap w:val="false"/>
          </w:tcPr>
          <w:p>
            <w:pPr>
              <w:pStyle w:val="96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continue"/>
            <w:textDirection w:val="lrTb"/>
            <w:noWrap w:val="false"/>
          </w:tcPr>
          <w:p>
            <w:pPr>
              <w:pStyle w:val="965"/>
              <w:jc w:val="center"/>
              <w:rPr>
                <w:b/>
                <w:sz w:val="20"/>
                <w:szCs w:val="20"/>
              </w:rPr>
            </w:pPr>
            <w:r>
              <w:rPr>
                <w:b/>
                <w:sz w:val="20"/>
                <w:szCs w:val="20"/>
              </w:rPr>
            </w:r>
            <w:r>
              <w:rPr>
                <w:b/>
                <w:sz w:val="20"/>
                <w:szCs w:val="20"/>
              </w:rPr>
            </w:r>
            <w:r>
              <w:rPr>
                <w:b/>
                <w:sz w:val="20"/>
                <w:szCs w:val="20"/>
              </w:rPr>
            </w:r>
          </w:p>
        </w:tc>
        <w:tc>
          <w:tcPr>
            <w:tcBorders>
              <w:top w:val="none" w:color="000000" w:sz="4" w:space="0"/>
              <w:bottom w:val="none" w:color="000000" w:sz="4" w:space="0"/>
            </w:tcBorders>
            <w:tcW w:w="3664" w:type="dxa"/>
            <w:vAlign w:val="top"/>
            <w:textDirection w:val="lrTb"/>
            <w:noWrap w:val="false"/>
          </w:tcPr>
          <w:p>
            <w:pPr>
              <w:pStyle w:val="965"/>
              <w:rPr>
                <w:b/>
                <w:sz w:val="20"/>
                <w:szCs w:val="20"/>
              </w:rPr>
            </w:pPr>
            <w:r>
              <w:rPr>
                <w:b/>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
                <w:sz w:val="20"/>
                <w:szCs w:val="20"/>
              </w:rPr>
            </w:r>
            <w:r>
              <w:rPr>
                <w:b/>
                <w:sz w:val="20"/>
                <w:szCs w:val="20"/>
              </w:rPr>
            </w:r>
          </w:p>
        </w:tc>
        <w:tc>
          <w:tcPr>
            <w:gridSpan w:val="2"/>
            <w:tcBorders>
              <w:top w:val="none" w:color="000000" w:sz="4" w:space="0"/>
              <w:bottom w:val="none" w:color="000000" w:sz="4" w:space="0"/>
              <w:right w:val="single" w:color="000000" w:sz="4" w:space="0"/>
            </w:tcBorders>
            <w:tcW w:w="2795" w:type="dxa"/>
            <w:vAlign w:val="top"/>
            <w:vMerge w:val="continue"/>
            <w:textDirection w:val="lrTb"/>
            <w:noWrap w:val="false"/>
          </w:tcPr>
          <w:p>
            <w:pPr>
              <w:pStyle w:val="96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continue"/>
            <w:textDirection w:val="lrTb"/>
            <w:noWrap w:val="false"/>
          </w:tcPr>
          <w:p>
            <w:pPr>
              <w:pStyle w:val="965"/>
              <w:jc w:val="center"/>
              <w:rPr>
                <w:b/>
                <w:sz w:val="20"/>
                <w:szCs w:val="20"/>
              </w:rPr>
            </w:pPr>
            <w:r>
              <w:rPr>
                <w:b/>
                <w:sz w:val="20"/>
                <w:szCs w:val="20"/>
              </w:rPr>
            </w:r>
            <w:r>
              <w:rPr>
                <w:b/>
                <w:sz w:val="20"/>
                <w:szCs w:val="20"/>
              </w:rPr>
            </w:r>
            <w:r>
              <w:rPr>
                <w:b/>
                <w:sz w:val="20"/>
                <w:szCs w:val="20"/>
              </w:rPr>
            </w:r>
          </w:p>
        </w:tc>
        <w:tc>
          <w:tcPr>
            <w:tcBorders>
              <w:top w:val="none" w:color="000000" w:sz="4" w:space="0"/>
              <w:bottom w:val="none" w:color="000000" w:sz="4" w:space="0"/>
            </w:tcBorders>
            <w:tcW w:w="3664" w:type="dxa"/>
            <w:vAlign w:val="top"/>
            <w:textDirection w:val="lrTb"/>
            <w:noWrap w:val="false"/>
          </w:tcPr>
          <w:p>
            <w:pPr>
              <w:pStyle w:val="965"/>
              <w:rPr>
                <w:b/>
                <w:sz w:val="20"/>
                <w:szCs w:val="20"/>
              </w:rPr>
            </w:pPr>
            <w:r>
              <w:rPr>
                <w:b/>
                <w:sz w:val="20"/>
                <w:szCs w:val="20"/>
              </w:rPr>
              <w:t xml:space="preserve">-</w:t>
              <w:tab/>
              <w:t xml:space="preserve">регистрация уступки прав по договору залога ценных бумаг</w:t>
            </w:r>
            <w:r>
              <w:rPr>
                <w:b/>
                <w:sz w:val="20"/>
                <w:szCs w:val="20"/>
              </w:rPr>
            </w:r>
            <w:r>
              <w:rPr>
                <w:b/>
                <w:sz w:val="20"/>
                <w:szCs w:val="20"/>
              </w:rPr>
            </w:r>
          </w:p>
        </w:tc>
        <w:tc>
          <w:tcPr>
            <w:gridSpan w:val="2"/>
            <w:tcBorders>
              <w:top w:val="none" w:color="000000" w:sz="4" w:space="0"/>
              <w:bottom w:val="none" w:color="000000" w:sz="4" w:space="0"/>
              <w:right w:val="single" w:color="000000" w:sz="4" w:space="0"/>
            </w:tcBorders>
            <w:tcW w:w="2795" w:type="dxa"/>
            <w:vAlign w:val="top"/>
            <w:vMerge w:val="continue"/>
            <w:textDirection w:val="lrTb"/>
            <w:noWrap w:val="false"/>
          </w:tcPr>
          <w:p>
            <w:pPr>
              <w:pStyle w:val="96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continue"/>
            <w:textDirection w:val="lrTb"/>
            <w:noWrap w:val="false"/>
          </w:tcPr>
          <w:p>
            <w:pPr>
              <w:pStyle w:val="965"/>
              <w:jc w:val="center"/>
              <w:rPr>
                <w:b/>
                <w:sz w:val="20"/>
                <w:szCs w:val="20"/>
              </w:rPr>
            </w:pPr>
            <w:r>
              <w:rPr>
                <w:b/>
                <w:sz w:val="20"/>
                <w:szCs w:val="20"/>
              </w:rPr>
            </w:r>
            <w:r>
              <w:rPr>
                <w:b/>
                <w:sz w:val="20"/>
                <w:szCs w:val="20"/>
              </w:rPr>
            </w:r>
            <w:r>
              <w:rPr>
                <w:b/>
                <w:sz w:val="20"/>
                <w:szCs w:val="20"/>
              </w:rPr>
            </w:r>
          </w:p>
        </w:tc>
        <w:tc>
          <w:tcPr>
            <w:tcBorders>
              <w:top w:val="none" w:color="000000" w:sz="4" w:space="0"/>
              <w:bottom w:val="single" w:color="000000" w:sz="4" w:space="0"/>
            </w:tcBorders>
            <w:tcW w:w="3664" w:type="dxa"/>
            <w:vAlign w:val="top"/>
            <w:textDirection w:val="lrTb"/>
            <w:noWrap w:val="false"/>
          </w:tcPr>
          <w:p>
            <w:pPr>
              <w:pStyle w:val="965"/>
              <w:rPr>
                <w:b/>
                <w:sz w:val="20"/>
                <w:szCs w:val="20"/>
              </w:rPr>
            </w:pPr>
            <w:r>
              <w:rPr>
                <w:b/>
                <w:sz w:val="20"/>
                <w:szCs w:val="20"/>
              </w:rPr>
              <w:t xml:space="preserve">-</w:t>
              <w:tab/>
              <w:t xml:space="preserve">регистрация перехода прав по договору залога ценных бумаг</w:t>
            </w:r>
            <w:r>
              <w:rPr>
                <w:b/>
                <w:sz w:val="20"/>
                <w:szCs w:val="20"/>
              </w:rPr>
            </w:r>
            <w:r>
              <w:rPr>
                <w:b/>
                <w:sz w:val="20"/>
                <w:szCs w:val="20"/>
              </w:rPr>
            </w:r>
          </w:p>
        </w:tc>
        <w:tc>
          <w:tcPr>
            <w:gridSpan w:val="2"/>
            <w:tcBorders>
              <w:top w:val="none" w:color="000000" w:sz="4" w:space="0"/>
              <w:bottom w:val="single" w:color="000000" w:sz="4" w:space="0"/>
              <w:right w:val="single" w:color="000000" w:sz="4" w:space="0"/>
            </w:tcBorders>
            <w:tcW w:w="2795" w:type="dxa"/>
            <w:vAlign w:val="top"/>
            <w:vMerge w:val="continue"/>
            <w:textDirection w:val="lrTb"/>
            <w:noWrap w:val="false"/>
          </w:tcPr>
          <w:p>
            <w:pPr>
              <w:pStyle w:val="96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vMerge w:val="continue"/>
            <w:textDirection w:val="lrTb"/>
            <w:noWrap w:val="false"/>
          </w:tcPr>
          <w:p>
            <w:pPr>
              <w:pStyle w:val="965"/>
              <w:jc w:val="center"/>
              <w:rPr>
                <w:b/>
                <w:sz w:val="20"/>
                <w:szCs w:val="20"/>
              </w:rPr>
            </w:pPr>
            <w:r>
              <w:rPr>
                <w:b/>
                <w:sz w:val="20"/>
                <w:szCs w:val="20"/>
              </w:rPr>
            </w:r>
            <w:r>
              <w:rPr>
                <w:b/>
                <w:sz w:val="20"/>
                <w:szCs w:val="20"/>
              </w:rPr>
            </w:r>
            <w:r>
              <w:rPr>
                <w:b/>
                <w:sz w:val="20"/>
                <w:szCs w:val="20"/>
              </w:rPr>
            </w:r>
          </w:p>
        </w:tc>
        <w:tc>
          <w:tcPr>
            <w:tcBorders>
              <w:top w:val="single" w:color="000000" w:sz="4" w:space="0"/>
            </w:tcBorders>
            <w:tcW w:w="3664" w:type="dxa"/>
            <w:vAlign w:val="top"/>
            <w:textDirection w:val="lrTb"/>
            <w:noWrap w:val="false"/>
          </w:tcPr>
          <w:p>
            <w:pPr>
              <w:pStyle w:val="965"/>
              <w:rPr>
                <w:b/>
                <w:sz w:val="20"/>
                <w:szCs w:val="20"/>
              </w:rPr>
            </w:pPr>
            <w:r>
              <w:rPr>
                <w:b/>
                <w:sz w:val="20"/>
                <w:szCs w:val="20"/>
              </w:rPr>
              <w:t xml:space="preserve">-</w:t>
              <w:tab/>
              <w:t xml:space="preserve">административное блокирование/разблокирование ценных бумаг на счете депо</w:t>
            </w:r>
            <w:r>
              <w:rPr>
                <w:b/>
                <w:sz w:val="20"/>
                <w:szCs w:val="20"/>
              </w:rPr>
            </w:r>
            <w:r>
              <w:rPr>
                <w:b/>
                <w:sz w:val="20"/>
                <w:szCs w:val="20"/>
              </w:rPr>
            </w:r>
          </w:p>
        </w:tc>
        <w:tc>
          <w:tcPr>
            <w:gridSpan w:val="2"/>
            <w:tcBorders>
              <w:top w:val="single" w:color="000000" w:sz="4" w:space="0"/>
            </w:tcBorders>
            <w:tcW w:w="2795" w:type="dxa"/>
            <w:vAlign w:val="top"/>
            <w:textDirection w:val="lrTb"/>
            <w:noWrap w:val="false"/>
          </w:tcPr>
          <w:p>
            <w:pPr>
              <w:pStyle w:val="965"/>
              <w:jc w:val="center"/>
              <w:rPr>
                <w:rFonts w:eastAsia="Arial Unicode MS"/>
                <w:sz w:val="20"/>
                <w:szCs w:val="20"/>
              </w:rPr>
            </w:pPr>
            <w:r>
              <w:rPr>
                <w:sz w:val="20"/>
                <w:szCs w:val="20"/>
              </w:rPr>
              <w:t xml:space="preserve">Комиссия не взимается</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tcBorders>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52" w:type="dxa"/>
            <w:vAlign w:val="top"/>
            <w:textDirection w:val="lrTb"/>
            <w:noWrap w:val="false"/>
          </w:tcPr>
          <w:p>
            <w:pPr>
              <w:pStyle w:val="965"/>
              <w:jc w:val="center"/>
              <w:rPr>
                <w:sz w:val="20"/>
                <w:szCs w:val="20"/>
              </w:rPr>
            </w:pPr>
            <w:r>
              <w:rPr>
                <w:sz w:val="20"/>
                <w:szCs w:val="20"/>
              </w:rPr>
            </w:r>
            <w:r>
              <w:rPr>
                <w:sz w:val="20"/>
                <w:szCs w:val="20"/>
              </w:rPr>
            </w:r>
            <w:r>
              <w:rPr>
                <w:sz w:val="20"/>
                <w:szCs w:val="20"/>
              </w:rPr>
            </w:r>
          </w:p>
          <w:p>
            <w:pPr>
              <w:pStyle w:val="965"/>
              <w:jc w:val="center"/>
              <w:rPr>
                <w:b/>
                <w:sz w:val="20"/>
                <w:szCs w:val="20"/>
              </w:rPr>
            </w:pPr>
            <w:r>
              <w:rPr>
                <w:b/>
                <w:sz w:val="20"/>
                <w:szCs w:val="20"/>
              </w:rPr>
              <w:t xml:space="preserve">9.6. Корпоративные действия</w:t>
            </w:r>
            <w:r>
              <w:rPr>
                <w:b/>
                <w:sz w:val="20"/>
                <w:szCs w:val="20"/>
              </w:rPr>
            </w:r>
            <w:r>
              <w:rPr>
                <w:b/>
                <w:sz w:val="20"/>
                <w:szCs w:val="20"/>
              </w:rPr>
            </w:r>
          </w:p>
          <w:p>
            <w:pPr>
              <w:pStyle w:val="96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0" w:type="dxa"/>
            <w:vAlign w:val="top"/>
            <w:textDirection w:val="lrTb"/>
            <w:noWrap w:val="false"/>
          </w:tcPr>
          <w:p>
            <w:pPr>
              <w:pStyle w:val="965"/>
              <w:jc w:val="center"/>
              <w:rPr>
                <w:rFonts w:eastAsia="Arial Unicode MS"/>
                <w:b/>
                <w:sz w:val="20"/>
                <w:szCs w:val="20"/>
              </w:rPr>
            </w:pPr>
            <w:r>
              <w:rPr>
                <w:b/>
                <w:sz w:val="20"/>
                <w:szCs w:val="20"/>
              </w:rPr>
              <w:t xml:space="preserve">9.6.1.</w:t>
            </w:r>
            <w:r>
              <w:rPr>
                <w:rFonts w:eastAsia="Arial Unicode MS"/>
                <w:b/>
                <w:sz w:val="20"/>
                <w:szCs w:val="20"/>
              </w:rPr>
            </w:r>
            <w:r>
              <w:rPr>
                <w:rFonts w:eastAsia="Arial Unicode MS"/>
                <w:b/>
                <w:sz w:val="20"/>
                <w:szCs w:val="20"/>
              </w:rPr>
            </w:r>
          </w:p>
        </w:tc>
        <w:tc>
          <w:tcPr>
            <w:tcBorders>
              <w:bottom w:val="single" w:color="000000" w:sz="4" w:space="0"/>
            </w:tcBorders>
            <w:tcW w:w="3664" w:type="dxa"/>
            <w:vAlign w:val="top"/>
            <w:textDirection w:val="lrTb"/>
            <w:noWrap w:val="false"/>
          </w:tcPr>
          <w:p>
            <w:pPr>
              <w:pStyle w:val="965"/>
              <w:rPr>
                <w:b/>
                <w:sz w:val="20"/>
                <w:szCs w:val="20"/>
              </w:rPr>
            </w:pPr>
            <w:r>
              <w:rPr>
                <w:b/>
                <w:sz w:val="20"/>
                <w:szCs w:val="20"/>
              </w:rPr>
              <w:t xml:space="preserve">Извещение о корпоративных действиях эмитентов</w:t>
            </w:r>
            <w:r>
              <w:rPr>
                <w:b/>
                <w:sz w:val="20"/>
                <w:szCs w:val="20"/>
              </w:rPr>
            </w:r>
            <w:r>
              <w:rPr>
                <w:b/>
                <w:sz w:val="20"/>
                <w:szCs w:val="20"/>
              </w:rPr>
            </w:r>
          </w:p>
        </w:tc>
        <w:tc>
          <w:tcPr>
            <w:gridSpan w:val="2"/>
            <w:tcBorders>
              <w:bottom w:val="single" w:color="000000" w:sz="4" w:space="0"/>
            </w:tcBorders>
            <w:tcW w:w="2795" w:type="dxa"/>
            <w:vAlign w:val="top"/>
            <w:textDirection w:val="lrTb"/>
            <w:noWrap w:val="false"/>
          </w:tcPr>
          <w:p>
            <w:pPr>
              <w:pStyle w:val="965"/>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753"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0" w:type="dxa"/>
            <w:vAlign w:val="top"/>
            <w:textDirection w:val="lrTb"/>
            <w:noWrap w:val="false"/>
          </w:tcPr>
          <w:p>
            <w:pPr>
              <w:pStyle w:val="965"/>
              <w:jc w:val="center"/>
              <w:spacing w:before="40"/>
              <w:rPr>
                <w:rFonts w:eastAsia="Arial Unicode MS"/>
                <w:b/>
                <w:bCs/>
                <w:sz w:val="20"/>
                <w:szCs w:val="20"/>
              </w:rPr>
            </w:pPr>
            <w:r>
              <w:rPr>
                <w:b/>
                <w:bCs/>
                <w:sz w:val="20"/>
                <w:szCs w:val="20"/>
              </w:rPr>
              <w:t xml:space="preserve">9.6.2.</w:t>
            </w:r>
            <w:r>
              <w:rPr>
                <w:rFonts w:eastAsia="Arial Unicode MS"/>
                <w:b/>
                <w:bCs/>
                <w:sz w:val="20"/>
                <w:szCs w:val="20"/>
              </w:rPr>
            </w:r>
            <w:r>
              <w:rPr>
                <w:rFonts w:eastAsia="Arial Unicode MS"/>
                <w:b/>
                <w:bCs/>
                <w:sz w:val="20"/>
                <w:szCs w:val="20"/>
              </w:rPr>
            </w:r>
          </w:p>
        </w:tc>
        <w:tc>
          <w:tcPr>
            <w:tcBorders>
              <w:bottom w:val="single" w:color="000000" w:sz="4" w:space="0"/>
            </w:tcBorders>
            <w:tcW w:w="3664" w:type="dxa"/>
            <w:vAlign w:val="top"/>
            <w:textDirection w:val="lrTb"/>
            <w:noWrap w:val="false"/>
          </w:tcPr>
          <w:p>
            <w:pPr>
              <w:pStyle w:val="965"/>
              <w:jc w:val="both"/>
              <w:spacing w:before="40"/>
              <w:rPr>
                <w:b/>
                <w:bCs/>
                <w:sz w:val="20"/>
                <w:szCs w:val="20"/>
              </w:rPr>
            </w:pPr>
            <w:r>
              <w:rPr>
                <w:b/>
                <w:bCs/>
                <w:sz w:val="20"/>
                <w:szCs w:val="20"/>
              </w:rPr>
              <w:t xml:space="preserve">Оказание содействия в осуществлении депонентом прав по ценным бумаг</w:t>
            </w:r>
            <w:r>
              <w:rPr>
                <w:b/>
                <w:bCs/>
                <w:sz w:val="20"/>
                <w:szCs w:val="20"/>
              </w:rPr>
              <w:t xml:space="preserve">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
                <w:bCs/>
                <w:sz w:val="20"/>
                <w:szCs w:val="20"/>
              </w:rPr>
            </w:r>
            <w:r>
              <w:rPr>
                <w:b/>
                <w:bCs/>
                <w:sz w:val="20"/>
                <w:szCs w:val="20"/>
              </w:rPr>
            </w:r>
          </w:p>
        </w:tc>
        <w:tc>
          <w:tcPr>
            <w:gridSpan w:val="2"/>
            <w:tcBorders>
              <w:bottom w:val="single" w:color="000000" w:sz="4" w:space="0"/>
            </w:tcBorders>
            <w:tcW w:w="2795" w:type="dxa"/>
            <w:vAlign w:val="top"/>
            <w:textDirection w:val="lrTb"/>
            <w:noWrap w:val="false"/>
          </w:tcPr>
          <w:p>
            <w:pPr>
              <w:pStyle w:val="965"/>
              <w:jc w:val="center"/>
              <w:spacing w:before="40"/>
              <w:rPr>
                <w:sz w:val="20"/>
                <w:szCs w:val="20"/>
              </w:rPr>
            </w:pPr>
            <w:r>
              <w:rPr>
                <w:sz w:val="20"/>
                <w:szCs w:val="20"/>
              </w:rPr>
            </w:r>
            <w:r>
              <w:rPr>
                <w:sz w:val="20"/>
                <w:szCs w:val="20"/>
              </w:rPr>
            </w:r>
            <w:r>
              <w:rPr>
                <w:sz w:val="20"/>
                <w:szCs w:val="20"/>
              </w:rPr>
            </w:r>
          </w:p>
        </w:tc>
        <w:tc>
          <w:tcPr>
            <w:tcBorders>
              <w:bottom w:val="single" w:color="000000" w:sz="4" w:space="0"/>
            </w:tcBorders>
            <w:tcW w:w="2753" w:type="dxa"/>
            <w:vAlign w:val="top"/>
            <w:textDirection w:val="lrTb"/>
            <w:noWrap w:val="false"/>
          </w:tcPr>
          <w:p>
            <w:pPr>
              <w:pStyle w:val="96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840" w:type="dxa"/>
            <w:vAlign w:val="top"/>
            <w:textDirection w:val="lrTb"/>
            <w:noWrap w:val="false"/>
          </w:tcPr>
          <w:p>
            <w:pPr>
              <w:pStyle w:val="965"/>
              <w:jc w:val="center"/>
              <w:spacing w:before="40" w:after="40"/>
              <w:rPr>
                <w:rFonts w:eastAsia="Arial Unicode MS"/>
                <w:b/>
                <w:bCs/>
                <w:sz w:val="20"/>
                <w:szCs w:val="20"/>
              </w:rPr>
            </w:pPr>
            <w:r>
              <w:rPr>
                <w:rFonts w:eastAsia="Arial Unicode MS"/>
                <w:b/>
                <w:bCs/>
                <w:sz w:val="20"/>
                <w:szCs w:val="20"/>
              </w:rPr>
            </w:r>
            <w:r>
              <w:rPr>
                <w:rFonts w:eastAsia="Arial Unicode MS"/>
                <w:b/>
                <w:bCs/>
                <w:sz w:val="20"/>
                <w:szCs w:val="20"/>
              </w:rPr>
            </w:r>
            <w:r>
              <w:rPr>
                <w:rFonts w:eastAsia="Arial Unicode MS"/>
                <w:b/>
                <w:bCs/>
                <w:sz w:val="20"/>
                <w:szCs w:val="20"/>
              </w:rPr>
            </w:r>
          </w:p>
        </w:tc>
        <w:tc>
          <w:tcPr>
            <w:tcBorders>
              <w:top w:val="single" w:color="000000" w:sz="4" w:space="0"/>
              <w:bottom w:val="single" w:color="000000" w:sz="4" w:space="0"/>
            </w:tcBorders>
            <w:tcW w:w="3664" w:type="dxa"/>
            <w:vAlign w:val="top"/>
            <w:textDirection w:val="lrTb"/>
            <w:noWrap w:val="false"/>
          </w:tcPr>
          <w:p>
            <w:pPr>
              <w:pStyle w:val="965"/>
              <w:jc w:val="both"/>
              <w:spacing w:before="40" w:after="40"/>
              <w:rPr>
                <w:b/>
                <w:sz w:val="20"/>
                <w:szCs w:val="20"/>
              </w:rPr>
            </w:pPr>
            <w:r>
              <w:rPr>
                <w:b/>
                <w:sz w:val="20"/>
                <w:szCs w:val="20"/>
              </w:rPr>
              <w:t xml:space="preserve">- посредством электронного голосования (дистанционное участие)</w:t>
            </w:r>
            <w:r>
              <w:rPr>
                <w:b/>
                <w:sz w:val="20"/>
                <w:szCs w:val="20"/>
              </w:rPr>
            </w:r>
            <w:r>
              <w:rPr>
                <w:b/>
                <w:sz w:val="20"/>
                <w:szCs w:val="20"/>
              </w:rPr>
            </w:r>
          </w:p>
        </w:tc>
        <w:tc>
          <w:tcPr>
            <w:gridSpan w:val="2"/>
            <w:tcBorders>
              <w:top w:val="single" w:color="000000" w:sz="4" w:space="0"/>
              <w:bottom w:val="single" w:color="000000" w:sz="4" w:space="0"/>
            </w:tcBorders>
            <w:tcW w:w="2795" w:type="dxa"/>
            <w:vAlign w:val="top"/>
            <w:textDirection w:val="lrTb"/>
            <w:noWrap w:val="false"/>
          </w:tcPr>
          <w:p>
            <w:pPr>
              <w:pStyle w:val="965"/>
              <w:jc w:val="center"/>
              <w:spacing w:before="40" w:after="40"/>
              <w:rPr>
                <w:sz w:val="20"/>
                <w:szCs w:val="20"/>
              </w:rPr>
            </w:pPr>
            <w:r>
              <w:rPr>
                <w:sz w:val="20"/>
                <w:szCs w:val="20"/>
              </w:rPr>
              <w:t xml:space="preserve">1500 </w:t>
            </w:r>
            <w:r>
              <w:rPr>
                <w:sz w:val="20"/>
                <w:szCs w:val="20"/>
              </w:rPr>
              <w:t xml:space="preserve">руб.</w:t>
            </w:r>
            <w:r>
              <w:rPr>
                <w:sz w:val="20"/>
                <w:szCs w:val="20"/>
              </w:rPr>
            </w:r>
            <w:r>
              <w:rPr>
                <w:sz w:val="20"/>
                <w:szCs w:val="20"/>
              </w:rPr>
            </w:r>
          </w:p>
        </w:tc>
        <w:tc>
          <w:tcPr>
            <w:tcBorders>
              <w:top w:val="single" w:color="000000" w:sz="4" w:space="0"/>
              <w:bottom w:val="single" w:color="000000" w:sz="4" w:space="0"/>
            </w:tcBorders>
            <w:tcW w:w="2753" w:type="dxa"/>
            <w:vAlign w:val="top"/>
            <w:textDirection w:val="lrTb"/>
            <w:noWrap w:val="false"/>
          </w:tcPr>
          <w:p>
            <w:pPr>
              <w:pStyle w:val="96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840" w:type="dxa"/>
            <w:vAlign w:val="top"/>
            <w:textDirection w:val="lrTb"/>
            <w:noWrap w:val="false"/>
          </w:tcPr>
          <w:p>
            <w:pPr>
              <w:pStyle w:val="965"/>
              <w:jc w:val="center"/>
              <w:spacing w:before="40" w:after="40"/>
              <w:rPr>
                <w:rFonts w:eastAsia="Arial Unicode MS"/>
                <w:b/>
                <w:bCs/>
                <w:sz w:val="20"/>
                <w:szCs w:val="20"/>
              </w:rPr>
            </w:pPr>
            <w:r>
              <w:rPr>
                <w:rFonts w:eastAsia="Arial Unicode MS"/>
                <w:b/>
                <w:bCs/>
                <w:sz w:val="20"/>
                <w:szCs w:val="20"/>
              </w:rPr>
            </w:r>
            <w:r>
              <w:rPr>
                <w:rFonts w:eastAsia="Arial Unicode MS"/>
                <w:b/>
                <w:bCs/>
                <w:sz w:val="20"/>
                <w:szCs w:val="20"/>
              </w:rPr>
            </w:r>
            <w:r>
              <w:rPr>
                <w:rFonts w:eastAsia="Arial Unicode MS"/>
                <w:b/>
                <w:bCs/>
                <w:sz w:val="20"/>
                <w:szCs w:val="20"/>
              </w:rPr>
            </w:r>
          </w:p>
        </w:tc>
        <w:tc>
          <w:tcPr>
            <w:tcBorders>
              <w:top w:val="single" w:color="000000" w:sz="4" w:space="0"/>
            </w:tcBorders>
            <w:tcW w:w="3664" w:type="dxa"/>
            <w:vAlign w:val="top"/>
            <w:textDirection w:val="lrTb"/>
            <w:noWrap w:val="false"/>
          </w:tcPr>
          <w:p>
            <w:pPr>
              <w:pStyle w:val="965"/>
              <w:jc w:val="both"/>
              <w:spacing w:before="40" w:after="40"/>
              <w:rPr>
                <w:b/>
                <w:sz w:val="20"/>
                <w:szCs w:val="20"/>
              </w:rPr>
            </w:pPr>
            <w:r>
              <w:rPr>
                <w:b/>
                <w:sz w:val="20"/>
                <w:szCs w:val="20"/>
              </w:rPr>
              <w:t xml:space="preserve">- личное участие в собрании (личная передача документов или информации о волеизъявлении Депонента)</w:t>
            </w:r>
            <w:r>
              <w:rPr>
                <w:b/>
                <w:sz w:val="20"/>
                <w:szCs w:val="20"/>
              </w:rPr>
            </w:r>
            <w:r>
              <w:rPr>
                <w:b/>
                <w:sz w:val="20"/>
                <w:szCs w:val="20"/>
              </w:rPr>
            </w:r>
          </w:p>
        </w:tc>
        <w:tc>
          <w:tcPr>
            <w:gridSpan w:val="2"/>
            <w:tcBorders>
              <w:top w:val="single" w:color="000000" w:sz="4" w:space="0"/>
            </w:tcBorders>
            <w:tcW w:w="2795" w:type="dxa"/>
            <w:vAlign w:val="top"/>
            <w:textDirection w:val="lrTb"/>
            <w:noWrap w:val="false"/>
          </w:tcPr>
          <w:p>
            <w:pPr>
              <w:pStyle w:val="965"/>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w:t>
            </w:r>
            <w:r>
              <w:rPr>
                <w:sz w:val="20"/>
                <w:szCs w:val="20"/>
              </w:rPr>
              <w:t xml:space="preserve">руб.</w:t>
            </w:r>
            <w:r>
              <w:rPr>
                <w:sz w:val="20"/>
                <w:szCs w:val="20"/>
              </w:rPr>
            </w:r>
            <w:r>
              <w:rPr>
                <w:sz w:val="20"/>
                <w:szCs w:val="20"/>
              </w:rPr>
            </w:r>
          </w:p>
        </w:tc>
        <w:tc>
          <w:tcPr>
            <w:tcBorders>
              <w:top w:val="single" w:color="000000" w:sz="4" w:space="0"/>
            </w:tcBorders>
            <w:tcW w:w="2753" w:type="dxa"/>
            <w:vAlign w:val="top"/>
            <w:textDirection w:val="lrTb"/>
            <w:noWrap w:val="false"/>
          </w:tcPr>
          <w:p>
            <w:pPr>
              <w:pStyle w:val="965"/>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spacing w:before="40" w:after="40"/>
              <w:rPr>
                <w:rFonts w:eastAsia="Arial Unicode MS"/>
                <w:b/>
                <w:bCs/>
                <w:sz w:val="20"/>
                <w:szCs w:val="20"/>
              </w:rPr>
            </w:pPr>
            <w:r>
              <w:rPr>
                <w:b/>
                <w:bCs/>
                <w:sz w:val="20"/>
                <w:szCs w:val="20"/>
                <w:lang w:val="en-US"/>
              </w:rPr>
              <w:t xml:space="preserve">9</w:t>
            </w:r>
            <w:r>
              <w:rPr>
                <w:b/>
                <w:bCs/>
                <w:sz w:val="20"/>
                <w:szCs w:val="20"/>
              </w:rPr>
              <w:t xml:space="preserve">.6.3.</w:t>
            </w:r>
            <w:r>
              <w:rPr>
                <w:rFonts w:eastAsia="Arial Unicode MS"/>
                <w:b/>
                <w:bCs/>
                <w:sz w:val="20"/>
                <w:szCs w:val="20"/>
              </w:rPr>
            </w:r>
            <w:r>
              <w:rPr>
                <w:rFonts w:eastAsia="Arial Unicode MS"/>
                <w:b/>
                <w:bCs/>
                <w:sz w:val="20"/>
                <w:szCs w:val="20"/>
              </w:rPr>
            </w:r>
          </w:p>
        </w:tc>
        <w:tc>
          <w:tcPr>
            <w:tcW w:w="3664" w:type="dxa"/>
            <w:vAlign w:val="top"/>
            <w:textDirection w:val="lrTb"/>
            <w:noWrap w:val="false"/>
          </w:tcPr>
          <w:p>
            <w:pPr>
              <w:pStyle w:val="965"/>
              <w:jc w:val="both"/>
              <w:spacing w:before="40" w:after="40"/>
              <w:rPr>
                <w:b/>
                <w:bCs/>
                <w:sz w:val="20"/>
                <w:szCs w:val="20"/>
              </w:rPr>
            </w:pPr>
            <w:r>
              <w:rPr>
                <w:b/>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
                <w:bCs/>
                <w:sz w:val="20"/>
                <w:szCs w:val="20"/>
              </w:rPr>
            </w:r>
            <w:r>
              <w:rPr>
                <w:b/>
                <w:bCs/>
                <w:sz w:val="20"/>
                <w:szCs w:val="20"/>
              </w:rPr>
            </w:r>
          </w:p>
        </w:tc>
        <w:tc>
          <w:tcPr>
            <w:gridSpan w:val="2"/>
            <w:tcW w:w="2795" w:type="dxa"/>
            <w:vAlign w:val="top"/>
            <w:textDirection w:val="lrTb"/>
            <w:noWrap w:val="false"/>
          </w:tcPr>
          <w:p>
            <w:pPr>
              <w:pStyle w:val="965"/>
              <w:jc w:val="center"/>
              <w:spacing w:before="40" w:after="40"/>
              <w:rPr>
                <w:sz w:val="20"/>
                <w:szCs w:val="20"/>
              </w:rPr>
            </w:pPr>
            <w:r>
              <w:rPr>
                <w:sz w:val="20"/>
                <w:szCs w:val="20"/>
              </w:rPr>
              <w:t xml:space="preserve">500 руб.</w:t>
            </w:r>
            <w:r>
              <w:rPr>
                <w:sz w:val="20"/>
                <w:szCs w:val="20"/>
              </w:rPr>
            </w:r>
            <w:r>
              <w:rPr>
                <w:sz w:val="20"/>
                <w:szCs w:val="20"/>
              </w:rPr>
            </w:r>
          </w:p>
          <w:p>
            <w:pPr>
              <w:pStyle w:val="965"/>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753" w:type="dxa"/>
            <w:vAlign w:val="top"/>
            <w:textDirection w:val="lrTb"/>
            <w:noWrap w:val="false"/>
          </w:tcPr>
          <w:p>
            <w:pPr>
              <w:pStyle w:val="96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spacing w:before="40" w:after="40"/>
              <w:rPr>
                <w:rFonts w:eastAsia="Arial Unicode MS"/>
                <w:b/>
                <w:bCs/>
                <w:sz w:val="20"/>
                <w:szCs w:val="20"/>
              </w:rPr>
            </w:pPr>
            <w:r>
              <w:rPr>
                <w:b/>
                <w:bCs/>
                <w:sz w:val="20"/>
                <w:szCs w:val="20"/>
                <w:lang w:val="en-US"/>
              </w:rPr>
              <w:t xml:space="preserve">9</w:t>
            </w:r>
            <w:r>
              <w:rPr>
                <w:b/>
                <w:bCs/>
                <w:sz w:val="20"/>
                <w:szCs w:val="20"/>
              </w:rPr>
              <w:t xml:space="preserve">.6.4.</w:t>
            </w:r>
            <w:r>
              <w:rPr>
                <w:rFonts w:eastAsia="Arial Unicode MS"/>
                <w:b/>
                <w:bCs/>
                <w:sz w:val="20"/>
                <w:szCs w:val="20"/>
              </w:rPr>
            </w:r>
            <w:r>
              <w:rPr>
                <w:rFonts w:eastAsia="Arial Unicode MS"/>
                <w:b/>
                <w:bCs/>
                <w:sz w:val="20"/>
                <w:szCs w:val="20"/>
              </w:rPr>
            </w:r>
          </w:p>
        </w:tc>
        <w:tc>
          <w:tcPr>
            <w:tcW w:w="3664" w:type="dxa"/>
            <w:vAlign w:val="top"/>
            <w:textDirection w:val="lrTb"/>
            <w:noWrap w:val="false"/>
          </w:tcPr>
          <w:p>
            <w:pPr>
              <w:pStyle w:val="965"/>
              <w:jc w:val="both"/>
              <w:spacing w:before="40" w:after="40"/>
              <w:rPr>
                <w:b/>
                <w:bCs/>
                <w:sz w:val="20"/>
                <w:szCs w:val="20"/>
              </w:rPr>
            </w:pPr>
            <w:r>
              <w:rPr>
                <w:b/>
                <w:bCs/>
                <w:sz w:val="20"/>
                <w:szCs w:val="20"/>
              </w:rPr>
              <w:t xml:space="preserve">Конвертация акций в депозитарные расписки (конвертация акций из депозитарных расписок)</w:t>
            </w:r>
            <w:r>
              <w:rPr>
                <w:b/>
                <w:bCs/>
                <w:sz w:val="20"/>
                <w:szCs w:val="20"/>
              </w:rPr>
            </w:r>
            <w:r>
              <w:rPr>
                <w:b/>
                <w:bCs/>
                <w:sz w:val="20"/>
                <w:szCs w:val="20"/>
              </w:rPr>
            </w:r>
          </w:p>
        </w:tc>
        <w:tc>
          <w:tcPr>
            <w:gridSpan w:val="2"/>
            <w:tcW w:w="2795" w:type="dxa"/>
            <w:vAlign w:val="top"/>
            <w:textDirection w:val="lrTb"/>
            <w:noWrap w:val="false"/>
          </w:tcPr>
          <w:p>
            <w:pPr>
              <w:pStyle w:val="965"/>
              <w:jc w:val="center"/>
              <w:spacing w:before="40" w:after="40"/>
              <w:rPr>
                <w:sz w:val="20"/>
                <w:szCs w:val="20"/>
              </w:rPr>
            </w:pPr>
            <w:r>
              <w:rPr>
                <w:sz w:val="20"/>
                <w:szCs w:val="20"/>
              </w:rPr>
              <w:t xml:space="preserve">1 000 руб.</w:t>
            </w:r>
            <w:r>
              <w:rPr>
                <w:sz w:val="20"/>
                <w:szCs w:val="20"/>
              </w:rPr>
            </w:r>
            <w:r>
              <w:rPr>
                <w:sz w:val="20"/>
                <w:szCs w:val="20"/>
              </w:rPr>
            </w:r>
          </w:p>
          <w:p>
            <w:pPr>
              <w:pStyle w:val="965"/>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753" w:type="dxa"/>
            <w:vAlign w:val="top"/>
            <w:textDirection w:val="lrTb"/>
            <w:noWrap w:val="false"/>
          </w:tcPr>
          <w:p>
            <w:pPr>
              <w:pStyle w:val="96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0" w:type="dxa"/>
            <w:vAlign w:val="top"/>
            <w:textDirection w:val="lrTb"/>
            <w:noWrap w:val="false"/>
          </w:tcPr>
          <w:p>
            <w:pPr>
              <w:pStyle w:val="965"/>
              <w:jc w:val="center"/>
              <w:spacing w:before="40" w:after="40"/>
              <w:rPr>
                <w:rFonts w:eastAsia="Arial Unicode MS"/>
                <w:b/>
                <w:bCs/>
                <w:sz w:val="20"/>
                <w:szCs w:val="20"/>
              </w:rPr>
            </w:pPr>
            <w:r>
              <w:rPr>
                <w:b/>
                <w:bCs/>
                <w:sz w:val="20"/>
                <w:szCs w:val="20"/>
                <w:lang w:val="en-US"/>
              </w:rPr>
              <w:t xml:space="preserve">9</w:t>
            </w:r>
            <w:r>
              <w:rPr>
                <w:b/>
                <w:bCs/>
                <w:sz w:val="20"/>
                <w:szCs w:val="20"/>
              </w:rPr>
              <w:t xml:space="preserve">.6.5.</w:t>
            </w:r>
            <w:r>
              <w:rPr>
                <w:rFonts w:eastAsia="Arial Unicode MS"/>
                <w:b/>
                <w:bCs/>
                <w:sz w:val="20"/>
                <w:szCs w:val="20"/>
              </w:rPr>
            </w:r>
            <w:r>
              <w:rPr>
                <w:rFonts w:eastAsia="Arial Unicode MS"/>
                <w:b/>
                <w:bCs/>
                <w:sz w:val="20"/>
                <w:szCs w:val="20"/>
              </w:rPr>
            </w:r>
          </w:p>
        </w:tc>
        <w:tc>
          <w:tcPr>
            <w:tcBorders>
              <w:bottom w:val="single" w:color="000000" w:sz="4" w:space="0"/>
            </w:tcBorders>
            <w:tcW w:w="3664" w:type="dxa"/>
            <w:vAlign w:val="top"/>
            <w:textDirection w:val="lrTb"/>
            <w:noWrap w:val="false"/>
          </w:tcPr>
          <w:p>
            <w:pPr>
              <w:pStyle w:val="965"/>
              <w:jc w:val="both"/>
              <w:spacing w:before="40" w:after="40"/>
              <w:rPr>
                <w:b/>
                <w:bCs/>
                <w:sz w:val="20"/>
                <w:szCs w:val="20"/>
              </w:rPr>
            </w:pPr>
            <w:r>
              <w:rPr>
                <w:b/>
                <w:bCs/>
                <w:sz w:val="20"/>
                <w:szCs w:val="20"/>
              </w:rPr>
              <w:t xml:space="preserve">Зачисление сумм доходов на денежные счета, открытые в АО «Россельхозбанк»</w:t>
            </w:r>
            <w:r>
              <w:rPr>
                <w:b/>
                <w:bCs/>
                <w:sz w:val="20"/>
                <w:szCs w:val="20"/>
              </w:rPr>
            </w:r>
            <w:r>
              <w:rPr>
                <w:b/>
                <w:bCs/>
                <w:sz w:val="20"/>
                <w:szCs w:val="20"/>
              </w:rPr>
            </w:r>
          </w:p>
        </w:tc>
        <w:tc>
          <w:tcPr>
            <w:gridSpan w:val="2"/>
            <w:tcBorders>
              <w:bottom w:val="single" w:color="000000" w:sz="4" w:space="0"/>
            </w:tcBorders>
            <w:tcW w:w="2795" w:type="dxa"/>
            <w:vAlign w:val="top"/>
            <w:textDirection w:val="lrTb"/>
            <w:noWrap w:val="false"/>
          </w:tcPr>
          <w:p>
            <w:pPr>
              <w:pStyle w:val="965"/>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753" w:type="dxa"/>
            <w:vAlign w:val="top"/>
            <w:textDirection w:val="lrTb"/>
            <w:noWrap w:val="false"/>
          </w:tcPr>
          <w:p>
            <w:pPr>
              <w:pStyle w:val="96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0" w:type="dxa"/>
            <w:vAlign w:val="top"/>
            <w:textDirection w:val="lrTb"/>
            <w:noWrap w:val="false"/>
          </w:tcPr>
          <w:p>
            <w:pPr>
              <w:pStyle w:val="965"/>
              <w:jc w:val="center"/>
              <w:spacing w:before="40" w:after="40"/>
              <w:rPr>
                <w:rFonts w:eastAsia="Arial Unicode MS"/>
                <w:b/>
                <w:bCs/>
                <w:sz w:val="20"/>
                <w:szCs w:val="20"/>
              </w:rPr>
            </w:pPr>
            <w:r>
              <w:rPr>
                <w:b/>
                <w:bCs/>
                <w:sz w:val="20"/>
                <w:szCs w:val="20"/>
                <w:lang w:val="en-US"/>
              </w:rPr>
              <w:t xml:space="preserve">9</w:t>
            </w:r>
            <w:r>
              <w:rPr>
                <w:b/>
                <w:bCs/>
                <w:sz w:val="20"/>
                <w:szCs w:val="20"/>
              </w:rPr>
              <w:t xml:space="preserve">.6.6.</w:t>
            </w:r>
            <w:r>
              <w:rPr>
                <w:rFonts w:eastAsia="Arial Unicode MS"/>
                <w:b/>
                <w:bCs/>
                <w:sz w:val="20"/>
                <w:szCs w:val="20"/>
              </w:rPr>
            </w:r>
            <w:r>
              <w:rPr>
                <w:rFonts w:eastAsia="Arial Unicode MS"/>
                <w:b/>
                <w:bCs/>
                <w:sz w:val="20"/>
                <w:szCs w:val="20"/>
              </w:rPr>
            </w:r>
          </w:p>
        </w:tc>
        <w:tc>
          <w:tcPr>
            <w:tcBorders>
              <w:bottom w:val="single" w:color="000000" w:sz="4" w:space="0"/>
            </w:tcBorders>
            <w:tcW w:w="3664" w:type="dxa"/>
            <w:vAlign w:val="top"/>
            <w:textDirection w:val="lrTb"/>
            <w:noWrap w:val="false"/>
          </w:tcPr>
          <w:p>
            <w:pPr>
              <w:pStyle w:val="965"/>
              <w:jc w:val="both"/>
              <w:spacing w:before="40" w:after="40"/>
              <w:rPr>
                <w:b/>
                <w:bCs/>
                <w:sz w:val="20"/>
                <w:szCs w:val="20"/>
              </w:rPr>
            </w:pPr>
            <w:r>
              <w:rPr>
                <w:b/>
                <w:bCs/>
                <w:sz w:val="20"/>
                <w:szCs w:val="20"/>
              </w:rPr>
              <w:t xml:space="preserve">Перевод сумм доходов на счета, открытые в других банках</w:t>
            </w:r>
            <w:r>
              <w:rPr>
                <w:b/>
                <w:bCs/>
                <w:sz w:val="20"/>
                <w:szCs w:val="20"/>
              </w:rPr>
            </w:r>
            <w:r>
              <w:rPr>
                <w:b/>
                <w:bCs/>
                <w:sz w:val="20"/>
                <w:szCs w:val="20"/>
              </w:rPr>
            </w:r>
          </w:p>
        </w:tc>
        <w:tc>
          <w:tcPr>
            <w:gridSpan w:val="2"/>
            <w:tcBorders>
              <w:bottom w:val="single" w:color="000000" w:sz="4" w:space="0"/>
            </w:tcBorders>
            <w:tcW w:w="2795" w:type="dxa"/>
            <w:vAlign w:val="top"/>
            <w:textDirection w:val="lrTb"/>
            <w:noWrap w:val="false"/>
          </w:tcPr>
          <w:p>
            <w:pPr>
              <w:pStyle w:val="965"/>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753" w:type="dxa"/>
            <w:vAlign w:val="top"/>
            <w:textDirection w:val="lrTb"/>
            <w:noWrap w:val="false"/>
          </w:tcPr>
          <w:p>
            <w:pPr>
              <w:pStyle w:val="965"/>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840" w:type="dxa"/>
            <w:vAlign w:val="top"/>
            <w:textDirection w:val="lrTb"/>
            <w:noWrap w:val="false"/>
          </w:tcPr>
          <w:p>
            <w:pPr>
              <w:pStyle w:val="96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tcBorders>
              <w:top w:val="single" w:color="000000" w:sz="4" w:space="0"/>
              <w:bottom w:val="single" w:color="000000" w:sz="4" w:space="0"/>
            </w:tcBorders>
            <w:tcW w:w="3664" w:type="dxa"/>
            <w:vAlign w:val="top"/>
            <w:textDirection w:val="lrTb"/>
            <w:noWrap w:val="false"/>
          </w:tcPr>
          <w:p>
            <w:pPr>
              <w:pStyle w:val="965"/>
              <w:jc w:val="both"/>
              <w:spacing w:before="40" w:after="40"/>
              <w:rPr>
                <w:b/>
                <w:sz w:val="20"/>
                <w:szCs w:val="20"/>
              </w:rPr>
            </w:pPr>
            <w:r>
              <w:rPr>
                <w:b/>
                <w:sz w:val="20"/>
                <w:szCs w:val="20"/>
              </w:rPr>
              <w:t xml:space="preserve">- в рублях</w:t>
            </w:r>
            <w:r>
              <w:rPr>
                <w:b/>
                <w:sz w:val="20"/>
                <w:szCs w:val="20"/>
              </w:rPr>
            </w:r>
            <w:r>
              <w:rPr>
                <w:b/>
                <w:sz w:val="20"/>
                <w:szCs w:val="20"/>
              </w:rPr>
            </w:r>
          </w:p>
        </w:tc>
        <w:tc>
          <w:tcPr>
            <w:gridSpan w:val="2"/>
            <w:tcBorders>
              <w:top w:val="single" w:color="000000" w:sz="4" w:space="0"/>
              <w:bottom w:val="single" w:color="000000" w:sz="4" w:space="0"/>
            </w:tcBorders>
            <w:tcW w:w="2795" w:type="dxa"/>
            <w:vAlign w:val="top"/>
            <w:textDirection w:val="lrTb"/>
            <w:noWrap w:val="false"/>
          </w:tcPr>
          <w:p>
            <w:pPr>
              <w:pStyle w:val="965"/>
              <w:jc w:val="center"/>
              <w:spacing w:before="40" w:after="40"/>
              <w:rPr>
                <w:sz w:val="20"/>
                <w:szCs w:val="20"/>
              </w:rPr>
            </w:pPr>
            <w:r>
              <w:rPr>
                <w:sz w:val="20"/>
                <w:szCs w:val="20"/>
              </w:rPr>
              <w:t xml:space="preserve">350руб.</w:t>
            </w:r>
            <w:r>
              <w:rPr>
                <w:sz w:val="20"/>
                <w:szCs w:val="20"/>
              </w:rPr>
            </w:r>
            <w:r>
              <w:rPr>
                <w:sz w:val="20"/>
                <w:szCs w:val="20"/>
              </w:rPr>
            </w:r>
          </w:p>
        </w:tc>
        <w:tc>
          <w:tcPr>
            <w:tcBorders>
              <w:top w:val="single" w:color="000000" w:sz="4" w:space="0"/>
              <w:bottom w:val="single" w:color="000000" w:sz="4" w:space="0"/>
            </w:tcBorders>
            <w:tcW w:w="2753" w:type="dxa"/>
            <w:vAlign w:val="top"/>
            <w:textDirection w:val="lrTb"/>
            <w:noWrap w:val="false"/>
          </w:tcPr>
          <w:p>
            <w:pPr>
              <w:pStyle w:val="965"/>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840" w:type="dxa"/>
            <w:vAlign w:val="top"/>
            <w:textDirection w:val="lrTb"/>
            <w:noWrap w:val="false"/>
          </w:tcPr>
          <w:p>
            <w:pPr>
              <w:pStyle w:val="96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tcBorders>
              <w:top w:val="single" w:color="000000" w:sz="4" w:space="0"/>
            </w:tcBorders>
            <w:tcW w:w="3664" w:type="dxa"/>
            <w:vAlign w:val="top"/>
            <w:textDirection w:val="lrTb"/>
            <w:noWrap w:val="false"/>
          </w:tcPr>
          <w:p>
            <w:pPr>
              <w:pStyle w:val="965"/>
              <w:jc w:val="both"/>
              <w:spacing w:before="40" w:after="40"/>
              <w:rPr>
                <w:b/>
                <w:sz w:val="20"/>
                <w:szCs w:val="20"/>
              </w:rPr>
            </w:pPr>
            <w:r>
              <w:rPr>
                <w:b/>
                <w:sz w:val="20"/>
                <w:szCs w:val="20"/>
              </w:rPr>
              <w:t xml:space="preserve">- в иностранной валюте</w:t>
            </w:r>
            <w:r>
              <w:rPr>
                <w:b/>
                <w:sz w:val="20"/>
                <w:szCs w:val="20"/>
              </w:rPr>
            </w:r>
            <w:r>
              <w:rPr>
                <w:b/>
                <w:sz w:val="20"/>
                <w:szCs w:val="20"/>
              </w:rPr>
            </w:r>
          </w:p>
        </w:tc>
        <w:tc>
          <w:tcPr>
            <w:gridSpan w:val="2"/>
            <w:tcBorders>
              <w:top w:val="single" w:color="000000" w:sz="4" w:space="0"/>
            </w:tcBorders>
            <w:tcW w:w="2795" w:type="dxa"/>
            <w:vAlign w:val="top"/>
            <w:textDirection w:val="lrTb"/>
            <w:noWrap w:val="false"/>
          </w:tcPr>
          <w:p>
            <w:pPr>
              <w:pStyle w:val="992"/>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992"/>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single" w:color="000000" w:sz="4" w:space="0"/>
            </w:tcBorders>
            <w:tcW w:w="2753" w:type="dxa"/>
            <w:vAlign w:val="top"/>
            <w:textDirection w:val="lrTb"/>
            <w:noWrap w:val="false"/>
          </w:tcPr>
          <w:p>
            <w:pPr>
              <w:pStyle w:val="965"/>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spacing w:before="40" w:after="40"/>
              <w:rPr>
                <w:rFonts w:eastAsia="Arial Unicode MS"/>
                <w:b/>
                <w:bCs/>
              </w:rPr>
            </w:pPr>
            <w:r>
              <w:rPr>
                <w:b/>
                <w:bCs/>
                <w:sz w:val="20"/>
                <w:szCs w:val="20"/>
              </w:rPr>
              <w:t xml:space="preserve">9.6.7.</w:t>
            </w:r>
            <w:r>
              <w:rPr>
                <w:rFonts w:eastAsia="Arial Unicode MS"/>
                <w:b/>
                <w:bCs/>
              </w:rPr>
            </w:r>
            <w:r>
              <w:rPr>
                <w:rFonts w:eastAsia="Arial Unicode MS"/>
                <w:b/>
                <w:bCs/>
              </w:rPr>
            </w:r>
          </w:p>
        </w:tc>
        <w:tc>
          <w:tcPr>
            <w:tcW w:w="3664" w:type="dxa"/>
            <w:vAlign w:val="top"/>
            <w:textDirection w:val="lrTb"/>
            <w:noWrap w:val="false"/>
          </w:tcPr>
          <w:p>
            <w:pPr>
              <w:pStyle w:val="965"/>
              <w:jc w:val="both"/>
              <w:spacing w:before="40" w:after="40"/>
              <w:rPr>
                <w:b/>
                <w:sz w:val="20"/>
                <w:szCs w:val="20"/>
              </w:rPr>
            </w:pPr>
            <w:r>
              <w:rPr>
                <w:b/>
                <w:bCs/>
                <w:sz w:val="20"/>
                <w:szCs w:val="20"/>
              </w:rPr>
              <w:t xml:space="preserve">Изменение условий или аннуляция поручений клиентов на выплату доходов по ценным бумагам</w:t>
            </w:r>
            <w:r>
              <w:rPr>
                <w:b/>
                <w:sz w:val="20"/>
                <w:szCs w:val="20"/>
              </w:rPr>
            </w:r>
            <w:r>
              <w:rPr>
                <w:b/>
                <w:sz w:val="20"/>
                <w:szCs w:val="20"/>
              </w:rPr>
            </w:r>
          </w:p>
        </w:tc>
        <w:tc>
          <w:tcPr>
            <w:gridSpan w:val="2"/>
            <w:tcW w:w="2795" w:type="dxa"/>
            <w:vAlign w:val="top"/>
            <w:textDirection w:val="lrTb"/>
            <w:noWrap w:val="false"/>
          </w:tcPr>
          <w:p>
            <w:pPr>
              <w:pStyle w:val="992"/>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2753" w:type="dxa"/>
            <w:vAlign w:val="top"/>
            <w:textDirection w:val="lrTb"/>
            <w:noWrap w:val="false"/>
          </w:tcPr>
          <w:p>
            <w:pPr>
              <w:pStyle w:val="96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52" w:type="dxa"/>
            <w:vAlign w:val="top"/>
            <w:textDirection w:val="lrTb"/>
            <w:noWrap w:val="false"/>
          </w:tcPr>
          <w:p>
            <w:pPr>
              <w:pStyle w:val="965"/>
              <w:jc w:val="center"/>
              <w:rPr>
                <w:b/>
                <w:sz w:val="20"/>
                <w:szCs w:val="20"/>
              </w:rPr>
            </w:pPr>
            <w:r>
              <w:rPr>
                <w:b/>
                <w:sz w:val="20"/>
                <w:szCs w:val="20"/>
              </w:rPr>
            </w:r>
            <w:r>
              <w:rPr>
                <w:b/>
                <w:sz w:val="20"/>
                <w:szCs w:val="20"/>
              </w:rPr>
            </w:r>
            <w:r>
              <w:rPr>
                <w:b/>
                <w:sz w:val="20"/>
                <w:szCs w:val="20"/>
              </w:rPr>
            </w:r>
          </w:p>
          <w:p>
            <w:pPr>
              <w:pStyle w:val="965"/>
              <w:jc w:val="center"/>
              <w:rPr>
                <w:b/>
                <w:sz w:val="20"/>
                <w:szCs w:val="20"/>
              </w:rPr>
            </w:pPr>
            <w:r>
              <w:rPr>
                <w:b/>
                <w:sz w:val="20"/>
                <w:szCs w:val="20"/>
              </w:rPr>
              <w:t xml:space="preserve">9.7. Прочие услуги</w:t>
            </w:r>
            <w:r>
              <w:rPr>
                <w:b/>
                <w:sz w:val="20"/>
                <w:szCs w:val="20"/>
              </w:rPr>
            </w:r>
            <w:r>
              <w:rPr>
                <w:b/>
                <w:sz w:val="20"/>
                <w:szCs w:val="20"/>
              </w:rPr>
            </w:r>
          </w:p>
          <w:p>
            <w:pPr>
              <w:pStyle w:val="96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spacing w:before="40" w:after="40"/>
              <w:rPr>
                <w:rFonts w:eastAsia="Arial Unicode MS"/>
                <w:b/>
                <w:bCs/>
                <w:sz w:val="20"/>
                <w:szCs w:val="20"/>
              </w:rPr>
            </w:pPr>
            <w:r>
              <w:rPr>
                <w:b/>
                <w:bCs/>
                <w:sz w:val="20"/>
                <w:szCs w:val="20"/>
              </w:rPr>
              <w:t xml:space="preserve">9.7.1.</w:t>
            </w:r>
            <w:r>
              <w:rPr>
                <w:rFonts w:eastAsia="Arial Unicode MS"/>
                <w:b/>
                <w:bCs/>
                <w:sz w:val="20"/>
                <w:szCs w:val="20"/>
              </w:rPr>
            </w:r>
            <w:r>
              <w:rPr>
                <w:rFonts w:eastAsia="Arial Unicode MS"/>
                <w:b/>
                <w:bCs/>
                <w:sz w:val="20"/>
                <w:szCs w:val="20"/>
              </w:rPr>
            </w:r>
          </w:p>
        </w:tc>
        <w:tc>
          <w:tcPr>
            <w:tcW w:w="3664" w:type="dxa"/>
            <w:vAlign w:val="top"/>
            <w:textDirection w:val="lrTb"/>
            <w:noWrap w:val="false"/>
          </w:tcPr>
          <w:p>
            <w:pPr>
              <w:pStyle w:val="965"/>
              <w:jc w:val="both"/>
              <w:spacing w:before="40" w:after="40"/>
              <w:rPr>
                <w:b/>
                <w:bCs/>
                <w:sz w:val="20"/>
                <w:szCs w:val="20"/>
              </w:rPr>
            </w:pPr>
            <w:r>
              <w:rPr>
                <w:b/>
                <w:bCs/>
                <w:sz w:val="20"/>
                <w:szCs w:val="20"/>
              </w:rPr>
              <w:t xml:space="preserve">Отмена ранее предоставленного поручения</w:t>
            </w:r>
            <w:r>
              <w:rPr>
                <w:b/>
                <w:bCs/>
                <w:sz w:val="20"/>
                <w:szCs w:val="20"/>
              </w:rPr>
            </w:r>
            <w:r>
              <w:rPr>
                <w:b/>
                <w:bCs/>
                <w:sz w:val="20"/>
                <w:szCs w:val="20"/>
              </w:rPr>
            </w:r>
          </w:p>
        </w:tc>
        <w:tc>
          <w:tcPr>
            <w:gridSpan w:val="2"/>
            <w:tcW w:w="2795" w:type="dxa"/>
            <w:vAlign w:val="top"/>
            <w:textDirection w:val="lrTb"/>
            <w:noWrap w:val="false"/>
          </w:tcPr>
          <w:p>
            <w:pPr>
              <w:pStyle w:val="965"/>
              <w:jc w:val="center"/>
              <w:spacing w:before="40" w:after="40"/>
              <w:rPr>
                <w:sz w:val="20"/>
                <w:szCs w:val="20"/>
              </w:rPr>
            </w:pPr>
            <w:r>
              <w:rPr>
                <w:sz w:val="20"/>
                <w:szCs w:val="20"/>
              </w:rPr>
              <w:t xml:space="preserve">3</w:t>
            </w:r>
            <w:r>
              <w:rPr>
                <w:sz w:val="20"/>
                <w:szCs w:val="20"/>
              </w:rPr>
              <w:t xml:space="preserve">00 </w:t>
            </w:r>
            <w:r>
              <w:rPr>
                <w:sz w:val="20"/>
                <w:szCs w:val="20"/>
              </w:rPr>
              <w:t xml:space="preserve">руб.</w:t>
            </w:r>
            <w:r>
              <w:rPr>
                <w:sz w:val="20"/>
                <w:szCs w:val="20"/>
              </w:rPr>
            </w:r>
            <w:r>
              <w:rPr>
                <w:sz w:val="20"/>
                <w:szCs w:val="20"/>
              </w:rPr>
            </w:r>
          </w:p>
        </w:tc>
        <w:tc>
          <w:tcPr>
            <w:tcW w:w="2753" w:type="dxa"/>
            <w:vAlign w:val="top"/>
            <w:textDirection w:val="lrTb"/>
            <w:noWrap w:val="false"/>
          </w:tcPr>
          <w:p>
            <w:pPr>
              <w:pStyle w:val="96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52" w:type="dxa"/>
            <w:vAlign w:val="top"/>
            <w:textDirection w:val="lrTb"/>
            <w:noWrap w:val="false"/>
          </w:tcPr>
          <w:p>
            <w:pPr>
              <w:pStyle w:val="965"/>
              <w:jc w:val="center"/>
              <w:rPr>
                <w:b/>
                <w:sz w:val="20"/>
                <w:szCs w:val="20"/>
              </w:rPr>
            </w:pPr>
            <w:r>
              <w:rPr>
                <w:b/>
                <w:sz w:val="20"/>
                <w:szCs w:val="20"/>
              </w:rPr>
            </w:r>
            <w:r>
              <w:rPr>
                <w:b/>
                <w:sz w:val="20"/>
                <w:szCs w:val="20"/>
              </w:rPr>
            </w:r>
            <w:r>
              <w:rPr>
                <w:b/>
                <w:sz w:val="20"/>
                <w:szCs w:val="20"/>
              </w:rPr>
            </w:r>
          </w:p>
          <w:p>
            <w:pPr>
              <w:pStyle w:val="965"/>
              <w:jc w:val="center"/>
              <w:rPr>
                <w:b/>
                <w:sz w:val="20"/>
                <w:szCs w:val="20"/>
              </w:rPr>
            </w:pPr>
            <w:r>
              <w:rPr>
                <w:b/>
                <w:sz w:val="20"/>
                <w:szCs w:val="20"/>
              </w:rPr>
              <w:t xml:space="preserve">9.8. Информационные услуги</w:t>
            </w:r>
            <w:r>
              <w:rPr>
                <w:b/>
                <w:sz w:val="20"/>
                <w:szCs w:val="20"/>
              </w:rPr>
            </w:r>
            <w:r>
              <w:rPr>
                <w:b/>
                <w:sz w:val="20"/>
                <w:szCs w:val="20"/>
              </w:rPr>
            </w:r>
          </w:p>
          <w:p>
            <w:pPr>
              <w:pStyle w:val="96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spacing w:before="40" w:after="40"/>
              <w:rPr>
                <w:rFonts w:eastAsia="Arial Unicode MS"/>
                <w:b/>
                <w:bCs/>
                <w:sz w:val="20"/>
                <w:szCs w:val="20"/>
              </w:rPr>
            </w:pPr>
            <w:r>
              <w:rPr>
                <w:b/>
                <w:bCs/>
                <w:sz w:val="20"/>
                <w:szCs w:val="20"/>
              </w:rPr>
              <w:t xml:space="preserve">9.8.1.</w:t>
            </w:r>
            <w:r>
              <w:rPr>
                <w:rFonts w:eastAsia="Arial Unicode MS"/>
                <w:b/>
                <w:bCs/>
                <w:sz w:val="20"/>
                <w:szCs w:val="20"/>
              </w:rPr>
            </w:r>
            <w:r>
              <w:rPr>
                <w:rFonts w:eastAsia="Arial Unicode MS"/>
                <w:b/>
                <w:bCs/>
                <w:sz w:val="20"/>
                <w:szCs w:val="20"/>
              </w:rPr>
            </w:r>
          </w:p>
        </w:tc>
        <w:tc>
          <w:tcPr>
            <w:tcW w:w="3664" w:type="dxa"/>
            <w:vAlign w:val="top"/>
            <w:textDirection w:val="lrTb"/>
            <w:noWrap w:val="false"/>
          </w:tcPr>
          <w:p>
            <w:pPr>
              <w:pStyle w:val="965"/>
              <w:jc w:val="both"/>
              <w:spacing w:before="40" w:after="40"/>
              <w:rPr>
                <w:b/>
                <w:bCs/>
                <w:sz w:val="20"/>
                <w:szCs w:val="20"/>
              </w:rPr>
            </w:pPr>
            <w:r>
              <w:rPr>
                <w:b/>
                <w:bCs/>
                <w:sz w:val="20"/>
                <w:szCs w:val="20"/>
              </w:rPr>
              <w:t xml:space="preserve">Отчет об исполнении операции по счету депо (после проведения операции)</w:t>
            </w:r>
            <w:r>
              <w:rPr>
                <w:b/>
                <w:bCs/>
                <w:sz w:val="20"/>
                <w:szCs w:val="20"/>
              </w:rPr>
            </w:r>
            <w:r>
              <w:rPr>
                <w:b/>
                <w:bCs/>
                <w:sz w:val="20"/>
                <w:szCs w:val="20"/>
              </w:rPr>
            </w:r>
          </w:p>
        </w:tc>
        <w:tc>
          <w:tcPr>
            <w:gridSpan w:val="2"/>
            <w:tcW w:w="2795" w:type="dxa"/>
            <w:vAlign w:val="top"/>
            <w:textDirection w:val="lrTb"/>
            <w:noWrap w:val="false"/>
          </w:tcPr>
          <w:p>
            <w:pPr>
              <w:pStyle w:val="965"/>
              <w:jc w:val="center"/>
              <w:spacing w:before="40" w:after="40"/>
              <w:rPr>
                <w:rFonts w:eastAsia="Arial Unicode MS"/>
                <w:sz w:val="20"/>
                <w:szCs w:val="20"/>
              </w:rPr>
            </w:pPr>
            <w:r>
              <w:rPr>
                <w:sz w:val="20"/>
                <w:szCs w:val="20"/>
              </w:rPr>
              <w:t xml:space="preserve">Комиссия не взимается</w:t>
            </w:r>
            <w:r>
              <w:rPr>
                <w:sz w:val="20"/>
                <w:szCs w:val="20"/>
              </w:rPr>
              <w:t xml:space="preserve">.</w:t>
            </w:r>
            <w:r>
              <w:rPr>
                <w:rFonts w:eastAsia="Arial Unicode MS"/>
                <w:sz w:val="20"/>
                <w:szCs w:val="20"/>
              </w:rPr>
            </w:r>
            <w:r>
              <w:rPr>
                <w:rFonts w:eastAsia="Arial Unicode MS"/>
                <w:sz w:val="20"/>
                <w:szCs w:val="20"/>
              </w:rPr>
            </w:r>
          </w:p>
        </w:tc>
        <w:tc>
          <w:tcPr>
            <w:tcW w:w="2753" w:type="dxa"/>
            <w:vAlign w:val="top"/>
            <w:textDirection w:val="lrTb"/>
            <w:noWrap w:val="false"/>
          </w:tcPr>
          <w:p>
            <w:pPr>
              <w:pStyle w:val="96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spacing w:before="40" w:after="40"/>
              <w:rPr>
                <w:rFonts w:eastAsia="Arial Unicode MS"/>
                <w:b/>
                <w:bCs/>
                <w:sz w:val="20"/>
                <w:szCs w:val="20"/>
              </w:rPr>
            </w:pPr>
            <w:r>
              <w:rPr>
                <w:b/>
                <w:bCs/>
                <w:sz w:val="20"/>
                <w:szCs w:val="20"/>
              </w:rPr>
              <w:t xml:space="preserve">9.8.2.</w:t>
            </w:r>
            <w:r>
              <w:rPr>
                <w:rFonts w:eastAsia="Arial Unicode MS"/>
                <w:b/>
                <w:bCs/>
                <w:sz w:val="20"/>
                <w:szCs w:val="20"/>
              </w:rPr>
            </w:r>
            <w:r>
              <w:rPr>
                <w:rFonts w:eastAsia="Arial Unicode MS"/>
                <w:b/>
                <w:bCs/>
                <w:sz w:val="20"/>
                <w:szCs w:val="20"/>
              </w:rPr>
            </w:r>
          </w:p>
        </w:tc>
        <w:tc>
          <w:tcPr>
            <w:tcW w:w="3664" w:type="dxa"/>
            <w:vAlign w:val="top"/>
            <w:textDirection w:val="lrTb"/>
            <w:noWrap w:val="false"/>
          </w:tcPr>
          <w:p>
            <w:pPr>
              <w:pStyle w:val="965"/>
              <w:jc w:val="both"/>
              <w:spacing w:before="40" w:after="40"/>
              <w:rPr>
                <w:b/>
                <w:bCs/>
                <w:sz w:val="20"/>
                <w:szCs w:val="20"/>
              </w:rPr>
            </w:pPr>
            <w:r>
              <w:rPr>
                <w:b/>
                <w:bCs/>
                <w:sz w:val="20"/>
                <w:szCs w:val="20"/>
              </w:rPr>
              <w:t xml:space="preserve">Предоставление расшифровки о расчете комиссии за хранение</w:t>
            </w:r>
            <w:r>
              <w:rPr>
                <w:b/>
                <w:bCs/>
                <w:sz w:val="20"/>
                <w:szCs w:val="20"/>
              </w:rPr>
            </w:r>
            <w:r>
              <w:rPr>
                <w:b/>
                <w:bCs/>
                <w:sz w:val="20"/>
                <w:szCs w:val="20"/>
              </w:rPr>
            </w:r>
          </w:p>
        </w:tc>
        <w:tc>
          <w:tcPr>
            <w:gridSpan w:val="2"/>
            <w:tcW w:w="2795" w:type="dxa"/>
            <w:vAlign w:val="top"/>
            <w:textDirection w:val="lrTb"/>
            <w:noWrap w:val="false"/>
          </w:tcPr>
          <w:p>
            <w:pPr>
              <w:pStyle w:val="965"/>
              <w:jc w:val="center"/>
              <w:spacing w:before="40" w:after="40"/>
              <w:rPr>
                <w:sz w:val="20"/>
                <w:szCs w:val="20"/>
              </w:rPr>
            </w:pPr>
            <w:r>
              <w:rPr>
                <w:sz w:val="20"/>
                <w:szCs w:val="20"/>
              </w:rPr>
              <w:t xml:space="preserve">1</w:t>
            </w:r>
            <w:r>
              <w:rPr>
                <w:sz w:val="20"/>
                <w:szCs w:val="20"/>
              </w:rPr>
              <w:t xml:space="preserve"> </w:t>
            </w:r>
            <w:r>
              <w:rPr>
                <w:sz w:val="20"/>
                <w:szCs w:val="20"/>
              </w:rPr>
              <w:t xml:space="preserve">000 </w:t>
            </w:r>
            <w:r>
              <w:rPr>
                <w:sz w:val="20"/>
                <w:szCs w:val="20"/>
              </w:rPr>
              <w:t xml:space="preserve">руб.</w:t>
            </w:r>
            <w:r>
              <w:rPr>
                <w:sz w:val="20"/>
                <w:szCs w:val="20"/>
              </w:rPr>
            </w:r>
            <w:r>
              <w:rPr>
                <w:sz w:val="20"/>
                <w:szCs w:val="20"/>
              </w:rPr>
            </w:r>
          </w:p>
        </w:tc>
        <w:tc>
          <w:tcPr>
            <w:tcW w:w="2753" w:type="dxa"/>
            <w:vAlign w:val="top"/>
            <w:textDirection w:val="lrTb"/>
            <w:noWrap w:val="false"/>
          </w:tcPr>
          <w:p>
            <w:pPr>
              <w:pStyle w:val="96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0" w:type="dxa"/>
            <w:vAlign w:val="top"/>
            <w:textDirection w:val="lrTb"/>
            <w:noWrap w:val="false"/>
          </w:tcPr>
          <w:p>
            <w:pPr>
              <w:pStyle w:val="965"/>
              <w:jc w:val="center"/>
              <w:spacing w:before="40" w:after="40"/>
              <w:rPr>
                <w:rFonts w:eastAsia="Arial Unicode MS"/>
                <w:b/>
                <w:bCs/>
                <w:sz w:val="20"/>
                <w:szCs w:val="20"/>
              </w:rPr>
            </w:pPr>
            <w:r>
              <w:rPr>
                <w:b/>
                <w:bCs/>
                <w:sz w:val="20"/>
                <w:szCs w:val="20"/>
              </w:rPr>
              <w:t xml:space="preserve">9.8.3.</w:t>
            </w:r>
            <w:r>
              <w:rPr>
                <w:rFonts w:eastAsia="Arial Unicode MS"/>
                <w:b/>
                <w:bCs/>
                <w:sz w:val="20"/>
                <w:szCs w:val="20"/>
              </w:rPr>
            </w:r>
            <w:r>
              <w:rPr>
                <w:rFonts w:eastAsia="Arial Unicode MS"/>
                <w:b/>
                <w:bCs/>
                <w:sz w:val="20"/>
                <w:szCs w:val="20"/>
              </w:rPr>
            </w:r>
          </w:p>
        </w:tc>
        <w:tc>
          <w:tcPr>
            <w:tcBorders>
              <w:bottom w:val="single" w:color="000000" w:sz="4" w:space="0"/>
            </w:tcBorders>
            <w:tcW w:w="3664" w:type="dxa"/>
            <w:vAlign w:val="top"/>
            <w:textDirection w:val="lrTb"/>
            <w:noWrap w:val="false"/>
          </w:tcPr>
          <w:p>
            <w:pPr>
              <w:pStyle w:val="965"/>
              <w:jc w:val="both"/>
              <w:spacing w:before="40" w:after="40"/>
              <w:rPr>
                <w:b/>
                <w:bCs/>
                <w:sz w:val="20"/>
                <w:szCs w:val="20"/>
              </w:rPr>
            </w:pPr>
            <w:r>
              <w:rPr>
                <w:b/>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
                <w:bCs/>
                <w:sz w:val="20"/>
                <w:szCs w:val="20"/>
              </w:rPr>
            </w:r>
            <w:r>
              <w:rPr>
                <w:b/>
                <w:bCs/>
                <w:sz w:val="20"/>
                <w:szCs w:val="20"/>
              </w:rPr>
            </w:r>
          </w:p>
        </w:tc>
        <w:tc>
          <w:tcPr>
            <w:gridSpan w:val="2"/>
            <w:tcBorders>
              <w:bottom w:val="single" w:color="000000" w:sz="4" w:space="0"/>
            </w:tcBorders>
            <w:tcW w:w="2795" w:type="dxa"/>
            <w:vAlign w:val="top"/>
            <w:textDirection w:val="lrTb"/>
            <w:noWrap w:val="false"/>
          </w:tcPr>
          <w:p>
            <w:pPr>
              <w:pStyle w:val="965"/>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753" w:type="dxa"/>
            <w:vAlign w:val="top"/>
            <w:textDirection w:val="lrTb"/>
            <w:noWrap w:val="false"/>
          </w:tcPr>
          <w:p>
            <w:pPr>
              <w:pStyle w:val="96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0" w:type="dxa"/>
            <w:vAlign w:val="top"/>
            <w:textDirection w:val="lrTb"/>
            <w:noWrap w:val="false"/>
          </w:tcPr>
          <w:p>
            <w:pPr>
              <w:pStyle w:val="965"/>
              <w:jc w:val="center"/>
              <w:spacing w:before="40" w:after="40"/>
              <w:rPr>
                <w:rFonts w:eastAsia="Arial Unicode MS"/>
                <w:b/>
                <w:bCs/>
                <w:sz w:val="20"/>
                <w:szCs w:val="20"/>
              </w:rPr>
            </w:pPr>
            <w:r>
              <w:rPr>
                <w:b/>
                <w:bCs/>
                <w:sz w:val="20"/>
                <w:szCs w:val="20"/>
                <w:lang w:val="en-US"/>
              </w:rPr>
              <w:t xml:space="preserve">9</w:t>
            </w:r>
            <w:r>
              <w:rPr>
                <w:b/>
                <w:bCs/>
                <w:sz w:val="20"/>
                <w:szCs w:val="20"/>
              </w:rPr>
              <w:t xml:space="preserve">.8.4.</w:t>
            </w:r>
            <w:r>
              <w:rPr>
                <w:rFonts w:eastAsia="Arial Unicode MS"/>
                <w:b/>
                <w:bCs/>
                <w:sz w:val="20"/>
                <w:szCs w:val="20"/>
              </w:rPr>
            </w:r>
            <w:r>
              <w:rPr>
                <w:rFonts w:eastAsia="Arial Unicode MS"/>
                <w:b/>
                <w:bCs/>
                <w:sz w:val="20"/>
                <w:szCs w:val="20"/>
              </w:rPr>
            </w:r>
          </w:p>
        </w:tc>
        <w:tc>
          <w:tcPr>
            <w:tcBorders>
              <w:bottom w:val="single" w:color="000000" w:sz="4" w:space="0"/>
            </w:tcBorders>
            <w:tcW w:w="3664" w:type="dxa"/>
            <w:vAlign w:val="top"/>
            <w:textDirection w:val="lrTb"/>
            <w:noWrap w:val="false"/>
          </w:tcPr>
          <w:p>
            <w:pPr>
              <w:spacing w:before="40" w:after="40"/>
              <w:rPr>
                <w:b/>
                <w:bCs/>
                <w:sz w:val="20"/>
                <w:szCs w:val="20"/>
              </w:rPr>
            </w:pPr>
            <w:r>
              <w:rPr>
                <w:b/>
                <w:bCs/>
                <w:sz w:val="20"/>
                <w:szCs w:val="20"/>
              </w:rPr>
              <w:t xml:space="preserve">О</w:t>
            </w:r>
            <w:r>
              <w:rPr>
                <w:b/>
                <w:bCs/>
                <w:sz w:val="20"/>
                <w:szCs w:val="20"/>
              </w:rPr>
              <w:t xml:space="preserve">тветы на запросы клиентов, связанные с проведением операций, с выдачей исторических справок, подтверждений и пр.:</w:t>
            </w:r>
            <w:r>
              <w:rPr>
                <w:b/>
                <w:bCs/>
                <w:sz w:val="20"/>
                <w:szCs w:val="20"/>
              </w:rPr>
            </w:r>
            <w:r>
              <w:rPr>
                <w:b/>
                <w:bCs/>
                <w:sz w:val="20"/>
                <w:szCs w:val="20"/>
              </w:rPr>
            </w:r>
          </w:p>
        </w:tc>
        <w:tc>
          <w:tcPr>
            <w:gridSpan w:val="2"/>
            <w:tcBorders>
              <w:bottom w:val="single" w:color="000000" w:sz="4" w:space="0"/>
            </w:tcBorders>
            <w:tcW w:w="2795" w:type="dxa"/>
            <w:vAlign w:val="top"/>
            <w:textDirection w:val="lrTb"/>
            <w:noWrap w:val="false"/>
          </w:tcPr>
          <w:p>
            <w:pPr>
              <w:pStyle w:val="965"/>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single" w:color="000000" w:sz="4" w:space="0"/>
            </w:tcBorders>
            <w:tcW w:w="2753" w:type="dxa"/>
            <w:vAlign w:val="top"/>
            <w:textDirection w:val="lrTb"/>
            <w:noWrap w:val="false"/>
          </w:tcPr>
          <w:p>
            <w:pPr>
              <w:pStyle w:val="96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840" w:type="dxa"/>
            <w:vAlign w:val="top"/>
            <w:textDirection w:val="lrTb"/>
            <w:noWrap w:val="false"/>
          </w:tcPr>
          <w:p>
            <w:pPr>
              <w:pStyle w:val="96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tcBorders>
              <w:top w:val="single" w:color="000000" w:sz="4" w:space="0"/>
              <w:bottom w:val="single" w:color="000000" w:sz="4" w:space="0"/>
            </w:tcBorders>
            <w:tcW w:w="3664" w:type="dxa"/>
            <w:vAlign w:val="top"/>
            <w:textDirection w:val="lrTb"/>
            <w:noWrap w:val="false"/>
          </w:tcPr>
          <w:p>
            <w:pPr>
              <w:spacing w:before="40" w:after="40"/>
              <w:rPr>
                <w:sz w:val="20"/>
                <w:szCs w:val="20"/>
              </w:rPr>
            </w:pPr>
            <w:r>
              <w:rPr>
                <w:b/>
                <w:sz w:val="20"/>
                <w:szCs w:val="20"/>
              </w:rPr>
              <w:t xml:space="preserve">- за период до 1 года</w:t>
            </w:r>
            <w:r>
              <w:rPr>
                <w:sz w:val="20"/>
                <w:szCs w:val="20"/>
              </w:rPr>
            </w:r>
            <w:r>
              <w:rPr>
                <w:sz w:val="20"/>
                <w:szCs w:val="20"/>
              </w:rPr>
            </w:r>
          </w:p>
        </w:tc>
        <w:tc>
          <w:tcPr>
            <w:gridSpan w:val="2"/>
            <w:tcBorders>
              <w:top w:val="single" w:color="000000" w:sz="4" w:space="0"/>
              <w:bottom w:val="single" w:color="000000" w:sz="4" w:space="0"/>
            </w:tcBorders>
            <w:tcW w:w="2795" w:type="dxa"/>
            <w:vAlign w:val="top"/>
            <w:textDirection w:val="lrTb"/>
            <w:noWrap w:val="false"/>
          </w:tcPr>
          <w:p>
            <w:pPr>
              <w:pStyle w:val="965"/>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w:t>
            </w:r>
            <w:r>
              <w:rPr>
                <w:sz w:val="20"/>
                <w:szCs w:val="20"/>
              </w:rPr>
              <w:t xml:space="preserve">руб.</w:t>
            </w:r>
            <w:r>
              <w:rPr>
                <w:sz w:val="20"/>
                <w:szCs w:val="20"/>
              </w:rPr>
            </w:r>
            <w:r>
              <w:rPr>
                <w:sz w:val="20"/>
                <w:szCs w:val="20"/>
              </w:rPr>
            </w:r>
          </w:p>
        </w:tc>
        <w:tc>
          <w:tcPr>
            <w:tcBorders>
              <w:top w:val="single" w:color="000000" w:sz="4" w:space="0"/>
              <w:bottom w:val="single" w:color="000000" w:sz="4" w:space="0"/>
            </w:tcBorders>
            <w:tcW w:w="2753"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pStyle w:val="965"/>
              <w:ind w:left="-2" w:right="-18"/>
              <w:jc w:val="both"/>
              <w:spacing w:before="40" w:after="40"/>
              <w:tabs>
                <w:tab w:val="left" w:pos="4464" w:leader="none"/>
                <w:tab w:val="left" w:pos="5760" w:leader="none"/>
              </w:tabs>
              <w:rPr>
                <w:iCs/>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840" w:type="dxa"/>
            <w:vAlign w:val="top"/>
            <w:textDirection w:val="lrTb"/>
            <w:noWrap w:val="false"/>
          </w:tcPr>
          <w:p>
            <w:pPr>
              <w:pStyle w:val="96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tcBorders>
              <w:top w:val="single" w:color="000000" w:sz="4" w:space="0"/>
              <w:bottom w:val="single" w:color="000000" w:sz="4" w:space="0"/>
            </w:tcBorders>
            <w:tcW w:w="3664" w:type="dxa"/>
            <w:vAlign w:val="top"/>
            <w:textDirection w:val="lrTb"/>
            <w:noWrap w:val="false"/>
          </w:tcPr>
          <w:p>
            <w:pPr>
              <w:spacing w:before="40" w:after="40"/>
              <w:rPr>
                <w:sz w:val="20"/>
                <w:szCs w:val="20"/>
              </w:rPr>
            </w:pPr>
            <w:r>
              <w:rPr>
                <w:b/>
                <w:sz w:val="20"/>
                <w:szCs w:val="20"/>
              </w:rPr>
              <w:t xml:space="preserve">- за период от 1 года </w:t>
            </w:r>
            <w:r>
              <w:rPr>
                <w:b/>
                <w:sz w:val="20"/>
                <w:szCs w:val="20"/>
              </w:rPr>
              <w:t xml:space="preserve">(включительно)</w:t>
            </w:r>
            <w:r>
              <w:rPr>
                <w:b/>
                <w:sz w:val="20"/>
                <w:szCs w:val="20"/>
              </w:rPr>
              <w:t xml:space="preserve"> до 3-х лет (включительно)</w:t>
            </w:r>
            <w:r>
              <w:rPr>
                <w:sz w:val="20"/>
                <w:szCs w:val="20"/>
              </w:rPr>
            </w:r>
            <w:r>
              <w:rPr>
                <w:sz w:val="20"/>
                <w:szCs w:val="20"/>
              </w:rPr>
            </w:r>
          </w:p>
        </w:tc>
        <w:tc>
          <w:tcPr>
            <w:gridSpan w:val="2"/>
            <w:tcBorders>
              <w:top w:val="single" w:color="000000" w:sz="4" w:space="0"/>
              <w:bottom w:val="single" w:color="000000" w:sz="4" w:space="0"/>
            </w:tcBorders>
            <w:tcW w:w="2795" w:type="dxa"/>
            <w:vAlign w:val="top"/>
            <w:textDirection w:val="lrTb"/>
            <w:noWrap w:val="false"/>
          </w:tcPr>
          <w:p>
            <w:pPr>
              <w:pStyle w:val="965"/>
              <w:jc w:val="center"/>
              <w:spacing w:before="40" w:after="40"/>
              <w:rPr>
                <w:sz w:val="20"/>
                <w:szCs w:val="20"/>
              </w:rPr>
            </w:pPr>
            <w:r>
              <w:rPr>
                <w:sz w:val="20"/>
                <w:szCs w:val="20"/>
              </w:rPr>
              <w:t xml:space="preserve">3</w:t>
            </w:r>
            <w:r>
              <w:rPr>
                <w:sz w:val="20"/>
                <w:szCs w:val="20"/>
              </w:rPr>
              <w:t xml:space="preserve"> </w:t>
            </w:r>
            <w:r>
              <w:rPr>
                <w:sz w:val="20"/>
                <w:szCs w:val="20"/>
              </w:rPr>
              <w:t xml:space="preserve">000 </w:t>
            </w:r>
            <w:r>
              <w:rPr>
                <w:sz w:val="20"/>
                <w:szCs w:val="20"/>
              </w:rPr>
              <w:t xml:space="preserve">руб.</w:t>
            </w:r>
            <w:r>
              <w:rPr>
                <w:sz w:val="20"/>
                <w:szCs w:val="20"/>
              </w:rPr>
            </w:r>
            <w:r>
              <w:rPr>
                <w:sz w:val="20"/>
                <w:szCs w:val="20"/>
              </w:rPr>
            </w:r>
          </w:p>
        </w:tc>
        <w:tc>
          <w:tcPr>
            <w:tcBorders>
              <w:top w:val="single" w:color="000000" w:sz="4" w:space="0"/>
              <w:bottom w:val="single" w:color="000000" w:sz="4" w:space="0"/>
            </w:tcBorders>
            <w:tcW w:w="2753"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840" w:type="dxa"/>
            <w:vAlign w:val="top"/>
            <w:textDirection w:val="lrTb"/>
            <w:noWrap w:val="false"/>
          </w:tcPr>
          <w:p>
            <w:pPr>
              <w:pStyle w:val="96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tcBorders>
              <w:top w:val="single" w:color="000000" w:sz="4" w:space="0"/>
            </w:tcBorders>
            <w:tcW w:w="3664" w:type="dxa"/>
            <w:vAlign w:val="top"/>
            <w:textDirection w:val="lrTb"/>
            <w:noWrap w:val="false"/>
          </w:tcPr>
          <w:p>
            <w:pPr>
              <w:spacing w:before="40" w:after="40"/>
              <w:rPr>
                <w:sz w:val="20"/>
                <w:szCs w:val="20"/>
              </w:rPr>
            </w:pPr>
            <w:r>
              <w:rPr>
                <w:b/>
                <w:sz w:val="20"/>
                <w:szCs w:val="20"/>
              </w:rPr>
              <w:t xml:space="preserve">- за период более 3-х</w:t>
            </w:r>
            <w:r>
              <w:rPr>
                <w:b/>
                <w:sz w:val="20"/>
                <w:szCs w:val="20"/>
              </w:rPr>
              <w:t xml:space="preserve"> лет</w:t>
            </w:r>
            <w:r>
              <w:rPr>
                <w:sz w:val="20"/>
                <w:szCs w:val="20"/>
              </w:rPr>
            </w:r>
            <w:r>
              <w:rPr>
                <w:sz w:val="20"/>
                <w:szCs w:val="20"/>
              </w:rPr>
            </w:r>
          </w:p>
        </w:tc>
        <w:tc>
          <w:tcPr>
            <w:gridSpan w:val="2"/>
            <w:tcBorders>
              <w:top w:val="single" w:color="000000" w:sz="4" w:space="0"/>
            </w:tcBorders>
            <w:tcW w:w="2795" w:type="dxa"/>
            <w:vAlign w:val="top"/>
            <w:textDirection w:val="lrTb"/>
            <w:noWrap w:val="false"/>
          </w:tcPr>
          <w:p>
            <w:pPr>
              <w:pStyle w:val="965"/>
              <w:jc w:val="center"/>
              <w:spacing w:before="40" w:after="40"/>
              <w:rPr>
                <w:sz w:val="20"/>
                <w:szCs w:val="20"/>
              </w:rPr>
            </w:pPr>
            <w:r>
              <w:rPr>
                <w:sz w:val="20"/>
                <w:szCs w:val="20"/>
              </w:rPr>
              <w:t xml:space="preserve">5</w:t>
            </w:r>
            <w:r>
              <w:rPr>
                <w:sz w:val="20"/>
                <w:szCs w:val="20"/>
              </w:rPr>
              <w:t xml:space="preserve"> </w:t>
            </w:r>
            <w:r>
              <w:rPr>
                <w:sz w:val="20"/>
                <w:szCs w:val="20"/>
              </w:rPr>
              <w:t xml:space="preserve">00</w:t>
            </w:r>
            <w:r>
              <w:rPr>
                <w:sz w:val="20"/>
                <w:szCs w:val="20"/>
                <w:lang w:val="en-US"/>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tcBorders>
            <w:tcW w:w="2753"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spacing w:before="40" w:after="40"/>
              <w:rPr>
                <w:rFonts w:eastAsia="Arial Unicode MS"/>
                <w:b/>
                <w:bCs/>
                <w:sz w:val="20"/>
                <w:szCs w:val="20"/>
              </w:rPr>
            </w:pPr>
            <w:r>
              <w:rPr>
                <w:b/>
                <w:bCs/>
                <w:sz w:val="20"/>
                <w:szCs w:val="20"/>
                <w:lang w:val="en-US"/>
              </w:rPr>
              <w:t xml:space="preserve">9</w:t>
            </w:r>
            <w:r>
              <w:rPr>
                <w:b/>
                <w:bCs/>
                <w:sz w:val="20"/>
                <w:szCs w:val="20"/>
              </w:rPr>
              <w:t xml:space="preserve">.8.5.</w:t>
            </w:r>
            <w:r>
              <w:rPr>
                <w:rFonts w:eastAsia="Arial Unicode MS"/>
                <w:b/>
                <w:bCs/>
                <w:sz w:val="20"/>
                <w:szCs w:val="20"/>
              </w:rPr>
            </w:r>
            <w:r>
              <w:rPr>
                <w:rFonts w:eastAsia="Arial Unicode MS"/>
                <w:b/>
                <w:bCs/>
                <w:sz w:val="20"/>
                <w:szCs w:val="20"/>
              </w:rPr>
            </w:r>
          </w:p>
        </w:tc>
        <w:tc>
          <w:tcPr>
            <w:tcW w:w="3664" w:type="dxa"/>
            <w:vAlign w:val="top"/>
            <w:textDirection w:val="lrTb"/>
            <w:noWrap w:val="false"/>
          </w:tcPr>
          <w:p>
            <w:pPr>
              <w:pStyle w:val="965"/>
              <w:jc w:val="both"/>
              <w:spacing w:before="40" w:after="40"/>
              <w:rPr>
                <w:b/>
                <w:bCs/>
                <w:sz w:val="20"/>
                <w:szCs w:val="20"/>
              </w:rPr>
            </w:pPr>
            <w:r>
              <w:rPr>
                <w:b/>
                <w:bCs/>
                <w:sz w:val="20"/>
                <w:szCs w:val="20"/>
              </w:rPr>
              <w:t xml:space="preserve">Ответ на аудиторский запрос по счету депо Депонента</w:t>
            </w:r>
            <w:r>
              <w:rPr>
                <w:b/>
                <w:bCs/>
                <w:sz w:val="20"/>
                <w:szCs w:val="20"/>
              </w:rPr>
            </w:r>
            <w:r>
              <w:rPr>
                <w:b/>
                <w:bCs/>
                <w:sz w:val="20"/>
                <w:szCs w:val="20"/>
              </w:rPr>
            </w:r>
          </w:p>
        </w:tc>
        <w:tc>
          <w:tcPr>
            <w:gridSpan w:val="2"/>
            <w:tcW w:w="2795" w:type="dxa"/>
            <w:vAlign w:val="top"/>
            <w:textDirection w:val="lrTb"/>
            <w:noWrap w:val="false"/>
          </w:tcPr>
          <w:p>
            <w:pPr>
              <w:pStyle w:val="965"/>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w:t>
            </w:r>
            <w:r>
              <w:rPr>
                <w:sz w:val="20"/>
                <w:szCs w:val="20"/>
              </w:rPr>
              <w:t xml:space="preserve">руб.</w:t>
            </w:r>
            <w:r>
              <w:rPr>
                <w:sz w:val="20"/>
                <w:szCs w:val="20"/>
              </w:rPr>
            </w:r>
            <w:r>
              <w:rPr>
                <w:sz w:val="20"/>
                <w:szCs w:val="20"/>
              </w:rPr>
            </w:r>
          </w:p>
        </w:tc>
        <w:tc>
          <w:tcPr>
            <w:tcW w:w="2753" w:type="dxa"/>
            <w:vAlign w:val="top"/>
            <w:textDirection w:val="lrTb"/>
            <w:noWrap w:val="false"/>
          </w:tcPr>
          <w:p>
            <w:pPr>
              <w:pStyle w:val="96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0" w:type="dxa"/>
            <w:vAlign w:val="top"/>
            <w:textDirection w:val="lrTb"/>
            <w:noWrap w:val="false"/>
          </w:tcPr>
          <w:p>
            <w:pPr>
              <w:pStyle w:val="965"/>
              <w:jc w:val="center"/>
              <w:spacing w:before="40" w:after="40"/>
              <w:rPr>
                <w:b/>
                <w:bCs/>
                <w:sz w:val="20"/>
                <w:szCs w:val="20"/>
              </w:rPr>
            </w:pPr>
            <w:r>
              <w:rPr>
                <w:b/>
                <w:bCs/>
                <w:sz w:val="20"/>
                <w:szCs w:val="20"/>
              </w:rPr>
              <w:t xml:space="preserve">9.8.6.</w:t>
            </w:r>
            <w:r>
              <w:rPr>
                <w:b/>
                <w:bCs/>
                <w:sz w:val="20"/>
                <w:szCs w:val="20"/>
              </w:rPr>
            </w:r>
            <w:r>
              <w:rPr>
                <w:b/>
                <w:bCs/>
                <w:sz w:val="20"/>
                <w:szCs w:val="20"/>
              </w:rPr>
            </w:r>
          </w:p>
        </w:tc>
        <w:tc>
          <w:tcPr>
            <w:tcW w:w="3664" w:type="dxa"/>
            <w:vAlign w:val="top"/>
            <w:textDirection w:val="lrTb"/>
            <w:noWrap w:val="false"/>
          </w:tcPr>
          <w:p>
            <w:pPr>
              <w:pStyle w:val="805"/>
              <w:contextualSpacing w:val="0"/>
              <w:ind w:left="-6"/>
              <w:jc w:val="both"/>
              <w:spacing w:before="40" w:after="40"/>
              <w:tabs>
                <w:tab w:val="left" w:pos="1134" w:leader="none"/>
              </w:tabs>
              <w:rPr>
                <w:b/>
                <w:bCs/>
                <w:iCs/>
                <w:sz w:val="20"/>
                <w:szCs w:val="20"/>
              </w:rPr>
            </w:pPr>
            <w:r>
              <w:rPr>
                <w:b/>
                <w:bCs/>
                <w:iCs/>
                <w:sz w:val="20"/>
                <w:szCs w:val="20"/>
              </w:rPr>
              <w:t xml:space="preserve">Предоставление копий поручений,</w:t>
            </w:r>
            <w:r>
              <w:rPr>
                <w:b/>
                <w:bCs/>
                <w:iCs/>
                <w:sz w:val="20"/>
                <w:szCs w:val="20"/>
              </w:rPr>
            </w:r>
            <w:r>
              <w:rPr>
                <w:b/>
                <w:bCs/>
                <w:iCs/>
                <w:sz w:val="20"/>
                <w:szCs w:val="20"/>
              </w:rPr>
            </w:r>
          </w:p>
          <w:p>
            <w:pPr>
              <w:pStyle w:val="805"/>
              <w:ind w:left="-6"/>
              <w:jc w:val="both"/>
              <w:spacing w:before="40" w:after="40"/>
              <w:tabs>
                <w:tab w:val="left" w:pos="1134" w:leader="none"/>
              </w:tabs>
              <w:rPr>
                <w:b/>
                <w:bCs/>
                <w:iCs/>
                <w:sz w:val="20"/>
                <w:szCs w:val="20"/>
              </w:rPr>
            </w:pPr>
            <w:r>
              <w:rPr>
                <w:b/>
                <w:bCs/>
                <w:iCs/>
                <w:sz w:val="20"/>
                <w:szCs w:val="20"/>
              </w:rPr>
              <w:t xml:space="preserve">приложений, договоров и других документов (за исключением документов, указанных в п. 9.8.7 Тарифов) по запросу Депонента</w:t>
            </w:r>
            <w:r>
              <w:rPr>
                <w:b/>
                <w:bCs/>
                <w:iCs/>
                <w:sz w:val="20"/>
                <w:szCs w:val="20"/>
              </w:rPr>
            </w:r>
            <w:r>
              <w:rPr>
                <w:b/>
                <w:bCs/>
                <w:iCs/>
                <w:sz w:val="20"/>
                <w:szCs w:val="20"/>
              </w:rPr>
            </w:r>
          </w:p>
          <w:p>
            <w:pPr>
              <w:pStyle w:val="965"/>
              <w:jc w:val="both"/>
              <w:spacing w:before="40" w:after="40"/>
              <w:rPr>
                <w:b/>
                <w:bCs/>
                <w:sz w:val="20"/>
                <w:szCs w:val="20"/>
              </w:rPr>
            </w:pPr>
            <w:r>
              <w:rPr>
                <w:b/>
                <w:bCs/>
                <w:sz w:val="20"/>
                <w:szCs w:val="20"/>
              </w:rPr>
            </w:r>
            <w:r>
              <w:rPr>
                <w:b/>
                <w:bCs/>
                <w:sz w:val="20"/>
                <w:szCs w:val="20"/>
              </w:rPr>
            </w:r>
            <w:r>
              <w:rPr>
                <w:b/>
                <w:bCs/>
                <w:sz w:val="20"/>
                <w:szCs w:val="20"/>
              </w:rPr>
            </w:r>
          </w:p>
        </w:tc>
        <w:tc>
          <w:tcPr>
            <w:gridSpan w:val="2"/>
            <w:tcW w:w="2795" w:type="dxa"/>
            <w:vAlign w:val="top"/>
            <w:textDirection w:val="lrTb"/>
            <w:noWrap w:val="false"/>
          </w:tcPr>
          <w:p>
            <w:pPr>
              <w:pStyle w:val="965"/>
              <w:jc w:val="center"/>
              <w:spacing w:before="40" w:after="40"/>
              <w:rPr>
                <w:sz w:val="20"/>
                <w:szCs w:val="20"/>
              </w:rPr>
            </w:pPr>
            <w:r>
              <w:rPr>
                <w:sz w:val="20"/>
                <w:szCs w:val="20"/>
              </w:rPr>
            </w:r>
            <w:r>
              <w:rPr>
                <w:bCs/>
                <w:iCs/>
                <w:sz w:val="20"/>
                <w:szCs w:val="20"/>
              </w:rPr>
              <w:t xml:space="preserve">На бумажном носителе - </w:t>
            </w:r>
            <w:r>
              <w:rPr>
                <w:bCs/>
                <w:iCs/>
                <w:sz w:val="20"/>
                <w:szCs w:val="20"/>
              </w:rPr>
              <w:t xml:space="preserve">100 руб. за лист</w:t>
            </w:r>
            <w:r>
              <w:rPr>
                <w:sz w:val="20"/>
                <w:szCs w:val="20"/>
              </w:rPr>
            </w:r>
            <w:r>
              <w:rPr>
                <w:sz w:val="20"/>
                <w:szCs w:val="20"/>
              </w:rPr>
            </w:r>
          </w:p>
        </w:tc>
        <w:tc>
          <w:tcPr>
            <w:tcW w:w="2753" w:type="dxa"/>
            <w:vAlign w:val="top"/>
            <w:textDirection w:val="lrTb"/>
            <w:noWrap w:val="false"/>
          </w:tcPr>
          <w:p>
            <w:pPr>
              <w:pStyle w:val="96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rPr>
          <w:trHeight w:val="227"/>
        </w:trPr>
        <w:tc>
          <w:tcPr>
            <w:tcW w:w="840" w:type="dxa"/>
            <w:vAlign w:val="top"/>
            <w:vMerge w:val="restart"/>
            <w:textDirection w:val="lrTb"/>
            <w:noWrap w:val="false"/>
          </w:tcPr>
          <w:p>
            <w:pPr>
              <w:pStyle w:val="805"/>
              <w:contextualSpacing w:val="0"/>
              <w:ind w:left="164"/>
              <w:spacing w:before="40" w:after="40"/>
              <w:tabs>
                <w:tab w:val="left" w:pos="1134" w:leader="none"/>
              </w:tabs>
              <w:rPr>
                <w:b/>
                <w:bCs/>
                <w:iCs/>
                <w:sz w:val="20"/>
                <w:szCs w:val="20"/>
              </w:rPr>
            </w:pPr>
            <w:r>
              <w:rPr>
                <w:b/>
                <w:bCs/>
                <w:iCs/>
                <w:sz w:val="20"/>
                <w:szCs w:val="20"/>
                <w:lang w:val="en-US"/>
              </w:rPr>
              <w:t xml:space="preserve">9</w:t>
            </w:r>
            <w:r>
              <w:rPr>
                <w:b/>
                <w:bCs/>
                <w:iCs/>
                <w:sz w:val="20"/>
                <w:szCs w:val="20"/>
              </w:rPr>
              <w:t xml:space="preserve">.8.7.</w:t>
            </w:r>
            <w:r>
              <w:rPr>
                <w:b/>
                <w:bCs/>
                <w:iCs/>
                <w:sz w:val="20"/>
                <w:szCs w:val="20"/>
              </w:rPr>
            </w:r>
            <w:r>
              <w:rPr>
                <w:b/>
                <w:bCs/>
                <w:iCs/>
                <w:sz w:val="20"/>
                <w:szCs w:val="20"/>
              </w:rPr>
            </w:r>
          </w:p>
          <w:p>
            <w:pPr>
              <w:pStyle w:val="965"/>
              <w:jc w:val="center"/>
              <w:spacing w:before="40" w:after="40"/>
              <w:rPr>
                <w:b/>
                <w:bCs/>
                <w:sz w:val="20"/>
                <w:szCs w:val="20"/>
              </w:rPr>
            </w:pPr>
            <w:r>
              <w:rPr>
                <w:b/>
                <w:bCs/>
                <w:sz w:val="20"/>
                <w:szCs w:val="20"/>
              </w:rPr>
            </w:r>
            <w:r>
              <w:rPr>
                <w:b/>
                <w:bCs/>
                <w:sz w:val="20"/>
                <w:szCs w:val="20"/>
              </w:rPr>
            </w:r>
            <w:r>
              <w:rPr>
                <w:b/>
                <w:bCs/>
                <w:sz w:val="20"/>
                <w:szCs w:val="20"/>
              </w:rPr>
            </w:r>
          </w:p>
        </w:tc>
        <w:tc>
          <w:tcPr>
            <w:tcW w:w="3664" w:type="dxa"/>
            <w:vAlign w:val="top"/>
            <w:vMerge w:val="restart"/>
            <w:textDirection w:val="lrTb"/>
            <w:noWrap w:val="false"/>
          </w:tcPr>
          <w:p>
            <w:pPr>
              <w:pStyle w:val="805"/>
              <w:contextualSpacing w:val="0"/>
              <w:ind w:left="-6"/>
              <w:jc w:val="both"/>
              <w:spacing w:before="40" w:after="40"/>
              <w:tabs>
                <w:tab w:val="left" w:pos="0" w:leader="none"/>
              </w:tabs>
              <w:rPr>
                <w:b/>
                <w:bCs/>
                <w:iCs/>
                <w:sz w:val="20"/>
                <w:szCs w:val="20"/>
              </w:rPr>
            </w:pPr>
            <w:r>
              <w:rPr>
                <w:b/>
                <w:bCs/>
                <w:iCs/>
                <w:sz w:val="20"/>
                <w:szCs w:val="20"/>
              </w:rPr>
              <w:t xml:space="preserve">Предоставление отчетов и выписок со счета депо по запросу Депонента</w:t>
            </w:r>
            <w:r>
              <w:rPr>
                <w:b/>
                <w:bCs/>
                <w:iCs/>
                <w:sz w:val="20"/>
                <w:szCs w:val="20"/>
              </w:rPr>
              <w:t xml:space="preserve"> (за исключением документов, указанных в </w:t>
            </w:r>
            <w:r>
              <w:rPr>
                <w:b/>
                <w:bCs/>
                <w:iCs/>
                <w:sz w:val="20"/>
                <w:szCs w:val="20"/>
              </w:rPr>
              <w:t xml:space="preserve">п.</w:t>
            </w:r>
            <w:r>
              <w:rPr>
                <w:b/>
                <w:bCs/>
                <w:iCs/>
                <w:sz w:val="20"/>
                <w:szCs w:val="20"/>
              </w:rPr>
              <w:t xml:space="preserve">п</w:t>
            </w:r>
            <w:r>
              <w:rPr>
                <w:b/>
                <w:bCs/>
                <w:iCs/>
                <w:sz w:val="20"/>
                <w:szCs w:val="20"/>
              </w:rPr>
              <w:t xml:space="preserve">.</w:t>
            </w:r>
            <w:r>
              <w:rPr>
                <w:b/>
                <w:bCs/>
                <w:iCs/>
                <w:sz w:val="20"/>
                <w:szCs w:val="20"/>
              </w:rPr>
              <w:t xml:space="preserve"> 9.8.1</w:t>
            </w:r>
            <w:r>
              <w:rPr>
                <w:b/>
                <w:bCs/>
                <w:iCs/>
                <w:sz w:val="20"/>
                <w:szCs w:val="20"/>
              </w:rPr>
              <w:t xml:space="preserve">, 9.8.4</w:t>
            </w:r>
            <w:r>
              <w:rPr>
                <w:b/>
                <w:bCs/>
                <w:iCs/>
                <w:sz w:val="20"/>
                <w:szCs w:val="20"/>
              </w:rPr>
              <w:t xml:space="preserve"> Тарифов)</w:t>
            </w:r>
            <w:r>
              <w:rPr>
                <w:b/>
                <w:bCs/>
                <w:iCs/>
                <w:sz w:val="20"/>
                <w:szCs w:val="20"/>
              </w:rPr>
            </w:r>
            <w:r>
              <w:rPr>
                <w:b/>
                <w:bCs/>
                <w:iCs/>
                <w:sz w:val="20"/>
                <w:szCs w:val="20"/>
              </w:rPr>
            </w:r>
          </w:p>
          <w:p>
            <w:pPr>
              <w:pStyle w:val="805"/>
              <w:contextualSpacing w:val="0"/>
              <w:ind w:left="-6"/>
              <w:jc w:val="both"/>
              <w:spacing w:before="40" w:after="40"/>
              <w:tabs>
                <w:tab w:val="left" w:pos="1134" w:leader="none"/>
              </w:tabs>
              <w:rPr>
                <w:b/>
                <w:bCs/>
                <w:iCs/>
                <w:sz w:val="20"/>
                <w:szCs w:val="20"/>
              </w:rPr>
            </w:pPr>
            <w:r>
              <w:rPr>
                <w:b/>
                <w:bCs/>
                <w:iCs/>
                <w:sz w:val="20"/>
                <w:szCs w:val="20"/>
              </w:rPr>
            </w:r>
            <w:r>
              <w:rPr>
                <w:b/>
                <w:bCs/>
                <w:iCs/>
                <w:sz w:val="20"/>
                <w:szCs w:val="20"/>
              </w:rPr>
            </w:r>
            <w:r>
              <w:rPr>
                <w:b/>
                <w:bCs/>
                <w:iCs/>
                <w:sz w:val="20"/>
                <w:szCs w:val="20"/>
              </w:rPr>
            </w:r>
          </w:p>
        </w:tc>
        <w:tc>
          <w:tcPr>
            <w:gridSpan w:val="2"/>
            <w:tcW w:w="2795" w:type="dxa"/>
            <w:vAlign w:val="top"/>
            <w:vMerge w:val="restart"/>
            <w:textDirection w:val="lrTb"/>
            <w:noWrap w:val="false"/>
          </w:tcPr>
          <w:p>
            <w:pPr>
              <w:pStyle w:val="965"/>
              <w:jc w:val="center"/>
              <w:spacing w:before="40" w:after="40"/>
              <w:rPr>
                <w:sz w:val="20"/>
                <w:szCs w:val="20"/>
              </w:rPr>
            </w:pPr>
            <w:r>
              <w:rPr>
                <w:sz w:val="20"/>
                <w:szCs w:val="20"/>
              </w:rPr>
            </w: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sz w:val="20"/>
                <w:szCs w:val="20"/>
              </w:rPr>
            </w:r>
            <w:r>
              <w:rPr>
                <w:sz w:val="20"/>
                <w:szCs w:val="20"/>
              </w:rPr>
            </w:r>
          </w:p>
        </w:tc>
        <w:tc>
          <w:tcPr>
            <w:tcW w:w="2753" w:type="dxa"/>
            <w:vAlign w:val="top"/>
            <w:vMerge w:val="restart"/>
            <w:textDirection w:val="lrTb"/>
            <w:noWrap w:val="false"/>
          </w:tcPr>
          <w:p>
            <w:pPr>
              <w:pStyle w:val="96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965"/>
      </w:pPr>
      <w:r/>
      <w:r/>
    </w:p>
    <w:p>
      <w:pPr>
        <w:pStyle w:val="969"/>
      </w:pPr>
      <w:r/>
      <w:r/>
    </w:p>
    <w:p>
      <w:pPr>
        <w:pStyle w:val="969"/>
      </w:pPr>
      <w:r>
        <w:t xml:space="preserve">10. Услуги платежного агента (при обслуживании эмитентов облигаций)</w:t>
      </w:r>
      <w:r/>
    </w:p>
    <w:p>
      <w:pPr>
        <w:pStyle w:val="965"/>
      </w:pPr>
      <w:r/>
      <w:r/>
    </w:p>
    <w:tbl>
      <w:tblPr>
        <w:tblW w:w="1005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65"/>
              <w:jc w:val="center"/>
              <w:rPr>
                <w:b/>
                <w:sz w:val="20"/>
                <w:szCs w:val="20"/>
              </w:rPr>
            </w:pPr>
            <w:r>
              <w:rPr>
                <w:b/>
                <w:sz w:val="20"/>
                <w:szCs w:val="20"/>
              </w:rPr>
              <w:t xml:space="preserve">№ 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965"/>
              <w:jc w:val="center"/>
              <w:rPr>
                <w:b/>
                <w:sz w:val="20"/>
                <w:szCs w:val="20"/>
              </w:rPr>
            </w:pPr>
            <w:r>
              <w:rPr>
                <w:b/>
                <w:sz w:val="20"/>
                <w:szCs w:val="20"/>
              </w:rPr>
              <w:t xml:space="preserve">Наименование услуги</w:t>
            </w:r>
            <w:r>
              <w:rPr>
                <w:b/>
                <w:sz w:val="20"/>
                <w:szCs w:val="20"/>
              </w:rPr>
            </w:r>
            <w:r>
              <w:rPr>
                <w:b/>
                <w:sz w:val="20"/>
                <w:szCs w:val="20"/>
              </w:rPr>
            </w:r>
          </w:p>
        </w:tc>
        <w:tc>
          <w:tcPr>
            <w:tcBorders>
              <w:bottom w:val="single" w:color="000000" w:sz="4" w:space="0"/>
            </w:tcBorders>
            <w:tcW w:w="1985" w:type="dxa"/>
            <w:vAlign w:val="top"/>
            <w:textDirection w:val="lrTb"/>
            <w:noWrap w:val="false"/>
          </w:tcPr>
          <w:p>
            <w:pPr>
              <w:pStyle w:val="965"/>
              <w:jc w:val="center"/>
              <w:rPr>
                <w:b/>
                <w:sz w:val="20"/>
                <w:szCs w:val="20"/>
              </w:rPr>
            </w:pPr>
            <w:r>
              <w:rPr>
                <w:b/>
                <w:sz w:val="20"/>
                <w:szCs w:val="20"/>
              </w:rPr>
              <w:t xml:space="preserve">Тариф</w:t>
            </w:r>
            <w:r>
              <w:rPr>
                <w:b/>
                <w:sz w:val="20"/>
                <w:szCs w:val="20"/>
              </w:rPr>
            </w:r>
            <w:r>
              <w:rPr>
                <w:b/>
                <w:sz w:val="20"/>
                <w:szCs w:val="20"/>
              </w:rPr>
            </w:r>
          </w:p>
        </w:tc>
        <w:tc>
          <w:tcPr>
            <w:tcBorders>
              <w:bottom w:val="single" w:color="000000" w:sz="4" w:space="0"/>
            </w:tcBorders>
            <w:tcW w:w="3248" w:type="dxa"/>
            <w:vAlign w:val="top"/>
            <w:textDirection w:val="lrTb"/>
            <w:noWrap w:val="false"/>
          </w:tcPr>
          <w:p>
            <w:pPr>
              <w:pStyle w:val="96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65"/>
              <w:jc w:val="center"/>
              <w:rPr>
                <w:sz w:val="20"/>
                <w:szCs w:val="20"/>
              </w:rPr>
            </w:pPr>
            <w:r>
              <w:rPr>
                <w:sz w:val="20"/>
                <w:szCs w:val="20"/>
              </w:rPr>
              <w:t xml:space="preserve">10.1.</w:t>
            </w:r>
            <w:r>
              <w:rPr>
                <w:sz w:val="20"/>
                <w:szCs w:val="20"/>
              </w:rPr>
            </w:r>
            <w:r>
              <w:rPr>
                <w:sz w:val="20"/>
                <w:szCs w:val="20"/>
              </w:rPr>
            </w:r>
          </w:p>
        </w:tc>
        <w:tc>
          <w:tcPr>
            <w:tcBorders>
              <w:bottom w:val="none" w:color="000000" w:sz="4" w:space="0"/>
            </w:tcBorders>
            <w:tcW w:w="3969" w:type="dxa"/>
            <w:vAlign w:val="top"/>
            <w:textDirection w:val="lrTb"/>
            <w:noWrap w:val="false"/>
          </w:tcPr>
          <w:p>
            <w:pPr>
              <w:pStyle w:val="965"/>
              <w:rPr>
                <w:sz w:val="20"/>
                <w:szCs w:val="20"/>
              </w:rPr>
            </w:pPr>
            <w:r>
              <w:rPr>
                <w:sz w:val="20"/>
                <w:szCs w:val="20"/>
              </w:rPr>
              <w:t xml:space="preserve">Ставки вознаграждения по видам облигаций</w:t>
            </w:r>
            <w:r>
              <w:rPr>
                <w:sz w:val="20"/>
                <w:szCs w:val="20"/>
              </w:rPr>
            </w:r>
            <w:r>
              <w:rPr>
                <w:sz w:val="20"/>
                <w:szCs w:val="20"/>
              </w:rPr>
            </w:r>
          </w:p>
          <w:p>
            <w:pPr>
              <w:pStyle w:val="965"/>
              <w:rPr>
                <w:sz w:val="20"/>
                <w:szCs w:val="20"/>
              </w:rPr>
            </w:pPr>
            <w:r>
              <w:rPr>
                <w:sz w:val="20"/>
                <w:szCs w:val="20"/>
              </w:rPr>
              <w:t xml:space="preserve">(в процентах от суммы к распределению)</w:t>
            </w:r>
            <w:r>
              <w:rPr>
                <w:sz w:val="20"/>
                <w:szCs w:val="20"/>
              </w:rPr>
            </w:r>
            <w:r>
              <w:rPr>
                <w:sz w:val="20"/>
                <w:szCs w:val="20"/>
              </w:rPr>
            </w:r>
          </w:p>
        </w:tc>
        <w:tc>
          <w:tcPr>
            <w:tcBorders>
              <w:bottom w:val="none" w:color="000000" w:sz="4" w:space="0"/>
            </w:tcBorders>
            <w:tcW w:w="1985" w:type="dxa"/>
            <w:vAlign w:val="top"/>
            <w:textDirection w:val="lrTb"/>
            <w:noWrap w:val="false"/>
          </w:tcPr>
          <w:p>
            <w:pPr>
              <w:pStyle w:val="965"/>
              <w:jc w:val="center"/>
              <w:rPr>
                <w:rFonts w:eastAsia="Arial Unicode MS"/>
                <w:sz w:val="20"/>
                <w:szCs w:val="20"/>
              </w:rPr>
            </w:pPr>
            <w:r>
              <w:rPr>
                <w:sz w:val="20"/>
                <w:szCs w:val="20"/>
              </w:rPr>
              <w:t xml:space="preserve">Ставка вознаграждения (% от суммы к распределению)</w:t>
            </w:r>
            <w:r>
              <w:rPr>
                <w:rFonts w:eastAsia="Arial Unicode MS"/>
                <w:sz w:val="20"/>
                <w:szCs w:val="20"/>
              </w:rPr>
            </w:r>
            <w:r>
              <w:rPr>
                <w:rFonts w:eastAsia="Arial Unicode MS"/>
                <w:sz w:val="20"/>
                <w:szCs w:val="20"/>
              </w:rPr>
            </w:r>
          </w:p>
        </w:tc>
        <w:tc>
          <w:tcPr>
            <w:tcBorders>
              <w:bottom w:val="none" w:color="000000" w:sz="4" w:space="0"/>
            </w:tcBorders>
            <w:tcW w:w="3248" w:type="dxa"/>
            <w:vAlign w:val="top"/>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965"/>
              <w:rPr>
                <w:sz w:val="20"/>
                <w:szCs w:val="20"/>
              </w:rPr>
            </w:pPr>
            <w:r>
              <w:rPr>
                <w:sz w:val="20"/>
                <w:szCs w:val="20"/>
              </w:rPr>
              <w:t xml:space="preserve">Величина суммы к распределению</w:t>
            </w:r>
            <w:r>
              <w:rPr>
                <w:sz w:val="20"/>
                <w:szCs w:val="20"/>
                <w:vertAlign w:val="superscript"/>
              </w:rPr>
              <w:t xml:space="preserve">5</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c>
          <w:tcPr>
            <w:tcBorders>
              <w:top w:val="none" w:color="000000" w:sz="4" w:space="0"/>
            </w:tcBorders>
            <w:tcW w:w="3248" w:type="dxa"/>
            <w:vAlign w:val="top"/>
            <w:vMerge w:val="restart"/>
            <w:textDirection w:val="lrTb"/>
            <w:noWrap w:val="false"/>
          </w:tcPr>
          <w:p>
            <w:pPr>
              <w:pStyle w:val="965"/>
              <w:rPr>
                <w:sz w:val="20"/>
                <w:szCs w:val="20"/>
              </w:rPr>
            </w:pPr>
            <w:r>
              <w:rPr>
                <w:sz w:val="20"/>
                <w:szCs w:val="20"/>
              </w:rPr>
              <w:t xml:space="preserve">Вознаграждение Банка без учета НДС определяется по каждой выплате по выпуску облигаций.</w:t>
            </w:r>
            <w:r>
              <w:rPr>
                <w:sz w:val="20"/>
                <w:szCs w:val="20"/>
              </w:rPr>
            </w:r>
            <w:r>
              <w:rPr>
                <w:sz w:val="20"/>
                <w:szCs w:val="20"/>
              </w:rPr>
            </w:r>
          </w:p>
          <w:p>
            <w:pPr>
              <w:pStyle w:val="965"/>
              <w:rPr>
                <w:sz w:val="20"/>
                <w:szCs w:val="20"/>
              </w:rPr>
            </w:pPr>
            <w:r>
              <w:rPr>
                <w:sz w:val="20"/>
                <w:szCs w:val="20"/>
              </w:rPr>
              <w:t xml:space="preserve">Ставка вознаграждения Банка указана в процентах за одно перечисление, осуществляемое Банком по поручению эмитента по выпуску облигаций в соответствии с заключенным договором платежного агента. НДС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965"/>
              <w:rPr>
                <w:rFonts w:eastAsia="Arial Unicode MS"/>
                <w:sz w:val="20"/>
                <w:szCs w:val="20"/>
              </w:rPr>
            </w:pPr>
            <w:r>
              <w:rPr>
                <w:sz w:val="20"/>
                <w:szCs w:val="20"/>
              </w:rPr>
              <w:t xml:space="preserve">До 5 млн. руб.</w:t>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1985" w:type="dxa"/>
            <w:vAlign w:val="top"/>
            <w:textDirection w:val="lrTb"/>
            <w:noWrap w:val="false"/>
          </w:tcPr>
          <w:p>
            <w:pPr>
              <w:pStyle w:val="965"/>
              <w:jc w:val="center"/>
              <w:rPr>
                <w:sz w:val="20"/>
                <w:szCs w:val="20"/>
              </w:rPr>
            </w:pPr>
            <w:r>
              <w:rPr>
                <w:sz w:val="20"/>
                <w:szCs w:val="20"/>
              </w:rPr>
              <w:t xml:space="preserve">2000</w:t>
            </w:r>
            <w:r>
              <w:rPr>
                <w:sz w:val="20"/>
                <w:szCs w:val="20"/>
              </w:rPr>
            </w:r>
            <w:r>
              <w:rPr>
                <w:sz w:val="20"/>
                <w:szCs w:val="20"/>
              </w:rPr>
            </w:r>
          </w:p>
          <w:p>
            <w:pPr>
              <w:pStyle w:val="965"/>
              <w:jc w:val="center"/>
              <w:rPr>
                <w:rFonts w:eastAsia="Arial Unicode MS"/>
                <w:sz w:val="20"/>
                <w:szCs w:val="20"/>
              </w:rPr>
            </w:pPr>
            <w:r>
              <w:rPr>
                <w:sz w:val="20"/>
                <w:szCs w:val="20"/>
              </w:rPr>
              <w:t xml:space="preserve">(две тысячи) руб.</w:t>
            </w:r>
            <w:r>
              <w:rPr>
                <w:rFonts w:eastAsia="Arial Unicode MS"/>
                <w:sz w:val="20"/>
                <w:szCs w:val="20"/>
              </w:rPr>
            </w:r>
            <w:r>
              <w:rPr>
                <w:rFonts w:eastAsia="Arial Unicode MS"/>
                <w:sz w:val="20"/>
                <w:szCs w:val="20"/>
              </w:rPr>
            </w:r>
          </w:p>
        </w:tc>
        <w:tc>
          <w:tcPr>
            <w:tcW w:w="3248" w:type="dxa"/>
            <w:vAlign w:val="top"/>
            <w:vMerge w:val="continue"/>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965"/>
              <w:rPr>
                <w:rFonts w:eastAsia="Arial Unicode MS"/>
                <w:sz w:val="20"/>
                <w:szCs w:val="20"/>
              </w:rPr>
            </w:pPr>
            <w:r>
              <w:rPr>
                <w:sz w:val="20"/>
                <w:szCs w:val="20"/>
              </w:rPr>
              <w:t xml:space="preserve">Более 5 млн. до 50 млн. руб.</w:t>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1985" w:type="dxa"/>
            <w:vAlign w:val="top"/>
            <w:textDirection w:val="lrTb"/>
            <w:noWrap w:val="false"/>
          </w:tcPr>
          <w:p>
            <w:pPr>
              <w:pStyle w:val="965"/>
              <w:jc w:val="center"/>
              <w:rPr>
                <w:rFonts w:eastAsia="Arial Unicode MS"/>
                <w:sz w:val="20"/>
                <w:szCs w:val="20"/>
              </w:rPr>
            </w:pPr>
            <w:r>
              <w:rPr>
                <w:sz w:val="20"/>
                <w:szCs w:val="20"/>
              </w:rPr>
              <w:t xml:space="preserve">0,030%</w:t>
            </w:r>
            <w:r>
              <w:rPr>
                <w:rFonts w:eastAsia="Arial Unicode MS"/>
                <w:sz w:val="20"/>
                <w:szCs w:val="20"/>
              </w:rPr>
            </w:r>
            <w:r>
              <w:rPr>
                <w:rFonts w:eastAsia="Arial Unicode MS"/>
                <w:sz w:val="20"/>
                <w:szCs w:val="20"/>
              </w:rPr>
            </w:r>
          </w:p>
        </w:tc>
        <w:tc>
          <w:tcPr>
            <w:tcW w:w="3248" w:type="dxa"/>
            <w:vAlign w:val="top"/>
            <w:vMerge w:val="continue"/>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965"/>
              <w:rPr>
                <w:sz w:val="20"/>
                <w:szCs w:val="20"/>
              </w:rPr>
            </w:pPr>
            <w:r>
              <w:rPr>
                <w:sz w:val="20"/>
                <w:szCs w:val="20"/>
              </w:rPr>
              <w:t xml:space="preserve">Более 50 млн. до </w:t>
            </w:r>
            <w:r>
              <w:rPr>
                <w:sz w:val="20"/>
                <w:szCs w:val="20"/>
              </w:rPr>
            </w:r>
            <w:r>
              <w:rPr>
                <w:sz w:val="20"/>
                <w:szCs w:val="20"/>
              </w:rPr>
            </w:r>
          </w:p>
          <w:p>
            <w:pPr>
              <w:pStyle w:val="965"/>
              <w:rPr>
                <w:rFonts w:eastAsia="Arial Unicode MS"/>
                <w:sz w:val="20"/>
                <w:szCs w:val="20"/>
              </w:rPr>
            </w:pPr>
            <w:r>
              <w:rPr>
                <w:sz w:val="20"/>
                <w:szCs w:val="20"/>
              </w:rPr>
              <w:t xml:space="preserve">1 000 млн. руб.</w:t>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1985" w:type="dxa"/>
            <w:vAlign w:val="top"/>
            <w:textDirection w:val="lrTb"/>
            <w:noWrap w:val="false"/>
          </w:tcPr>
          <w:p>
            <w:pPr>
              <w:pStyle w:val="965"/>
              <w:jc w:val="center"/>
              <w:rPr>
                <w:rFonts w:eastAsia="Arial Unicode MS"/>
                <w:sz w:val="20"/>
                <w:szCs w:val="20"/>
              </w:rPr>
            </w:pPr>
            <w:r>
              <w:rPr>
                <w:sz w:val="20"/>
                <w:szCs w:val="20"/>
              </w:rPr>
              <w:t xml:space="preserve">0,025%</w:t>
            </w:r>
            <w:r>
              <w:rPr>
                <w:rFonts w:eastAsia="Arial Unicode MS"/>
                <w:sz w:val="20"/>
                <w:szCs w:val="20"/>
              </w:rPr>
            </w:r>
            <w:r>
              <w:rPr>
                <w:rFonts w:eastAsia="Arial Unicode MS"/>
                <w:sz w:val="20"/>
                <w:szCs w:val="20"/>
              </w:rPr>
            </w:r>
          </w:p>
        </w:tc>
        <w:tc>
          <w:tcPr>
            <w:tcW w:w="3248" w:type="dxa"/>
            <w:vAlign w:val="top"/>
            <w:vMerge w:val="continue"/>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965"/>
              <w:rPr>
                <w:sz w:val="20"/>
                <w:szCs w:val="20"/>
              </w:rPr>
            </w:pPr>
            <w:r>
              <w:rPr>
                <w:sz w:val="20"/>
                <w:szCs w:val="20"/>
              </w:rPr>
              <w:t xml:space="preserve">Более 1 000 млн. </w:t>
            </w:r>
            <w:r>
              <w:rPr>
                <w:sz w:val="20"/>
                <w:szCs w:val="20"/>
              </w:rPr>
            </w:r>
            <w:r>
              <w:rPr>
                <w:sz w:val="20"/>
                <w:szCs w:val="20"/>
              </w:rPr>
            </w:r>
          </w:p>
          <w:p>
            <w:pPr>
              <w:pStyle w:val="965"/>
              <w:rPr>
                <w:rFonts w:eastAsia="Arial Unicode MS"/>
                <w:sz w:val="20"/>
                <w:szCs w:val="20"/>
              </w:rPr>
            </w:pPr>
            <w:r>
              <w:rPr>
                <w:sz w:val="20"/>
                <w:szCs w:val="20"/>
              </w:rPr>
              <w:t xml:space="preserve">до 5 000 млн. руб.</w:t>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1985" w:type="dxa"/>
            <w:vAlign w:val="top"/>
            <w:textDirection w:val="lrTb"/>
            <w:noWrap w:val="false"/>
          </w:tcPr>
          <w:p>
            <w:pPr>
              <w:pStyle w:val="965"/>
              <w:jc w:val="center"/>
              <w:rPr>
                <w:rFonts w:eastAsia="Arial Unicode MS"/>
                <w:sz w:val="20"/>
                <w:szCs w:val="20"/>
              </w:rPr>
            </w:pPr>
            <w:r>
              <w:rPr>
                <w:sz w:val="20"/>
                <w:szCs w:val="20"/>
              </w:rPr>
              <w:t xml:space="preserve">0,020%</w:t>
            </w:r>
            <w:r>
              <w:rPr>
                <w:rFonts w:eastAsia="Arial Unicode MS"/>
                <w:sz w:val="20"/>
                <w:szCs w:val="20"/>
              </w:rPr>
            </w:r>
            <w:r>
              <w:rPr>
                <w:rFonts w:eastAsia="Arial Unicode MS"/>
                <w:sz w:val="20"/>
                <w:szCs w:val="20"/>
              </w:rPr>
            </w:r>
          </w:p>
        </w:tc>
        <w:tc>
          <w:tcPr>
            <w:tcW w:w="3248" w:type="dxa"/>
            <w:vAlign w:val="top"/>
            <w:vMerge w:val="continue"/>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965"/>
              <w:rPr>
                <w:sz w:val="20"/>
                <w:szCs w:val="20"/>
              </w:rPr>
            </w:pPr>
            <w:r>
              <w:rPr>
                <w:sz w:val="20"/>
                <w:szCs w:val="20"/>
              </w:rPr>
              <w:t xml:space="preserve">Более 5 000 млн.</w:t>
            </w:r>
            <w:r>
              <w:rPr>
                <w:sz w:val="20"/>
                <w:szCs w:val="20"/>
              </w:rPr>
            </w:r>
            <w:r>
              <w:rPr>
                <w:sz w:val="20"/>
                <w:szCs w:val="20"/>
              </w:rPr>
            </w:r>
          </w:p>
          <w:p>
            <w:pPr>
              <w:pStyle w:val="965"/>
              <w:rPr>
                <w:rFonts w:eastAsia="Arial Unicode MS"/>
                <w:sz w:val="20"/>
                <w:szCs w:val="20"/>
              </w:rPr>
            </w:pPr>
            <w:r>
              <w:rPr>
                <w:sz w:val="20"/>
                <w:szCs w:val="20"/>
              </w:rPr>
              <w:t xml:space="preserve">до 8 000 млн. руб.</w:t>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1985" w:type="dxa"/>
            <w:vAlign w:val="top"/>
            <w:textDirection w:val="lrTb"/>
            <w:noWrap w:val="false"/>
          </w:tcPr>
          <w:p>
            <w:pPr>
              <w:pStyle w:val="965"/>
              <w:jc w:val="center"/>
              <w:rPr>
                <w:rFonts w:eastAsia="Arial Unicode MS"/>
                <w:sz w:val="20"/>
                <w:szCs w:val="20"/>
              </w:rPr>
            </w:pPr>
            <w:r>
              <w:rPr>
                <w:sz w:val="20"/>
                <w:szCs w:val="20"/>
              </w:rPr>
              <w:t xml:space="preserve">0,016%</w:t>
            </w:r>
            <w:r>
              <w:rPr>
                <w:rFonts w:eastAsia="Arial Unicode MS"/>
                <w:sz w:val="20"/>
                <w:szCs w:val="20"/>
              </w:rPr>
            </w:r>
            <w:r>
              <w:rPr>
                <w:rFonts w:eastAsia="Arial Unicode MS"/>
                <w:sz w:val="20"/>
                <w:szCs w:val="20"/>
              </w:rPr>
            </w:r>
          </w:p>
        </w:tc>
        <w:tc>
          <w:tcPr>
            <w:tcW w:w="3248" w:type="dxa"/>
            <w:vAlign w:val="top"/>
            <w:vMerge w:val="continue"/>
            <w:textDirection w:val="lrTb"/>
            <w:noWrap w:val="false"/>
          </w:tcPr>
          <w:p>
            <w:pPr>
              <w:pStyle w:val="96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trPr>
        <w:tc>
          <w:tcPr>
            <w:tcBorders>
              <w:top w:val="none" w:color="000000" w:sz="4" w:space="0"/>
            </w:tcBorders>
            <w:tcW w:w="850" w:type="dxa"/>
            <w:vAlign w:val="top"/>
            <w:textDirection w:val="lrTb"/>
            <w:noWrap w:val="false"/>
          </w:tcPr>
          <w:p>
            <w:pPr>
              <w:pStyle w:val="965"/>
              <w:jc w:val="center"/>
              <w:rPr>
                <w:sz w:val="20"/>
                <w:szCs w:val="20"/>
              </w:rPr>
            </w:pPr>
            <w:r>
              <w:rPr>
                <w:sz w:val="20"/>
                <w:szCs w:val="20"/>
              </w:rPr>
            </w:r>
            <w:r>
              <w:rPr>
                <w:sz w:val="20"/>
                <w:szCs w:val="20"/>
              </w:rPr>
            </w:r>
            <w:r>
              <w:rPr>
                <w:sz w:val="20"/>
                <w:szCs w:val="20"/>
              </w:rPr>
            </w:r>
          </w:p>
        </w:tc>
        <w:tc>
          <w:tcPr>
            <w:tcBorders>
              <w:top w:val="none" w:color="000000" w:sz="4" w:space="0"/>
            </w:tcBorders>
            <w:tcW w:w="3969" w:type="dxa"/>
            <w:vAlign w:val="top"/>
            <w:textDirection w:val="lrTb"/>
            <w:noWrap w:val="false"/>
          </w:tcPr>
          <w:p>
            <w:pPr>
              <w:pStyle w:val="965"/>
              <w:rPr>
                <w:rFonts w:eastAsia="Arial Unicode MS"/>
                <w:sz w:val="20"/>
                <w:szCs w:val="20"/>
              </w:rPr>
            </w:pPr>
            <w:r>
              <w:rPr>
                <w:sz w:val="20"/>
                <w:szCs w:val="20"/>
              </w:rPr>
              <w:t xml:space="preserve">Более 8 000 млн. руб.</w:t>
            </w:r>
            <w:r>
              <w:rPr>
                <w:rFonts w:eastAsia="Arial Unicode MS"/>
                <w:sz w:val="20"/>
                <w:szCs w:val="20"/>
              </w:rPr>
            </w:r>
            <w:r>
              <w:rPr>
                <w:rFonts w:eastAsia="Arial Unicode MS"/>
                <w:sz w:val="20"/>
                <w:szCs w:val="20"/>
              </w:rPr>
            </w:r>
          </w:p>
        </w:tc>
        <w:tc>
          <w:tcPr>
            <w:tcBorders>
              <w:top w:val="none" w:color="000000" w:sz="4" w:space="0"/>
            </w:tcBorders>
            <w:tcW w:w="1985" w:type="dxa"/>
            <w:vAlign w:val="top"/>
            <w:textDirection w:val="lrTb"/>
            <w:noWrap w:val="false"/>
          </w:tcPr>
          <w:p>
            <w:pPr>
              <w:pStyle w:val="965"/>
              <w:jc w:val="center"/>
              <w:rPr>
                <w:sz w:val="20"/>
                <w:szCs w:val="20"/>
              </w:rPr>
            </w:pPr>
            <w:r>
              <w:rPr>
                <w:sz w:val="20"/>
                <w:szCs w:val="20"/>
              </w:rPr>
              <w:t xml:space="preserve">0,012%,</w:t>
            </w:r>
            <w:r>
              <w:rPr>
                <w:sz w:val="20"/>
                <w:szCs w:val="20"/>
              </w:rPr>
            </w:r>
            <w:r>
              <w:rPr>
                <w:sz w:val="20"/>
                <w:szCs w:val="20"/>
              </w:rPr>
            </w:r>
          </w:p>
          <w:p>
            <w:pPr>
              <w:pStyle w:val="965"/>
              <w:jc w:val="center"/>
              <w:rPr>
                <w:rFonts w:eastAsia="Arial Unicode MS"/>
                <w:sz w:val="20"/>
                <w:szCs w:val="20"/>
              </w:rPr>
            </w:pPr>
            <w:r>
              <w:rPr>
                <w:sz w:val="20"/>
                <w:szCs w:val="20"/>
              </w:rPr>
              <w:t xml:space="preserve">но не более 2 млн. руб.</w:t>
            </w:r>
            <w:r>
              <w:rPr>
                <w:rFonts w:eastAsia="Arial Unicode MS"/>
                <w:sz w:val="20"/>
                <w:szCs w:val="20"/>
              </w:rPr>
            </w:r>
            <w:r>
              <w:rPr>
                <w:rFonts w:eastAsia="Arial Unicode MS"/>
                <w:sz w:val="20"/>
                <w:szCs w:val="20"/>
              </w:rPr>
            </w:r>
          </w:p>
        </w:tc>
        <w:tc>
          <w:tcPr>
            <w:tcW w:w="3248" w:type="dxa"/>
            <w:vAlign w:val="top"/>
            <w:vMerge w:val="continue"/>
            <w:textDirection w:val="lrTb"/>
            <w:noWrap w:val="false"/>
          </w:tcPr>
          <w:p>
            <w:pPr>
              <w:pStyle w:val="965"/>
              <w:rPr>
                <w:sz w:val="20"/>
                <w:szCs w:val="20"/>
              </w:rPr>
            </w:pPr>
            <w:r>
              <w:rPr>
                <w:sz w:val="20"/>
                <w:szCs w:val="20"/>
              </w:rPr>
            </w:r>
            <w:r>
              <w:rPr>
                <w:sz w:val="20"/>
                <w:szCs w:val="20"/>
              </w:rPr>
            </w:r>
            <w:r>
              <w:rPr>
                <w:sz w:val="20"/>
                <w:szCs w:val="20"/>
              </w:rPr>
            </w:r>
          </w:p>
        </w:tc>
      </w:tr>
    </w:tbl>
    <w:p>
      <w:pPr>
        <w:pStyle w:val="965"/>
        <w:rPr>
          <w:i/>
          <w:sz w:val="16"/>
          <w:szCs w:val="16"/>
        </w:rPr>
      </w:pPr>
      <w:r>
        <w:rPr>
          <w:i/>
          <w:sz w:val="16"/>
          <w:szCs w:val="16"/>
        </w:rPr>
      </w:r>
      <w:r>
        <w:rPr>
          <w:i/>
          <w:sz w:val="16"/>
          <w:szCs w:val="16"/>
        </w:rPr>
      </w:r>
      <w:r>
        <w:rPr>
          <w:i/>
          <w:sz w:val="16"/>
          <w:szCs w:val="16"/>
        </w:rPr>
      </w:r>
    </w:p>
    <w:p>
      <w:pPr>
        <w:pStyle w:val="965"/>
        <w:rPr>
          <w:i/>
          <w:sz w:val="16"/>
          <w:szCs w:val="16"/>
        </w:rPr>
      </w:pPr>
      <w:r>
        <w:rPr>
          <w:i/>
          <w:sz w:val="16"/>
          <w:szCs w:val="16"/>
        </w:rPr>
      </w:r>
      <w:r>
        <w:rPr>
          <w:i/>
          <w:sz w:val="16"/>
          <w:szCs w:val="16"/>
        </w:rPr>
      </w:r>
      <w:r>
        <w:rPr>
          <w:i/>
          <w:sz w:val="16"/>
          <w:szCs w:val="16"/>
        </w:rPr>
      </w:r>
    </w:p>
    <w:p>
      <w:pPr>
        <w:pStyle w:val="965"/>
        <w:rPr>
          <w:i/>
          <w:sz w:val="16"/>
          <w:szCs w:val="16"/>
        </w:rPr>
      </w:pPr>
      <w:r>
        <w:rPr>
          <w:i/>
          <w:sz w:val="16"/>
          <w:szCs w:val="16"/>
        </w:rPr>
        <w:t xml:space="preserve">Справочно:</w:t>
      </w:r>
      <w:r>
        <w:rPr>
          <w:i/>
          <w:sz w:val="16"/>
          <w:szCs w:val="16"/>
        </w:rPr>
      </w:r>
      <w:r>
        <w:rPr>
          <w:i/>
          <w:sz w:val="16"/>
          <w:szCs w:val="16"/>
        </w:rPr>
      </w:r>
    </w:p>
    <w:p>
      <w:pPr>
        <w:pStyle w:val="965"/>
        <w:rPr>
          <w:i/>
          <w:sz w:val="16"/>
          <w:szCs w:val="16"/>
        </w:rPr>
      </w:pPr>
      <w:r>
        <w:rPr>
          <w:i/>
          <w:sz w:val="16"/>
          <w:szCs w:val="16"/>
        </w:rPr>
        <w:t xml:space="preserve">Облигации</w:t>
      </w:r>
      <w:r>
        <w:rPr>
          <w:i/>
          <w:sz w:val="16"/>
          <w:szCs w:val="16"/>
        </w:rPr>
        <w:t xml:space="preserve"> </w:t>
      </w:r>
      <w:r>
        <w:rPr>
          <w:i/>
          <w:sz w:val="16"/>
          <w:szCs w:val="16"/>
        </w:rPr>
        <w:t xml:space="preserve">-</w:t>
      </w:r>
      <w:r>
        <w:rPr>
          <w:i/>
          <w:sz w:val="16"/>
          <w:szCs w:val="16"/>
        </w:rPr>
        <w:t xml:space="preserve"> </w:t>
      </w:r>
      <w:r>
        <w:rPr>
          <w:i/>
          <w:sz w:val="16"/>
          <w:szCs w:val="16"/>
        </w:rPr>
        <w:t xml:space="preserve">облигации,</w:t>
      </w:r>
      <w:r>
        <w:rPr>
          <w:i/>
          <w:sz w:val="16"/>
          <w:szCs w:val="16"/>
        </w:rPr>
        <w:t xml:space="preserve"> </w:t>
      </w:r>
      <w:r>
        <w:rPr>
          <w:i/>
          <w:sz w:val="16"/>
          <w:szCs w:val="16"/>
        </w:rPr>
        <w:t xml:space="preserve">выпущенные</w:t>
      </w:r>
      <w:r>
        <w:rPr>
          <w:i/>
          <w:sz w:val="16"/>
          <w:szCs w:val="16"/>
        </w:rPr>
        <w:t xml:space="preserve"> </w:t>
      </w:r>
      <w:r>
        <w:rPr>
          <w:i/>
          <w:sz w:val="16"/>
          <w:szCs w:val="16"/>
        </w:rPr>
        <w:t xml:space="preserve">в</w:t>
      </w:r>
      <w:r>
        <w:rPr>
          <w:i/>
          <w:sz w:val="16"/>
          <w:szCs w:val="16"/>
        </w:rPr>
        <w:t xml:space="preserve"> </w:t>
      </w:r>
      <w:r>
        <w:rPr>
          <w:i/>
          <w:sz w:val="16"/>
          <w:szCs w:val="16"/>
        </w:rPr>
        <w:t xml:space="preserve">документарной</w:t>
      </w:r>
      <w:r>
        <w:rPr>
          <w:i/>
          <w:sz w:val="16"/>
          <w:szCs w:val="16"/>
        </w:rPr>
        <w:t xml:space="preserve"> </w:t>
      </w:r>
      <w:r>
        <w:rPr>
          <w:i/>
          <w:sz w:val="16"/>
          <w:szCs w:val="16"/>
        </w:rPr>
        <w:t xml:space="preserve">форме</w:t>
      </w:r>
      <w:r>
        <w:rPr>
          <w:i/>
          <w:sz w:val="16"/>
          <w:szCs w:val="16"/>
        </w:rPr>
        <w:t xml:space="preserve"> </w:t>
      </w:r>
      <w:r>
        <w:rPr>
          <w:i/>
          <w:sz w:val="16"/>
          <w:szCs w:val="16"/>
        </w:rPr>
        <w:t xml:space="preserve">с</w:t>
      </w:r>
      <w:r>
        <w:rPr>
          <w:i/>
          <w:sz w:val="16"/>
          <w:szCs w:val="16"/>
        </w:rPr>
        <w:t xml:space="preserve"> </w:t>
      </w:r>
      <w:r>
        <w:rPr>
          <w:i/>
          <w:sz w:val="16"/>
          <w:szCs w:val="16"/>
        </w:rPr>
        <w:t xml:space="preserve">обязательным</w:t>
      </w:r>
      <w:r>
        <w:rPr>
          <w:i/>
          <w:sz w:val="16"/>
          <w:szCs w:val="16"/>
        </w:rPr>
        <w:t xml:space="preserve"> </w:t>
      </w:r>
      <w:r>
        <w:rPr>
          <w:i/>
          <w:sz w:val="16"/>
          <w:szCs w:val="16"/>
        </w:rPr>
        <w:t xml:space="preserve">централизованным</w:t>
      </w:r>
      <w:r>
        <w:rPr>
          <w:i/>
          <w:sz w:val="16"/>
          <w:szCs w:val="16"/>
        </w:rPr>
        <w:t xml:space="preserve"> </w:t>
      </w:r>
      <w:r>
        <w:rPr>
          <w:i/>
          <w:sz w:val="16"/>
          <w:szCs w:val="16"/>
        </w:rPr>
        <w:t xml:space="preserve">хранением</w:t>
      </w:r>
      <w:r>
        <w:rPr>
          <w:i/>
          <w:sz w:val="16"/>
          <w:szCs w:val="16"/>
        </w:rPr>
        <w:t xml:space="preserve"> </w:t>
      </w:r>
      <w:r>
        <w:rPr>
          <w:i/>
          <w:sz w:val="16"/>
          <w:szCs w:val="16"/>
        </w:rPr>
        <w:t xml:space="preserve">в</w:t>
      </w:r>
      <w:r>
        <w:rPr>
          <w:i/>
          <w:sz w:val="16"/>
          <w:szCs w:val="16"/>
        </w:rPr>
        <w:t xml:space="preserve"> </w:t>
      </w:r>
      <w:r>
        <w:rPr>
          <w:i/>
          <w:sz w:val="16"/>
          <w:szCs w:val="16"/>
        </w:rPr>
        <w:t xml:space="preserve">уполномоченном</w:t>
      </w:r>
      <w:r>
        <w:rPr>
          <w:i/>
          <w:sz w:val="16"/>
          <w:szCs w:val="16"/>
        </w:rPr>
        <w:t xml:space="preserve"> </w:t>
      </w:r>
      <w:r>
        <w:rPr>
          <w:i/>
          <w:sz w:val="16"/>
          <w:szCs w:val="16"/>
        </w:rPr>
        <w:t xml:space="preserve">депозитарии</w:t>
      </w:r>
      <w:r>
        <w:rPr>
          <w:i/>
          <w:sz w:val="16"/>
          <w:szCs w:val="16"/>
        </w:rPr>
        <w:t xml:space="preserve"> </w:t>
      </w:r>
      <w:r>
        <w:rPr>
          <w:i/>
          <w:sz w:val="16"/>
          <w:szCs w:val="16"/>
        </w:rPr>
        <w:t xml:space="preserve">сертификата,</w:t>
      </w:r>
      <w:r>
        <w:rPr>
          <w:i/>
          <w:sz w:val="16"/>
          <w:szCs w:val="16"/>
        </w:rPr>
        <w:t xml:space="preserve"> </w:t>
      </w:r>
      <w:r>
        <w:rPr>
          <w:i/>
          <w:sz w:val="16"/>
          <w:szCs w:val="16"/>
        </w:rPr>
        <w:t xml:space="preserve">оформленного</w:t>
      </w:r>
      <w:r>
        <w:rPr>
          <w:i/>
          <w:sz w:val="16"/>
          <w:szCs w:val="16"/>
        </w:rPr>
        <w:t xml:space="preserve"> </w:t>
      </w:r>
      <w:r>
        <w:rPr>
          <w:i/>
          <w:sz w:val="16"/>
          <w:szCs w:val="16"/>
        </w:rPr>
        <w:t xml:space="preserve">на</w:t>
      </w:r>
      <w:r>
        <w:rPr>
          <w:i/>
          <w:sz w:val="16"/>
          <w:szCs w:val="16"/>
        </w:rPr>
        <w:t xml:space="preserve"> </w:t>
      </w:r>
      <w:r>
        <w:rPr>
          <w:i/>
          <w:sz w:val="16"/>
          <w:szCs w:val="16"/>
        </w:rPr>
        <w:t xml:space="preserve">весь</w:t>
      </w:r>
      <w:r>
        <w:rPr>
          <w:i/>
          <w:sz w:val="16"/>
          <w:szCs w:val="16"/>
        </w:rPr>
        <w:t xml:space="preserve"> </w:t>
      </w:r>
      <w:r>
        <w:rPr>
          <w:i/>
          <w:sz w:val="16"/>
          <w:szCs w:val="16"/>
        </w:rPr>
        <w:t xml:space="preserve">объем</w:t>
      </w:r>
      <w:r>
        <w:rPr>
          <w:i/>
          <w:sz w:val="16"/>
          <w:szCs w:val="16"/>
        </w:rPr>
        <w:t xml:space="preserve"> </w:t>
      </w:r>
      <w:r>
        <w:rPr>
          <w:i/>
          <w:sz w:val="16"/>
          <w:szCs w:val="16"/>
        </w:rPr>
        <w:t xml:space="preserve">выпуска.</w:t>
      </w:r>
      <w:r>
        <w:rPr>
          <w:i/>
          <w:sz w:val="16"/>
          <w:szCs w:val="16"/>
        </w:rPr>
      </w:r>
      <w:r>
        <w:rPr>
          <w:i/>
          <w:sz w:val="16"/>
          <w:szCs w:val="16"/>
        </w:rPr>
      </w:r>
    </w:p>
    <w:p>
      <w:pPr>
        <w:pStyle w:val="965"/>
        <w:rPr>
          <w:i/>
          <w:sz w:val="16"/>
          <w:szCs w:val="16"/>
        </w:rPr>
      </w:pPr>
      <w:r>
        <w:rPr>
          <w:i/>
          <w:sz w:val="16"/>
          <w:szCs w:val="16"/>
        </w:rPr>
        <w:t xml:space="preserve">1</w:t>
      </w:r>
      <w:r>
        <w:rPr>
          <w:i/>
          <w:sz w:val="16"/>
          <w:szCs w:val="16"/>
        </w:rPr>
        <w:t xml:space="preserve"> </w:t>
      </w:r>
      <w:r>
        <w:rPr>
          <w:i/>
          <w:sz w:val="16"/>
          <w:szCs w:val="16"/>
        </w:rPr>
        <w:t xml:space="preserve">Под</w:t>
      </w:r>
      <w:r>
        <w:rPr>
          <w:i/>
          <w:sz w:val="16"/>
          <w:szCs w:val="16"/>
        </w:rPr>
        <w:t xml:space="preserve"> </w:t>
      </w:r>
      <w:r>
        <w:rPr>
          <w:i/>
          <w:sz w:val="16"/>
          <w:szCs w:val="16"/>
        </w:rPr>
        <w:t xml:space="preserve">начисленным</w:t>
      </w:r>
      <w:r>
        <w:rPr>
          <w:i/>
          <w:sz w:val="16"/>
          <w:szCs w:val="16"/>
        </w:rPr>
        <w:t xml:space="preserve"> </w:t>
      </w:r>
      <w:r>
        <w:rPr>
          <w:i/>
          <w:sz w:val="16"/>
          <w:szCs w:val="16"/>
        </w:rPr>
        <w:t xml:space="preserve">периодом</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трехмесячный</w:t>
      </w:r>
      <w:r>
        <w:rPr>
          <w:i/>
          <w:sz w:val="16"/>
          <w:szCs w:val="16"/>
        </w:rPr>
        <w:t xml:space="preserve"> </w:t>
      </w:r>
      <w:r>
        <w:rPr>
          <w:i/>
          <w:sz w:val="16"/>
          <w:szCs w:val="16"/>
        </w:rPr>
        <w:t xml:space="preserve">период</w:t>
      </w:r>
      <w:r>
        <w:rPr>
          <w:i/>
          <w:sz w:val="16"/>
          <w:szCs w:val="16"/>
        </w:rPr>
        <w:t xml:space="preserve"> </w:t>
      </w:r>
      <w:r>
        <w:rPr>
          <w:i/>
          <w:sz w:val="16"/>
          <w:szCs w:val="16"/>
        </w:rPr>
        <w:t xml:space="preserve">или</w:t>
      </w:r>
      <w:r>
        <w:rPr>
          <w:i/>
          <w:sz w:val="16"/>
          <w:szCs w:val="16"/>
        </w:rPr>
        <w:t xml:space="preserve"> </w:t>
      </w:r>
      <w:r>
        <w:rPr>
          <w:i/>
          <w:sz w:val="16"/>
          <w:szCs w:val="16"/>
        </w:rPr>
        <w:t xml:space="preserve">его</w:t>
      </w:r>
      <w:r>
        <w:rPr>
          <w:i/>
          <w:sz w:val="16"/>
          <w:szCs w:val="16"/>
        </w:rPr>
        <w:t xml:space="preserve"> </w:t>
      </w:r>
      <w:r>
        <w:rPr>
          <w:i/>
          <w:sz w:val="16"/>
          <w:szCs w:val="16"/>
        </w:rPr>
        <w:t xml:space="preserve">часть,</w:t>
      </w:r>
      <w:r>
        <w:rPr>
          <w:i/>
          <w:sz w:val="16"/>
          <w:szCs w:val="16"/>
        </w:rPr>
        <w:t xml:space="preserve"> </w:t>
      </w:r>
      <w:r>
        <w:rPr>
          <w:i/>
          <w:sz w:val="16"/>
          <w:szCs w:val="16"/>
        </w:rPr>
        <w:t xml:space="preserve">за</w:t>
      </w:r>
      <w:r>
        <w:rPr>
          <w:i/>
          <w:sz w:val="16"/>
          <w:szCs w:val="16"/>
        </w:rPr>
        <w:t xml:space="preserve"> </w:t>
      </w:r>
      <w:r>
        <w:rPr>
          <w:i/>
          <w:sz w:val="16"/>
          <w:szCs w:val="16"/>
        </w:rPr>
        <w:t xml:space="preserve">который</w:t>
      </w:r>
      <w:r>
        <w:rPr>
          <w:i/>
          <w:sz w:val="16"/>
          <w:szCs w:val="16"/>
        </w:rPr>
        <w:t xml:space="preserve"> </w:t>
      </w:r>
      <w:r>
        <w:rPr>
          <w:i/>
          <w:sz w:val="16"/>
          <w:szCs w:val="16"/>
        </w:rPr>
        <w:t xml:space="preserve">клиентом</w:t>
      </w:r>
      <w:r>
        <w:rPr>
          <w:i/>
          <w:sz w:val="16"/>
          <w:szCs w:val="16"/>
        </w:rPr>
        <w:t xml:space="preserve"> </w:t>
      </w:r>
      <w:r>
        <w:rPr>
          <w:i/>
          <w:sz w:val="16"/>
          <w:szCs w:val="16"/>
        </w:rPr>
        <w:t xml:space="preserve">оплачена</w:t>
      </w:r>
      <w:r>
        <w:rPr>
          <w:i/>
          <w:sz w:val="16"/>
          <w:szCs w:val="16"/>
        </w:rPr>
        <w:t xml:space="preserve"> </w:t>
      </w:r>
      <w:r>
        <w:rPr>
          <w:i/>
          <w:sz w:val="16"/>
          <w:szCs w:val="16"/>
        </w:rPr>
        <w:t xml:space="preserve">соответствующая</w:t>
      </w:r>
      <w:r>
        <w:rPr>
          <w:i/>
          <w:sz w:val="16"/>
          <w:szCs w:val="16"/>
        </w:rPr>
        <w:t xml:space="preserve"> </w:t>
      </w:r>
      <w:r>
        <w:rPr>
          <w:i/>
          <w:sz w:val="16"/>
          <w:szCs w:val="16"/>
        </w:rPr>
        <w:t xml:space="preserve">комиссия</w:t>
      </w:r>
      <w:r>
        <w:rPr>
          <w:i/>
          <w:sz w:val="16"/>
          <w:szCs w:val="16"/>
        </w:rPr>
        <w:t xml:space="preserve"> </w:t>
      </w:r>
      <w:r>
        <w:rPr>
          <w:i/>
          <w:sz w:val="16"/>
          <w:szCs w:val="16"/>
        </w:rPr>
        <w:t xml:space="preserve">по</w:t>
      </w:r>
      <w:r>
        <w:rPr>
          <w:i/>
          <w:sz w:val="16"/>
          <w:szCs w:val="16"/>
        </w:rPr>
        <w:t xml:space="preserve"> </w:t>
      </w:r>
      <w:r>
        <w:rPr>
          <w:i/>
          <w:sz w:val="16"/>
          <w:szCs w:val="16"/>
        </w:rPr>
        <w:t xml:space="preserve">аккредитиву.</w:t>
      </w:r>
      <w:r>
        <w:rPr>
          <w:i/>
          <w:sz w:val="16"/>
          <w:szCs w:val="16"/>
        </w:rPr>
      </w:r>
      <w:r>
        <w:rPr>
          <w:i/>
          <w:sz w:val="16"/>
          <w:szCs w:val="16"/>
        </w:rPr>
      </w:r>
    </w:p>
    <w:p>
      <w:pPr>
        <w:pStyle w:val="965"/>
        <w:rPr>
          <w:i/>
          <w:sz w:val="16"/>
          <w:szCs w:val="16"/>
        </w:rPr>
      </w:pPr>
      <w:r>
        <w:rPr>
          <w:i/>
          <w:sz w:val="16"/>
          <w:szCs w:val="16"/>
        </w:rPr>
        <w:t xml:space="preserve">2</w:t>
      </w:r>
      <w:r>
        <w:rPr>
          <w:i/>
          <w:sz w:val="16"/>
          <w:szCs w:val="16"/>
        </w:rPr>
        <w:t xml:space="preserve"> </w:t>
      </w:r>
      <w:r>
        <w:rPr>
          <w:i/>
          <w:sz w:val="16"/>
          <w:szCs w:val="16"/>
        </w:rPr>
        <w:t xml:space="preserve">Расчет</w:t>
      </w:r>
      <w:r>
        <w:rPr>
          <w:i/>
          <w:sz w:val="16"/>
          <w:szCs w:val="16"/>
        </w:rPr>
        <w:t xml:space="preserve"> </w:t>
      </w:r>
      <w:r>
        <w:rPr>
          <w:i/>
          <w:sz w:val="16"/>
          <w:szCs w:val="16"/>
        </w:rPr>
        <w:t xml:space="preserve">производится</w:t>
      </w:r>
      <w:r>
        <w:rPr>
          <w:i/>
          <w:sz w:val="16"/>
          <w:szCs w:val="16"/>
        </w:rPr>
        <w:t xml:space="preserve"> </w:t>
      </w:r>
      <w:r>
        <w:rPr>
          <w:i/>
          <w:sz w:val="16"/>
          <w:szCs w:val="16"/>
        </w:rPr>
        <w:t xml:space="preserve">исходя</w:t>
      </w:r>
      <w:r>
        <w:rPr>
          <w:i/>
          <w:sz w:val="16"/>
          <w:szCs w:val="16"/>
        </w:rPr>
        <w:t xml:space="preserve"> </w:t>
      </w:r>
      <w:r>
        <w:rPr>
          <w:i/>
          <w:sz w:val="16"/>
          <w:szCs w:val="16"/>
        </w:rPr>
        <w:t xml:space="preserve">из</w:t>
      </w:r>
      <w:r>
        <w:rPr>
          <w:i/>
          <w:sz w:val="16"/>
          <w:szCs w:val="16"/>
        </w:rPr>
        <w:t xml:space="preserve"> </w:t>
      </w:r>
      <w:r>
        <w:rPr>
          <w:i/>
          <w:sz w:val="16"/>
          <w:szCs w:val="16"/>
        </w:rPr>
        <w:t xml:space="preserve">суммы</w:t>
      </w:r>
      <w:r>
        <w:rPr>
          <w:i/>
          <w:sz w:val="16"/>
          <w:szCs w:val="16"/>
        </w:rPr>
        <w:t xml:space="preserve"> </w:t>
      </w:r>
      <w:r>
        <w:rPr>
          <w:i/>
          <w:sz w:val="16"/>
          <w:szCs w:val="16"/>
        </w:rPr>
        <w:t xml:space="preserve">неиспользованного</w:t>
      </w:r>
      <w:r>
        <w:rPr>
          <w:i/>
          <w:sz w:val="16"/>
          <w:szCs w:val="16"/>
        </w:rPr>
        <w:t xml:space="preserve"> </w:t>
      </w:r>
      <w:r>
        <w:rPr>
          <w:i/>
          <w:sz w:val="16"/>
          <w:szCs w:val="16"/>
        </w:rPr>
        <w:t xml:space="preserve">остатка</w:t>
      </w:r>
      <w:r>
        <w:rPr>
          <w:i/>
          <w:sz w:val="16"/>
          <w:szCs w:val="16"/>
        </w:rPr>
        <w:t xml:space="preserve"> </w:t>
      </w:r>
      <w:r>
        <w:rPr>
          <w:i/>
          <w:sz w:val="16"/>
          <w:szCs w:val="16"/>
        </w:rPr>
        <w:t xml:space="preserve">средств</w:t>
      </w:r>
      <w:r>
        <w:rPr>
          <w:i/>
          <w:sz w:val="16"/>
          <w:szCs w:val="16"/>
        </w:rPr>
        <w:t xml:space="preserve"> </w:t>
      </w:r>
      <w:r>
        <w:rPr>
          <w:i/>
          <w:sz w:val="16"/>
          <w:szCs w:val="16"/>
        </w:rPr>
        <w:t xml:space="preserve">по</w:t>
      </w:r>
      <w:r>
        <w:rPr>
          <w:i/>
          <w:sz w:val="16"/>
          <w:szCs w:val="16"/>
        </w:rPr>
        <w:t xml:space="preserve"> </w:t>
      </w:r>
      <w:r>
        <w:rPr>
          <w:i/>
          <w:sz w:val="16"/>
          <w:szCs w:val="16"/>
        </w:rPr>
        <w:t xml:space="preserve">аккредитиву</w:t>
      </w:r>
      <w:r>
        <w:rPr>
          <w:i/>
          <w:sz w:val="16"/>
          <w:szCs w:val="16"/>
        </w:rPr>
        <w:t xml:space="preserve"> </w:t>
      </w:r>
      <w:r>
        <w:rPr>
          <w:i/>
          <w:sz w:val="16"/>
          <w:szCs w:val="16"/>
        </w:rPr>
        <w:t xml:space="preserve">по</w:t>
      </w:r>
      <w:r>
        <w:rPr>
          <w:i/>
          <w:sz w:val="16"/>
          <w:szCs w:val="16"/>
        </w:rPr>
        <w:t xml:space="preserve"> </w:t>
      </w:r>
      <w:r>
        <w:rPr>
          <w:i/>
          <w:sz w:val="16"/>
          <w:szCs w:val="16"/>
        </w:rPr>
        <w:t xml:space="preserve">состоянию</w:t>
      </w:r>
      <w:r>
        <w:rPr>
          <w:i/>
          <w:sz w:val="16"/>
          <w:szCs w:val="16"/>
        </w:rPr>
        <w:t xml:space="preserve"> </w:t>
      </w:r>
      <w:r>
        <w:rPr>
          <w:i/>
          <w:sz w:val="16"/>
          <w:szCs w:val="16"/>
        </w:rPr>
        <w:t xml:space="preserve">на</w:t>
      </w:r>
      <w:r>
        <w:rPr>
          <w:i/>
          <w:sz w:val="16"/>
          <w:szCs w:val="16"/>
        </w:rPr>
        <w:t xml:space="preserve"> </w:t>
      </w:r>
      <w:r>
        <w:rPr>
          <w:i/>
          <w:sz w:val="16"/>
          <w:szCs w:val="16"/>
        </w:rPr>
        <w:t xml:space="preserve">начало</w:t>
      </w:r>
      <w:r>
        <w:rPr>
          <w:i/>
          <w:sz w:val="16"/>
          <w:szCs w:val="16"/>
        </w:rPr>
        <w:t xml:space="preserve"> </w:t>
      </w:r>
      <w:r>
        <w:rPr>
          <w:i/>
          <w:sz w:val="16"/>
          <w:szCs w:val="16"/>
        </w:rPr>
        <w:t xml:space="preserve">первого</w:t>
      </w:r>
      <w:r>
        <w:rPr>
          <w:i/>
          <w:sz w:val="16"/>
          <w:szCs w:val="16"/>
        </w:rPr>
        <w:t xml:space="preserve"> </w:t>
      </w:r>
      <w:r>
        <w:rPr>
          <w:i/>
          <w:sz w:val="16"/>
          <w:szCs w:val="16"/>
        </w:rPr>
        <w:t xml:space="preserve">дня</w:t>
      </w:r>
      <w:r>
        <w:rPr>
          <w:i/>
          <w:sz w:val="16"/>
          <w:szCs w:val="16"/>
        </w:rPr>
        <w:t xml:space="preserve"> </w:t>
      </w:r>
      <w:r>
        <w:rPr>
          <w:i/>
          <w:sz w:val="16"/>
          <w:szCs w:val="16"/>
        </w:rPr>
        <w:t xml:space="preserve">квартала</w:t>
      </w:r>
      <w:r>
        <w:rPr>
          <w:i/>
          <w:sz w:val="16"/>
          <w:szCs w:val="16"/>
        </w:rPr>
        <w:t xml:space="preserve"> </w:t>
      </w:r>
      <w:r>
        <w:rPr>
          <w:i/>
          <w:sz w:val="16"/>
          <w:szCs w:val="16"/>
        </w:rPr>
        <w:t xml:space="preserve">или</w:t>
      </w:r>
      <w:r>
        <w:rPr>
          <w:i/>
          <w:sz w:val="16"/>
          <w:szCs w:val="16"/>
        </w:rPr>
        <w:t xml:space="preserve"> </w:t>
      </w:r>
      <w:r>
        <w:rPr>
          <w:i/>
          <w:sz w:val="16"/>
          <w:szCs w:val="16"/>
        </w:rPr>
        <w:t xml:space="preserve">исходя</w:t>
      </w:r>
      <w:r>
        <w:rPr>
          <w:i/>
          <w:sz w:val="16"/>
          <w:szCs w:val="16"/>
        </w:rPr>
        <w:t xml:space="preserve"> </w:t>
      </w:r>
      <w:r>
        <w:rPr>
          <w:i/>
          <w:sz w:val="16"/>
          <w:szCs w:val="16"/>
        </w:rPr>
        <w:t xml:space="preserve">из</w:t>
      </w:r>
      <w:r>
        <w:rPr>
          <w:i/>
          <w:sz w:val="16"/>
          <w:szCs w:val="16"/>
        </w:rPr>
        <w:t xml:space="preserve"> </w:t>
      </w:r>
      <w:r>
        <w:rPr>
          <w:i/>
          <w:sz w:val="16"/>
          <w:szCs w:val="16"/>
        </w:rPr>
        <w:t xml:space="preserve">суммы</w:t>
      </w:r>
      <w:r>
        <w:rPr>
          <w:i/>
          <w:sz w:val="16"/>
          <w:szCs w:val="16"/>
        </w:rPr>
        <w:t xml:space="preserve"> </w:t>
      </w:r>
      <w:r>
        <w:rPr>
          <w:i/>
          <w:sz w:val="16"/>
          <w:szCs w:val="16"/>
        </w:rPr>
        <w:t xml:space="preserve">тратты;</w:t>
      </w:r>
      <w:r>
        <w:rPr>
          <w:i/>
          <w:sz w:val="16"/>
          <w:szCs w:val="16"/>
        </w:rPr>
        <w:t xml:space="preserve"> </w:t>
      </w:r>
      <w:r>
        <w:rPr>
          <w:i/>
          <w:sz w:val="16"/>
          <w:szCs w:val="16"/>
        </w:rPr>
        <w:t xml:space="preserve">отсчет</w:t>
      </w:r>
      <w:r>
        <w:rPr>
          <w:i/>
          <w:sz w:val="16"/>
          <w:szCs w:val="16"/>
        </w:rPr>
        <w:t xml:space="preserve"> </w:t>
      </w:r>
      <w:r>
        <w:rPr>
          <w:i/>
          <w:sz w:val="16"/>
          <w:szCs w:val="16"/>
        </w:rPr>
        <w:t xml:space="preserve">кварталов</w:t>
      </w:r>
      <w:r>
        <w:rPr>
          <w:i/>
          <w:sz w:val="16"/>
          <w:szCs w:val="16"/>
        </w:rPr>
        <w:t xml:space="preserve"> </w:t>
      </w:r>
      <w:r>
        <w:rPr>
          <w:i/>
          <w:sz w:val="16"/>
          <w:szCs w:val="16"/>
        </w:rPr>
        <w:t xml:space="preserve">производится</w:t>
      </w:r>
      <w:r>
        <w:rPr>
          <w:i/>
          <w:sz w:val="16"/>
          <w:szCs w:val="16"/>
        </w:rPr>
        <w:t xml:space="preserve"> </w:t>
      </w:r>
      <w:r>
        <w:rPr>
          <w:i/>
          <w:sz w:val="16"/>
          <w:szCs w:val="16"/>
        </w:rPr>
        <w:t xml:space="preserve">с</w:t>
      </w:r>
      <w:r>
        <w:rPr>
          <w:i/>
          <w:sz w:val="16"/>
          <w:szCs w:val="16"/>
        </w:rPr>
        <w:t xml:space="preserve"> </w:t>
      </w:r>
      <w:r>
        <w:rPr>
          <w:i/>
          <w:sz w:val="16"/>
          <w:szCs w:val="16"/>
        </w:rPr>
        <w:t xml:space="preserve">даты</w:t>
      </w:r>
      <w:r>
        <w:rPr>
          <w:i/>
          <w:sz w:val="16"/>
          <w:szCs w:val="16"/>
        </w:rPr>
        <w:t xml:space="preserve"> </w:t>
      </w:r>
      <w:r>
        <w:rPr>
          <w:i/>
          <w:sz w:val="16"/>
          <w:szCs w:val="16"/>
        </w:rPr>
        <w:t xml:space="preserve">открытия</w:t>
      </w:r>
      <w:r>
        <w:rPr>
          <w:i/>
          <w:sz w:val="16"/>
          <w:szCs w:val="16"/>
        </w:rPr>
        <w:t xml:space="preserve"> </w:t>
      </w:r>
      <w:r>
        <w:rPr>
          <w:i/>
          <w:sz w:val="16"/>
          <w:szCs w:val="16"/>
        </w:rPr>
        <w:t xml:space="preserve">аккредитива.</w:t>
      </w:r>
      <w:r>
        <w:rPr>
          <w:i/>
          <w:sz w:val="16"/>
          <w:szCs w:val="16"/>
        </w:rPr>
      </w:r>
      <w:r>
        <w:rPr>
          <w:i/>
          <w:sz w:val="16"/>
          <w:szCs w:val="16"/>
        </w:rPr>
      </w:r>
    </w:p>
    <w:p>
      <w:pPr>
        <w:pStyle w:val="965"/>
        <w:rPr>
          <w:i/>
          <w:sz w:val="16"/>
          <w:szCs w:val="16"/>
        </w:rPr>
      </w:pPr>
      <w:r>
        <w:rPr>
          <w:i/>
          <w:sz w:val="16"/>
          <w:szCs w:val="16"/>
        </w:rPr>
        <w:t xml:space="preserve">3</w:t>
      </w:r>
      <w:r>
        <w:rPr>
          <w:i/>
          <w:sz w:val="16"/>
          <w:szCs w:val="16"/>
        </w:rPr>
        <w:t xml:space="preserve"> </w:t>
      </w:r>
      <w:r>
        <w:rPr>
          <w:i/>
          <w:sz w:val="16"/>
          <w:szCs w:val="16"/>
        </w:rPr>
        <w:t xml:space="preserve">Расчет производится исходя из действующей суммы обязательства по состоянию на первый день квартала; отсчет кварталов производится с даты выдачи обязательства включительно.</w:t>
      </w:r>
      <w:r>
        <w:rPr>
          <w:i/>
          <w:sz w:val="16"/>
          <w:szCs w:val="16"/>
        </w:rPr>
      </w:r>
      <w:r>
        <w:rPr>
          <w:i/>
          <w:sz w:val="16"/>
          <w:szCs w:val="16"/>
        </w:rPr>
      </w:r>
    </w:p>
    <w:p>
      <w:pPr>
        <w:pStyle w:val="965"/>
        <w:rPr>
          <w:i/>
          <w:sz w:val="16"/>
          <w:szCs w:val="16"/>
        </w:rPr>
      </w:pPr>
      <w:r>
        <w:rPr>
          <w:i/>
          <w:sz w:val="16"/>
          <w:szCs w:val="16"/>
        </w:rPr>
        <w:t xml:space="preserve">4</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965"/>
        <w:rPr>
          <w:i/>
          <w:sz w:val="16"/>
          <w:szCs w:val="16"/>
        </w:rPr>
      </w:pPr>
      <w:r>
        <w:rPr>
          <w:i/>
          <w:sz w:val="16"/>
          <w:szCs w:val="16"/>
        </w:rPr>
        <w:t xml:space="preserve">5</w:t>
      </w:r>
      <w:r>
        <w:rPr>
          <w:i/>
          <w:sz w:val="16"/>
          <w:szCs w:val="16"/>
        </w:rPr>
        <w:t xml:space="preserve"> </w:t>
      </w:r>
      <w:r>
        <w:rPr>
          <w:i/>
          <w:sz w:val="16"/>
          <w:szCs w:val="16"/>
        </w:rPr>
        <w:t xml:space="preserve">Сумма</w:t>
      </w:r>
      <w:r>
        <w:rPr>
          <w:i/>
          <w:sz w:val="16"/>
          <w:szCs w:val="16"/>
        </w:rPr>
        <w:t xml:space="preserve"> </w:t>
      </w:r>
      <w:r>
        <w:rPr>
          <w:i/>
          <w:sz w:val="16"/>
          <w:szCs w:val="16"/>
        </w:rPr>
        <w:t xml:space="preserve">к</w:t>
      </w:r>
      <w:r>
        <w:rPr>
          <w:i/>
          <w:sz w:val="16"/>
          <w:szCs w:val="16"/>
        </w:rPr>
        <w:t xml:space="preserve"> </w:t>
      </w:r>
      <w:r>
        <w:rPr>
          <w:i/>
          <w:sz w:val="16"/>
          <w:szCs w:val="16"/>
        </w:rPr>
        <w:t xml:space="preserve">распределению</w:t>
      </w:r>
      <w:r>
        <w:rPr>
          <w:i/>
          <w:sz w:val="16"/>
          <w:szCs w:val="16"/>
        </w:rPr>
        <w:t xml:space="preserve"> </w:t>
      </w:r>
      <w:r>
        <w:rPr>
          <w:i/>
          <w:sz w:val="16"/>
          <w:szCs w:val="16"/>
        </w:rPr>
        <w:t xml:space="preserve">-</w:t>
      </w:r>
      <w:r>
        <w:rPr>
          <w:i/>
          <w:sz w:val="16"/>
          <w:szCs w:val="16"/>
        </w:rPr>
        <w:t xml:space="preserve"> </w:t>
      </w:r>
      <w:r>
        <w:rPr>
          <w:i/>
          <w:sz w:val="16"/>
          <w:szCs w:val="16"/>
        </w:rPr>
        <w:t xml:space="preserve">сумма</w:t>
      </w:r>
      <w:r>
        <w:rPr>
          <w:i/>
          <w:sz w:val="16"/>
          <w:szCs w:val="16"/>
        </w:rPr>
        <w:t xml:space="preserve"> </w:t>
      </w:r>
      <w:r>
        <w:rPr>
          <w:i/>
          <w:sz w:val="16"/>
          <w:szCs w:val="16"/>
        </w:rPr>
        <w:t xml:space="preserve">денежных</w:t>
      </w:r>
      <w:r>
        <w:rPr>
          <w:i/>
          <w:sz w:val="16"/>
          <w:szCs w:val="16"/>
        </w:rPr>
        <w:t xml:space="preserve"> </w:t>
      </w:r>
      <w:r>
        <w:rPr>
          <w:i/>
          <w:sz w:val="16"/>
          <w:szCs w:val="16"/>
        </w:rPr>
        <w:t xml:space="preserve">средств,</w:t>
      </w:r>
      <w:r>
        <w:rPr>
          <w:i/>
          <w:sz w:val="16"/>
          <w:szCs w:val="16"/>
        </w:rPr>
        <w:t xml:space="preserve"> </w:t>
      </w:r>
      <w:r>
        <w:rPr>
          <w:i/>
          <w:sz w:val="16"/>
          <w:szCs w:val="16"/>
        </w:rPr>
        <w:t xml:space="preserve">поступивших</w:t>
      </w:r>
      <w:r>
        <w:rPr>
          <w:i/>
          <w:sz w:val="16"/>
          <w:szCs w:val="16"/>
        </w:rPr>
        <w:t xml:space="preserve"> </w:t>
      </w:r>
      <w:r>
        <w:rPr>
          <w:i/>
          <w:sz w:val="16"/>
          <w:szCs w:val="16"/>
        </w:rPr>
        <w:t xml:space="preserve">от</w:t>
      </w:r>
      <w:r>
        <w:rPr>
          <w:i/>
          <w:sz w:val="16"/>
          <w:szCs w:val="16"/>
        </w:rPr>
        <w:t xml:space="preserve"> </w:t>
      </w:r>
      <w:r>
        <w:rPr>
          <w:i/>
          <w:sz w:val="16"/>
          <w:szCs w:val="16"/>
        </w:rPr>
        <w:t xml:space="preserve">эмитента</w:t>
      </w:r>
      <w:r>
        <w:rPr>
          <w:i/>
          <w:sz w:val="16"/>
          <w:szCs w:val="16"/>
        </w:rPr>
        <w:t xml:space="preserve"> </w:t>
      </w:r>
      <w:r>
        <w:rPr>
          <w:i/>
          <w:sz w:val="16"/>
          <w:szCs w:val="16"/>
        </w:rPr>
        <w:t xml:space="preserve">облигаций</w:t>
      </w:r>
      <w:r>
        <w:rPr>
          <w:i/>
          <w:sz w:val="16"/>
          <w:szCs w:val="16"/>
        </w:rPr>
        <w:t xml:space="preserve"> </w:t>
      </w:r>
      <w:r>
        <w:rPr>
          <w:i/>
          <w:sz w:val="16"/>
          <w:szCs w:val="16"/>
        </w:rPr>
        <w:t xml:space="preserve">для</w:t>
      </w:r>
      <w:r>
        <w:rPr>
          <w:i/>
          <w:sz w:val="16"/>
          <w:szCs w:val="16"/>
        </w:rPr>
        <w:t xml:space="preserve"> </w:t>
      </w:r>
      <w:r>
        <w:rPr>
          <w:i/>
          <w:sz w:val="16"/>
          <w:szCs w:val="16"/>
        </w:rPr>
        <w:t xml:space="preserve">перечисления</w:t>
      </w:r>
      <w:r>
        <w:rPr>
          <w:i/>
          <w:sz w:val="16"/>
          <w:szCs w:val="16"/>
        </w:rPr>
        <w:t xml:space="preserve"> </w:t>
      </w:r>
      <w:r>
        <w:rPr>
          <w:i/>
          <w:sz w:val="16"/>
          <w:szCs w:val="16"/>
        </w:rPr>
        <w:t xml:space="preserve">депонентам</w:t>
      </w:r>
      <w:r>
        <w:rPr>
          <w:i/>
          <w:sz w:val="16"/>
          <w:szCs w:val="16"/>
        </w:rPr>
        <w:t xml:space="preserve"> </w:t>
      </w:r>
      <w:r>
        <w:rPr>
          <w:i/>
          <w:sz w:val="16"/>
          <w:szCs w:val="16"/>
        </w:rPr>
        <w:t xml:space="preserve">уполномоченного</w:t>
      </w:r>
      <w:r>
        <w:rPr>
          <w:i/>
          <w:sz w:val="16"/>
          <w:szCs w:val="16"/>
        </w:rPr>
        <w:t xml:space="preserve"> </w:t>
      </w:r>
      <w:r>
        <w:rPr>
          <w:i/>
          <w:sz w:val="16"/>
          <w:szCs w:val="16"/>
        </w:rPr>
        <w:t xml:space="preserve">депозитария.</w:t>
      </w:r>
      <w:r>
        <w:rPr>
          <w:i/>
          <w:sz w:val="16"/>
          <w:szCs w:val="16"/>
        </w:rPr>
      </w:r>
      <w:r>
        <w:rPr>
          <w:i/>
          <w:sz w:val="16"/>
          <w:szCs w:val="16"/>
        </w:rPr>
      </w:r>
    </w:p>
    <w:p>
      <w:pPr>
        <w:pStyle w:val="965"/>
      </w:pPr>
      <w:r/>
      <w:r/>
    </w:p>
    <w:p>
      <w:pPr>
        <w:pStyle w:val="969"/>
        <w:spacing w:after="120"/>
      </w:pPr>
      <w:r>
        <w:t xml:space="preserve">11. Операции с монетами из драгоценных металлов</w:t>
      </w:r>
      <w:r/>
    </w:p>
    <w:tbl>
      <w:tblPr>
        <w:tblW w:w="1005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65"/>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965"/>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965"/>
              <w:jc w:val="center"/>
              <w:rPr>
                <w:b/>
                <w:sz w:val="20"/>
                <w:szCs w:val="20"/>
              </w:rPr>
            </w:pPr>
            <w:r>
              <w:rPr>
                <w:b/>
                <w:sz w:val="20"/>
                <w:szCs w:val="20"/>
              </w:rPr>
              <w:t xml:space="preserve">Тариф</w:t>
            </w:r>
            <w:r>
              <w:rPr>
                <w:b/>
                <w:sz w:val="20"/>
                <w:szCs w:val="20"/>
              </w:rPr>
            </w:r>
            <w:r>
              <w:rPr>
                <w:b/>
                <w:sz w:val="20"/>
                <w:szCs w:val="20"/>
              </w:rPr>
            </w:r>
          </w:p>
        </w:tc>
        <w:tc>
          <w:tcPr>
            <w:tcW w:w="3248" w:type="dxa"/>
            <w:vAlign w:val="top"/>
            <w:textDirection w:val="lrTb"/>
            <w:noWrap w:val="false"/>
          </w:tcPr>
          <w:p>
            <w:pPr>
              <w:pStyle w:val="96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65"/>
              <w:jc w:val="center"/>
              <w:rPr>
                <w:sz w:val="20"/>
                <w:szCs w:val="20"/>
              </w:rPr>
            </w:pPr>
            <w:r>
              <w:rPr>
                <w:sz w:val="20"/>
                <w:szCs w:val="20"/>
              </w:rPr>
              <w:t xml:space="preserve">11.1.</w:t>
            </w:r>
            <w:r>
              <w:rPr>
                <w:sz w:val="20"/>
                <w:szCs w:val="20"/>
              </w:rPr>
            </w:r>
            <w:r>
              <w:rPr>
                <w:sz w:val="20"/>
                <w:szCs w:val="20"/>
              </w:rPr>
            </w:r>
          </w:p>
        </w:tc>
        <w:tc>
          <w:tcPr>
            <w:tcBorders>
              <w:bottom w:val="single" w:color="000000" w:sz="4" w:space="0"/>
            </w:tcBorders>
            <w:tcW w:w="3969" w:type="dxa"/>
            <w:vAlign w:val="top"/>
            <w:textDirection w:val="lrTb"/>
            <w:noWrap w:val="false"/>
          </w:tcPr>
          <w:p>
            <w:pPr>
              <w:pStyle w:val="965"/>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965"/>
              <w:rPr>
                <w:sz w:val="20"/>
                <w:szCs w:val="20"/>
              </w:rPr>
            </w:pPr>
            <w:r>
              <w:rPr>
                <w:sz w:val="20"/>
                <w:szCs w:val="20"/>
              </w:rPr>
              <w:t xml:space="preserve">Характеристика и количество монет:</w:t>
            </w:r>
            <w:r>
              <w:rPr>
                <w:sz w:val="20"/>
                <w:szCs w:val="20"/>
              </w:rPr>
            </w:r>
            <w:r>
              <w:rPr>
                <w:sz w:val="20"/>
                <w:szCs w:val="20"/>
              </w:rPr>
            </w:r>
          </w:p>
          <w:p>
            <w:pPr>
              <w:pStyle w:val="965"/>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965"/>
              <w:rPr>
                <w:sz w:val="20"/>
                <w:szCs w:val="20"/>
              </w:rPr>
            </w:pPr>
            <w:r>
              <w:rPr>
                <w:sz w:val="20"/>
                <w:szCs w:val="20"/>
              </w:rPr>
              <w:t xml:space="preserve">от 300 до 499 шт.</w:t>
            </w:r>
            <w:r>
              <w:rPr>
                <w:sz w:val="20"/>
                <w:szCs w:val="20"/>
              </w:rPr>
            </w:r>
            <w:r>
              <w:rPr>
                <w:sz w:val="20"/>
                <w:szCs w:val="20"/>
              </w:rPr>
            </w:r>
          </w:p>
          <w:p>
            <w:pPr>
              <w:pStyle w:val="965"/>
              <w:rPr>
                <w:sz w:val="20"/>
                <w:szCs w:val="20"/>
              </w:rPr>
            </w:pPr>
            <w:r>
              <w:rPr>
                <w:sz w:val="20"/>
                <w:szCs w:val="20"/>
              </w:rPr>
              <w:t xml:space="preserve">от 500 до 999 шт.</w:t>
            </w:r>
            <w:r>
              <w:rPr>
                <w:sz w:val="20"/>
                <w:szCs w:val="20"/>
              </w:rPr>
            </w:r>
            <w:r>
              <w:rPr>
                <w:sz w:val="20"/>
                <w:szCs w:val="20"/>
              </w:rPr>
            </w:r>
          </w:p>
          <w:p>
            <w:pPr>
              <w:pStyle w:val="965"/>
              <w:rPr>
                <w:sz w:val="20"/>
                <w:szCs w:val="20"/>
              </w:rPr>
            </w:pPr>
            <w:r>
              <w:rPr>
                <w:sz w:val="20"/>
                <w:szCs w:val="20"/>
              </w:rPr>
              <w:t xml:space="preserve">от 1000 до 1499 шт.</w:t>
            </w:r>
            <w:r>
              <w:rPr>
                <w:sz w:val="20"/>
                <w:szCs w:val="20"/>
              </w:rPr>
            </w:r>
            <w:r>
              <w:rPr>
                <w:sz w:val="20"/>
                <w:szCs w:val="20"/>
              </w:rPr>
            </w:r>
          </w:p>
          <w:p>
            <w:pPr>
              <w:pStyle w:val="965"/>
              <w:rPr>
                <w:sz w:val="20"/>
                <w:szCs w:val="20"/>
                <w:lang w:val="en-US"/>
              </w:rPr>
            </w:pPr>
            <w:r>
              <w:rPr>
                <w:sz w:val="20"/>
                <w:szCs w:val="20"/>
              </w:rPr>
              <w:t xml:space="preserve">от 1500 и более шт.</w:t>
            </w:r>
            <w:r>
              <w:rPr>
                <w:sz w:val="20"/>
                <w:szCs w:val="20"/>
                <w:lang w:val="en-US"/>
              </w:rPr>
            </w:r>
            <w:r>
              <w:rPr>
                <w:sz w:val="20"/>
                <w:szCs w:val="20"/>
                <w:lang w:val="en-US"/>
              </w:rPr>
            </w:r>
          </w:p>
          <w:p>
            <w:pPr>
              <w:pStyle w:val="965"/>
              <w:rPr>
                <w:sz w:val="20"/>
                <w:szCs w:val="20"/>
                <w:lang w:val="en-US"/>
              </w:rPr>
            </w:pPr>
            <w:r>
              <w:rPr>
                <w:sz w:val="20"/>
                <w:szCs w:val="20"/>
                <w:lang w:val="en-US"/>
              </w:rPr>
            </w:r>
            <w:r>
              <w:rPr>
                <w:sz w:val="20"/>
                <w:szCs w:val="20"/>
                <w:lang w:val="en-US"/>
              </w:rPr>
            </w:r>
            <w:r>
              <w:rPr>
                <w:sz w:val="20"/>
                <w:szCs w:val="20"/>
                <w:lang w:val="en-US"/>
              </w:rPr>
            </w:r>
          </w:p>
          <w:p>
            <w:pPr>
              <w:pStyle w:val="965"/>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965"/>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965"/>
              <w:jc w:val="center"/>
              <w:rPr>
                <w:sz w:val="20"/>
                <w:szCs w:val="20"/>
              </w:rPr>
            </w:pPr>
            <w:r>
              <w:rPr>
                <w:sz w:val="20"/>
                <w:szCs w:val="20"/>
              </w:rPr>
            </w:r>
            <w:r>
              <w:rPr>
                <w:sz w:val="20"/>
                <w:szCs w:val="20"/>
              </w:rPr>
            </w:r>
            <w:r>
              <w:rPr>
                <w:sz w:val="20"/>
                <w:szCs w:val="20"/>
              </w:rPr>
            </w:r>
          </w:p>
          <w:p>
            <w:pPr>
              <w:pStyle w:val="965"/>
              <w:jc w:val="center"/>
              <w:rPr>
                <w:sz w:val="20"/>
                <w:szCs w:val="20"/>
              </w:rPr>
            </w:pPr>
            <w:r>
              <w:rPr>
                <w:sz w:val="20"/>
                <w:szCs w:val="20"/>
              </w:rPr>
            </w:r>
            <w:r>
              <w:rPr>
                <w:sz w:val="20"/>
                <w:szCs w:val="20"/>
              </w:rPr>
            </w:r>
            <w:r>
              <w:rPr>
                <w:sz w:val="20"/>
                <w:szCs w:val="20"/>
              </w:rPr>
            </w:r>
          </w:p>
          <w:p>
            <w:pPr>
              <w:pStyle w:val="965"/>
              <w:jc w:val="center"/>
              <w:rPr>
                <w:sz w:val="20"/>
                <w:szCs w:val="20"/>
              </w:rPr>
            </w:pPr>
            <w:r>
              <w:rPr>
                <w:sz w:val="20"/>
                <w:szCs w:val="20"/>
              </w:rPr>
            </w:r>
            <w:r>
              <w:rPr>
                <w:sz w:val="20"/>
                <w:szCs w:val="20"/>
              </w:rPr>
            </w:r>
            <w:r>
              <w:rPr>
                <w:sz w:val="20"/>
                <w:szCs w:val="20"/>
              </w:rPr>
            </w:r>
          </w:p>
          <w:p>
            <w:pPr>
              <w:pStyle w:val="965"/>
              <w:jc w:val="center"/>
              <w:rPr>
                <w:sz w:val="20"/>
                <w:szCs w:val="20"/>
              </w:rPr>
            </w:pPr>
            <w:r>
              <w:rPr>
                <w:sz w:val="20"/>
                <w:szCs w:val="20"/>
              </w:rPr>
            </w:r>
            <w:r>
              <w:rPr>
                <w:sz w:val="20"/>
                <w:szCs w:val="20"/>
              </w:rPr>
            </w:r>
            <w:r>
              <w:rPr>
                <w:sz w:val="20"/>
                <w:szCs w:val="20"/>
              </w:rPr>
            </w:r>
          </w:p>
          <w:p>
            <w:pPr>
              <w:pStyle w:val="965"/>
              <w:jc w:val="center"/>
              <w:rPr>
                <w:sz w:val="20"/>
                <w:szCs w:val="20"/>
              </w:rPr>
            </w:pPr>
            <w:r>
              <w:rPr>
                <w:sz w:val="20"/>
                <w:szCs w:val="20"/>
              </w:rPr>
            </w:r>
            <w:r>
              <w:rPr>
                <w:sz w:val="20"/>
                <w:szCs w:val="20"/>
              </w:rPr>
            </w:r>
            <w:r>
              <w:rPr>
                <w:sz w:val="20"/>
                <w:szCs w:val="20"/>
              </w:rPr>
            </w:r>
          </w:p>
          <w:p>
            <w:pPr>
              <w:pStyle w:val="965"/>
              <w:jc w:val="center"/>
              <w:rPr>
                <w:sz w:val="20"/>
                <w:szCs w:val="20"/>
              </w:rPr>
            </w:pPr>
            <w:r>
              <w:rPr>
                <w:sz w:val="20"/>
                <w:szCs w:val="20"/>
              </w:rPr>
            </w:r>
            <w:r>
              <w:rPr>
                <w:sz w:val="20"/>
                <w:szCs w:val="20"/>
              </w:rPr>
            </w:r>
            <w:r>
              <w:rPr>
                <w:sz w:val="20"/>
                <w:szCs w:val="20"/>
              </w:rPr>
            </w:r>
          </w:p>
          <w:p>
            <w:pPr>
              <w:pStyle w:val="965"/>
              <w:jc w:val="center"/>
              <w:rPr>
                <w:sz w:val="20"/>
                <w:szCs w:val="20"/>
              </w:rPr>
            </w:pPr>
            <w:r>
              <w:rPr>
                <w:sz w:val="20"/>
                <w:szCs w:val="20"/>
              </w:rPr>
            </w:r>
            <w:r>
              <w:rPr>
                <w:sz w:val="20"/>
                <w:szCs w:val="20"/>
              </w:rPr>
            </w:r>
            <w:r>
              <w:rPr>
                <w:sz w:val="20"/>
                <w:szCs w:val="20"/>
              </w:rPr>
            </w:r>
          </w:p>
          <w:p>
            <w:pPr>
              <w:pStyle w:val="965"/>
              <w:jc w:val="center"/>
              <w:rPr>
                <w:sz w:val="20"/>
                <w:szCs w:val="20"/>
              </w:rPr>
            </w:pPr>
            <w:r>
              <w:rPr>
                <w:sz w:val="20"/>
                <w:szCs w:val="20"/>
              </w:rPr>
              <w:t xml:space="preserve">300 руб./шт.</w:t>
            </w:r>
            <w:r>
              <w:rPr>
                <w:sz w:val="20"/>
                <w:szCs w:val="20"/>
              </w:rPr>
            </w:r>
            <w:r>
              <w:rPr>
                <w:sz w:val="20"/>
                <w:szCs w:val="20"/>
              </w:rPr>
            </w:r>
          </w:p>
          <w:p>
            <w:pPr>
              <w:pStyle w:val="965"/>
              <w:jc w:val="center"/>
              <w:rPr>
                <w:sz w:val="20"/>
                <w:szCs w:val="20"/>
              </w:rPr>
            </w:pPr>
            <w:r>
              <w:rPr>
                <w:sz w:val="20"/>
                <w:szCs w:val="20"/>
              </w:rPr>
              <w:t xml:space="preserve">280 руб./шт.</w:t>
            </w:r>
            <w:r>
              <w:rPr>
                <w:sz w:val="20"/>
                <w:szCs w:val="20"/>
              </w:rPr>
            </w:r>
            <w:r>
              <w:rPr>
                <w:sz w:val="20"/>
                <w:szCs w:val="20"/>
              </w:rPr>
            </w:r>
          </w:p>
          <w:p>
            <w:pPr>
              <w:pStyle w:val="965"/>
              <w:jc w:val="center"/>
              <w:rPr>
                <w:sz w:val="20"/>
                <w:szCs w:val="20"/>
              </w:rPr>
            </w:pPr>
            <w:r>
              <w:rPr>
                <w:sz w:val="20"/>
                <w:szCs w:val="20"/>
              </w:rPr>
              <w:t xml:space="preserve">260 руб./шт.</w:t>
            </w:r>
            <w:r>
              <w:rPr>
                <w:sz w:val="20"/>
                <w:szCs w:val="20"/>
              </w:rPr>
            </w:r>
            <w:r>
              <w:rPr>
                <w:sz w:val="20"/>
                <w:szCs w:val="20"/>
              </w:rPr>
            </w:r>
          </w:p>
          <w:p>
            <w:pPr>
              <w:pStyle w:val="965"/>
              <w:jc w:val="center"/>
              <w:rPr>
                <w:sz w:val="20"/>
                <w:szCs w:val="20"/>
              </w:rPr>
            </w:pPr>
            <w:r>
              <w:rPr>
                <w:sz w:val="20"/>
                <w:szCs w:val="20"/>
              </w:rPr>
              <w:t xml:space="preserve">240 руб./шт.</w:t>
            </w:r>
            <w:r>
              <w:rPr>
                <w:sz w:val="20"/>
                <w:szCs w:val="20"/>
              </w:rPr>
            </w:r>
            <w:r>
              <w:rPr>
                <w:sz w:val="20"/>
                <w:szCs w:val="20"/>
              </w:rPr>
            </w:r>
          </w:p>
          <w:p>
            <w:pPr>
              <w:pStyle w:val="965"/>
              <w:jc w:val="center"/>
              <w:rPr>
                <w:sz w:val="20"/>
                <w:szCs w:val="20"/>
              </w:rPr>
            </w:pPr>
            <w:r>
              <w:rPr>
                <w:sz w:val="20"/>
                <w:szCs w:val="20"/>
              </w:rPr>
            </w:r>
            <w:r>
              <w:rPr>
                <w:sz w:val="20"/>
                <w:szCs w:val="20"/>
              </w:rPr>
            </w:r>
            <w:r>
              <w:rPr>
                <w:sz w:val="20"/>
                <w:szCs w:val="20"/>
              </w:rPr>
            </w:r>
          </w:p>
          <w:p>
            <w:pPr>
              <w:pStyle w:val="965"/>
              <w:jc w:val="center"/>
              <w:rPr>
                <w:sz w:val="20"/>
                <w:szCs w:val="20"/>
              </w:rPr>
            </w:pPr>
            <w:r>
              <w:rPr>
                <w:sz w:val="20"/>
                <w:szCs w:val="20"/>
              </w:rPr>
              <w:t xml:space="preserve">150 руб./шт.</w:t>
            </w:r>
            <w:r>
              <w:rPr>
                <w:sz w:val="20"/>
                <w:szCs w:val="20"/>
              </w:rPr>
            </w:r>
            <w:r>
              <w:rPr>
                <w:sz w:val="20"/>
                <w:szCs w:val="20"/>
              </w:rPr>
            </w:r>
          </w:p>
        </w:tc>
        <w:tc>
          <w:tcPr>
            <w:tcBorders>
              <w:bottom w:val="single" w:color="000000" w:sz="4" w:space="0"/>
            </w:tcBorders>
            <w:tcW w:w="3248" w:type="dxa"/>
            <w:vAlign w:val="top"/>
            <w:textDirection w:val="lrTb"/>
            <w:noWrap w:val="false"/>
          </w:tcPr>
          <w:p>
            <w:pPr>
              <w:pStyle w:val="965"/>
              <w:rPr>
                <w:sz w:val="20"/>
                <w:szCs w:val="20"/>
              </w:rPr>
            </w:pPr>
            <w:r>
              <w:rPr>
                <w:sz w:val="20"/>
                <w:szCs w:val="20"/>
              </w:rPr>
              <w:t xml:space="preserve">Комиссия включает НДС</w:t>
            </w:r>
            <w:r>
              <w:rPr>
                <w:sz w:val="20"/>
                <w:szCs w:val="20"/>
              </w:rPr>
            </w:r>
            <w:r>
              <w:rPr>
                <w:sz w:val="20"/>
                <w:szCs w:val="20"/>
              </w:rPr>
            </w:r>
          </w:p>
        </w:tc>
      </w:tr>
    </w:tbl>
    <w:p>
      <w:pPr>
        <w:pStyle w:val="965"/>
      </w:pPr>
      <w:r/>
      <w:r/>
    </w:p>
    <w:p>
      <w:pPr>
        <w:pStyle w:val="969"/>
        <w:spacing w:after="120"/>
      </w:pPr>
      <w:r>
        <w:t xml:space="preserve">12. Услуги перевозки денежной наличности, других ценностей </w:t>
        <w:br w:type="textWrapping" w:clear="all"/>
        <w:t xml:space="preserve">и обслуживания банкоматов, информационно-платежных терминалов</w:t>
      </w:r>
      <w:r/>
    </w:p>
    <w:tbl>
      <w:tblPr>
        <w:tblW w:w="10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01"/>
        <w:gridCol w:w="3685"/>
        <w:gridCol w:w="2268"/>
        <w:gridCol w:w="2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
        </w:trPr>
        <w:tc>
          <w:tcPr>
            <w:tcW w:w="1101" w:type="dxa"/>
            <w:vAlign w:val="center"/>
            <w:textDirection w:val="lrTb"/>
            <w:noWrap w:val="false"/>
          </w:tcPr>
          <w:p>
            <w:pPr>
              <w:pStyle w:val="965"/>
              <w:jc w:val="center"/>
              <w:tabs>
                <w:tab w:val="center" w:pos="1260" w:leader="none"/>
                <w:tab w:val="right" w:pos="9355" w:leader="none"/>
              </w:tabs>
              <w:rPr>
                <w:sz w:val="20"/>
                <w:szCs w:val="20"/>
              </w:rPr>
            </w:pPr>
            <w:r>
              <w:rPr>
                <w:bCs/>
                <w:sz w:val="20"/>
                <w:szCs w:val="20"/>
              </w:rPr>
              <w:t xml:space="preserve">№ </w:t>
              <w:br w:type="textWrapping" w:clear="all"/>
              <w:t xml:space="preserve">п/п</w:t>
            </w:r>
            <w:r>
              <w:rPr>
                <w:sz w:val="20"/>
                <w:szCs w:val="20"/>
              </w:rPr>
            </w:r>
            <w:r>
              <w:rPr>
                <w:sz w:val="20"/>
                <w:szCs w:val="20"/>
              </w:rPr>
            </w:r>
          </w:p>
        </w:tc>
        <w:tc>
          <w:tcPr>
            <w:tcW w:w="3685" w:type="dxa"/>
            <w:vAlign w:val="center"/>
            <w:textDirection w:val="lrTb"/>
            <w:noWrap w:val="false"/>
          </w:tcPr>
          <w:p>
            <w:pPr>
              <w:pStyle w:val="965"/>
              <w:ind w:firstLine="34"/>
              <w:jc w:val="center"/>
              <w:tabs>
                <w:tab w:val="center" w:pos="1260" w:leader="none"/>
                <w:tab w:val="right" w:pos="9355" w:leader="none"/>
              </w:tabs>
              <w:rPr>
                <w:sz w:val="20"/>
                <w:szCs w:val="20"/>
              </w:rPr>
            </w:pPr>
            <w:r>
              <w:rPr>
                <w:bCs/>
                <w:sz w:val="20"/>
                <w:szCs w:val="20"/>
              </w:rPr>
              <w:t xml:space="preserve">Наименование услуги</w:t>
            </w:r>
            <w:r>
              <w:rPr>
                <w:sz w:val="20"/>
                <w:szCs w:val="20"/>
              </w:rPr>
            </w:r>
            <w:r>
              <w:rPr>
                <w:sz w:val="20"/>
                <w:szCs w:val="20"/>
              </w:rPr>
            </w:r>
          </w:p>
        </w:tc>
        <w:tc>
          <w:tcPr>
            <w:tcW w:w="2268" w:type="dxa"/>
            <w:vAlign w:val="center"/>
            <w:textDirection w:val="lrTb"/>
            <w:noWrap w:val="false"/>
          </w:tcPr>
          <w:p>
            <w:pPr>
              <w:pStyle w:val="965"/>
              <w:jc w:val="center"/>
              <w:tabs>
                <w:tab w:val="center" w:pos="1260" w:leader="none"/>
                <w:tab w:val="right" w:pos="9355" w:leader="none"/>
              </w:tabs>
              <w:rPr>
                <w:sz w:val="20"/>
                <w:szCs w:val="20"/>
              </w:rPr>
            </w:pPr>
            <w:r>
              <w:rPr>
                <w:bCs/>
                <w:sz w:val="20"/>
                <w:szCs w:val="20"/>
              </w:rPr>
              <w:t xml:space="preserve">Тариф</w:t>
            </w:r>
            <w:r>
              <w:rPr>
                <w:sz w:val="20"/>
                <w:szCs w:val="20"/>
              </w:rPr>
            </w:r>
            <w:r>
              <w:rPr>
                <w:sz w:val="20"/>
                <w:szCs w:val="20"/>
              </w:rPr>
            </w:r>
          </w:p>
        </w:tc>
        <w:tc>
          <w:tcPr>
            <w:tcW w:w="2964" w:type="dxa"/>
            <w:vAlign w:val="center"/>
            <w:textDirection w:val="lrTb"/>
            <w:noWrap w:val="false"/>
          </w:tcPr>
          <w:p>
            <w:pPr>
              <w:pStyle w:val="965"/>
              <w:jc w:val="center"/>
              <w:tabs>
                <w:tab w:val="center" w:pos="1260" w:leader="none"/>
                <w:tab w:val="right" w:pos="9355" w:leader="none"/>
              </w:tabs>
              <w:rPr>
                <w:sz w:val="20"/>
                <w:szCs w:val="20"/>
              </w:rPr>
            </w:pPr>
            <w:r>
              <w:rPr>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65"/>
              <w:jc w:val="both"/>
              <w:spacing w:before="40" w:after="40"/>
              <w:tabs>
                <w:tab w:val="center" w:pos="1260" w:leader="none"/>
                <w:tab w:val="right" w:pos="9355" w:leader="none"/>
              </w:tabs>
              <w:rPr>
                <w:sz w:val="20"/>
                <w:szCs w:val="20"/>
              </w:rPr>
            </w:pPr>
            <w:r>
              <w:rPr>
                <w:sz w:val="20"/>
                <w:szCs w:val="20"/>
              </w:rPr>
              <w:t xml:space="preserve">12.1.</w:t>
            </w:r>
            <w:r>
              <w:rPr>
                <w:sz w:val="20"/>
                <w:szCs w:val="20"/>
              </w:rPr>
            </w:r>
            <w:r>
              <w:rPr>
                <w:sz w:val="20"/>
                <w:szCs w:val="20"/>
              </w:rPr>
            </w:r>
          </w:p>
        </w:tc>
        <w:tc>
          <w:tcPr>
            <w:tcW w:w="3685" w:type="dxa"/>
            <w:vAlign w:val="top"/>
            <w:textDirection w:val="lrTb"/>
            <w:noWrap w:val="false"/>
          </w:tcPr>
          <w:p>
            <w:pPr>
              <w:pStyle w:val="965"/>
              <w:spacing w:before="40" w:after="40"/>
              <w:tabs>
                <w:tab w:val="center" w:pos="1260" w:leader="none"/>
                <w:tab w:val="right" w:pos="9355" w:leader="none"/>
              </w:tabs>
              <w:rPr>
                <w:sz w:val="20"/>
                <w:szCs w:val="20"/>
              </w:rPr>
            </w:pPr>
            <w:r>
              <w:rPr>
                <w:sz w:val="20"/>
                <w:szCs w:val="20"/>
              </w:rPr>
              <w:t xml:space="preserve">Доставка денежной наличности из учреждения Банка России в кредитную организацию</w:t>
            </w:r>
            <w:r>
              <w:rPr>
                <w:sz w:val="20"/>
                <w:szCs w:val="20"/>
              </w:rPr>
            </w:r>
            <w:r>
              <w:rPr>
                <w:sz w:val="20"/>
                <w:szCs w:val="20"/>
              </w:rPr>
            </w:r>
          </w:p>
        </w:tc>
        <w:tc>
          <w:tcPr>
            <w:tcW w:w="2268" w:type="dxa"/>
            <w:vAlign w:val="top"/>
            <w:textDirection w:val="lrTb"/>
            <w:noWrap w:val="false"/>
          </w:tcPr>
          <w:p>
            <w:pPr>
              <w:pStyle w:val="965"/>
              <w:ind w:hanging="108"/>
              <w:jc w:val="center"/>
              <w:spacing w:before="40" w:after="40"/>
              <w:tabs>
                <w:tab w:val="center" w:pos="1260" w:leader="none"/>
                <w:tab w:val="right" w:pos="9355" w:leader="none"/>
              </w:tabs>
              <w:rPr>
                <w:sz w:val="20"/>
                <w:szCs w:val="20"/>
              </w:rPr>
            </w:pPr>
            <w:r>
              <w:rPr>
                <w:sz w:val="20"/>
                <w:szCs w:val="20"/>
              </w:rPr>
              <w:t xml:space="preserve">Услуга не предоставляется</w:t>
            </w:r>
            <w:r>
              <w:rPr>
                <w:sz w:val="20"/>
                <w:szCs w:val="20"/>
              </w:rPr>
            </w:r>
            <w:r>
              <w:rPr>
                <w:sz w:val="20"/>
                <w:szCs w:val="20"/>
              </w:rPr>
            </w:r>
          </w:p>
        </w:tc>
        <w:tc>
          <w:tcPr>
            <w:tcW w:w="2964" w:type="dxa"/>
            <w:vAlign w:val="top"/>
            <w:textDirection w:val="lrTb"/>
            <w:noWrap w:val="false"/>
          </w:tcPr>
          <w:p>
            <w:pPr>
              <w:pStyle w:val="965"/>
              <w:jc w:val="both"/>
              <w:spacing w:before="40" w:after="40"/>
              <w:tabs>
                <w:tab w:val="center" w:pos="1260" w:leader="none"/>
                <w:tab w:val="right" w:pos="9355" w:leader="none"/>
              </w:tabs>
              <w:rPr>
                <w:sz w:val="20"/>
                <w:szCs w:val="20"/>
              </w:rPr>
            </w:pPr>
            <w:r>
              <w:rPr>
                <w:bCs/>
                <w:sz w:val="20"/>
                <w:szCs w:val="20"/>
              </w:rPr>
              <w:t xml:space="preserve">Комиссия взимается за одну доставку.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65"/>
              <w:jc w:val="both"/>
              <w:spacing w:before="40" w:after="40"/>
              <w:tabs>
                <w:tab w:val="center" w:pos="1260" w:leader="none"/>
                <w:tab w:val="right" w:pos="9355" w:leader="none"/>
              </w:tabs>
              <w:rPr>
                <w:sz w:val="20"/>
                <w:szCs w:val="20"/>
              </w:rPr>
            </w:pPr>
            <w:r>
              <w:rPr>
                <w:sz w:val="20"/>
                <w:szCs w:val="20"/>
              </w:rPr>
              <w:t xml:space="preserve">12.2.</w:t>
            </w:r>
            <w:r>
              <w:rPr>
                <w:sz w:val="20"/>
                <w:szCs w:val="20"/>
              </w:rPr>
            </w:r>
            <w:r>
              <w:rPr>
                <w:sz w:val="20"/>
                <w:szCs w:val="20"/>
              </w:rPr>
            </w:r>
          </w:p>
        </w:tc>
        <w:tc>
          <w:tcPr>
            <w:tcW w:w="3685" w:type="dxa"/>
            <w:vAlign w:val="top"/>
            <w:textDirection w:val="lrTb"/>
            <w:noWrap w:val="false"/>
          </w:tcPr>
          <w:p>
            <w:pPr>
              <w:pStyle w:val="965"/>
              <w:spacing w:before="40" w:after="40"/>
              <w:tabs>
                <w:tab w:val="center" w:pos="1260" w:leader="none"/>
                <w:tab w:val="right" w:pos="9355" w:leader="none"/>
              </w:tabs>
              <w:rPr>
                <w:sz w:val="20"/>
                <w:szCs w:val="20"/>
              </w:rPr>
            </w:pPr>
            <w:r>
              <w:rPr>
                <w:sz w:val="20"/>
                <w:szCs w:val="20"/>
              </w:rPr>
              <w:t xml:space="preserve">Доставка денежной наличности в учреждение Банка России из кредитной организации</w:t>
            </w:r>
            <w:r>
              <w:rPr>
                <w:sz w:val="20"/>
                <w:szCs w:val="20"/>
              </w:rPr>
            </w:r>
            <w:r>
              <w:rPr>
                <w:sz w:val="20"/>
                <w:szCs w:val="20"/>
              </w:rPr>
            </w:r>
          </w:p>
        </w:tc>
        <w:tc>
          <w:tcPr>
            <w:tcW w:w="2268" w:type="dxa"/>
            <w:vAlign w:val="top"/>
            <w:textDirection w:val="lrTb"/>
            <w:noWrap w:val="false"/>
          </w:tcPr>
          <w:p>
            <w:pPr>
              <w:pStyle w:val="965"/>
              <w:ind w:hanging="108"/>
              <w:jc w:val="center"/>
              <w:spacing w:before="40" w:after="40"/>
              <w:tabs>
                <w:tab w:val="center" w:pos="1260" w:leader="none"/>
                <w:tab w:val="right" w:pos="9355" w:leader="none"/>
              </w:tabs>
              <w:rPr>
                <w:sz w:val="20"/>
                <w:szCs w:val="20"/>
              </w:rPr>
            </w:pPr>
            <w:r>
              <w:rPr>
                <w:sz w:val="20"/>
                <w:szCs w:val="20"/>
              </w:rPr>
              <w:t xml:space="preserve">Услуга не предоставляется</w:t>
            </w:r>
            <w:r>
              <w:rPr>
                <w:sz w:val="20"/>
                <w:szCs w:val="20"/>
              </w:rPr>
            </w:r>
            <w:r>
              <w:rPr>
                <w:sz w:val="20"/>
                <w:szCs w:val="20"/>
              </w:rPr>
            </w:r>
          </w:p>
        </w:tc>
        <w:tc>
          <w:tcPr>
            <w:tcW w:w="2964" w:type="dxa"/>
            <w:vAlign w:val="top"/>
            <w:textDirection w:val="lrTb"/>
            <w:noWrap w:val="false"/>
          </w:tcPr>
          <w:p>
            <w:pPr>
              <w:pStyle w:val="965"/>
              <w:ind w:left="-52" w:firstLine="52"/>
              <w:jc w:val="both"/>
              <w:spacing w:before="40" w:after="40"/>
              <w:rPr>
                <w:sz w:val="20"/>
                <w:szCs w:val="20"/>
              </w:rPr>
            </w:pPr>
            <w:r>
              <w:rPr>
                <w:bCs/>
                <w:sz w:val="20"/>
                <w:szCs w:val="20"/>
              </w:rPr>
              <w:t xml:space="preserve">Комиссия взимается за одну доставку.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65"/>
              <w:jc w:val="both"/>
              <w:spacing w:before="40"/>
              <w:tabs>
                <w:tab w:val="center" w:pos="1260" w:leader="none"/>
                <w:tab w:val="right" w:pos="9355" w:leader="none"/>
              </w:tabs>
              <w:rPr>
                <w:sz w:val="20"/>
                <w:szCs w:val="20"/>
              </w:rPr>
            </w:pPr>
            <w:r>
              <w:rPr>
                <w:sz w:val="20"/>
                <w:szCs w:val="20"/>
              </w:rPr>
              <w:t xml:space="preserve">12.3.</w:t>
            </w:r>
            <w:r>
              <w:rPr>
                <w:sz w:val="20"/>
                <w:szCs w:val="20"/>
              </w:rPr>
            </w:r>
            <w:r>
              <w:rPr>
                <w:sz w:val="20"/>
                <w:szCs w:val="20"/>
              </w:rPr>
            </w:r>
          </w:p>
        </w:tc>
        <w:tc>
          <w:tcPr>
            <w:tcW w:w="3685" w:type="dxa"/>
            <w:vAlign w:val="top"/>
            <w:textDirection w:val="lrTb"/>
            <w:noWrap w:val="false"/>
          </w:tcPr>
          <w:p>
            <w:pPr>
              <w:pStyle w:val="965"/>
              <w:spacing w:before="40"/>
              <w:tabs>
                <w:tab w:val="center" w:pos="1260" w:leader="none"/>
                <w:tab w:val="right" w:pos="9355" w:leader="none"/>
              </w:tabs>
              <w:rPr>
                <w:sz w:val="20"/>
                <w:szCs w:val="20"/>
              </w:rPr>
            </w:pPr>
            <w:r>
              <w:rPr>
                <w:sz w:val="20"/>
                <w:szCs w:val="20"/>
              </w:rPr>
              <w:t xml:space="preserve">Перевозка денежной наличности и других ценностей:</w:t>
            </w:r>
            <w:r>
              <w:rPr>
                <w:sz w:val="20"/>
                <w:szCs w:val="20"/>
              </w:rPr>
            </w:r>
            <w:r>
              <w:rPr>
                <w:sz w:val="20"/>
                <w:szCs w:val="20"/>
              </w:rPr>
            </w:r>
          </w:p>
          <w:p>
            <w:pPr>
              <w:pStyle w:val="965"/>
              <w:tabs>
                <w:tab w:val="center" w:pos="1260" w:leader="none"/>
                <w:tab w:val="right" w:pos="9355" w:leader="none"/>
              </w:tabs>
              <w:rPr>
                <w:sz w:val="20"/>
                <w:szCs w:val="20"/>
              </w:rPr>
            </w:pPr>
            <w:r>
              <w:rPr>
                <w:sz w:val="20"/>
                <w:szCs w:val="20"/>
              </w:rPr>
              <w:t xml:space="preserve">- между подразделениями кредитной организации;</w:t>
            </w:r>
            <w:r>
              <w:rPr>
                <w:sz w:val="20"/>
                <w:szCs w:val="20"/>
              </w:rPr>
            </w:r>
            <w:r>
              <w:rPr>
                <w:sz w:val="20"/>
                <w:szCs w:val="20"/>
              </w:rPr>
            </w:r>
          </w:p>
          <w:p>
            <w:pPr>
              <w:pStyle w:val="965"/>
              <w:spacing w:after="40"/>
              <w:tabs>
                <w:tab w:val="center" w:pos="1260" w:leader="none"/>
                <w:tab w:val="right" w:pos="9355" w:leader="none"/>
              </w:tabs>
              <w:rPr>
                <w:sz w:val="20"/>
                <w:szCs w:val="20"/>
              </w:rPr>
            </w:pPr>
            <w:r>
              <w:rPr>
                <w:sz w:val="20"/>
                <w:szCs w:val="20"/>
              </w:rPr>
              <w:t xml:space="preserve">- между подразделениями кредитной организации и подразделениями </w:t>
              <w:br w:type="textWrapping" w:clear="all"/>
              <w:t xml:space="preserve">АО «Россельхозбанк»</w:t>
            </w:r>
            <w:r>
              <w:rPr>
                <w:rStyle w:val="991"/>
                <w:sz w:val="20"/>
                <w:szCs w:val="20"/>
              </w:rPr>
              <w:footnoteReference w:id="4"/>
            </w:r>
            <w:r>
              <w:rPr>
                <w:sz w:val="20"/>
                <w:szCs w:val="20"/>
              </w:rPr>
              <w:t xml:space="preserve">  </w:t>
            </w:r>
            <w:r>
              <w:rPr>
                <w:sz w:val="20"/>
                <w:szCs w:val="20"/>
              </w:rPr>
            </w:r>
            <w:r>
              <w:rPr>
                <w:sz w:val="20"/>
                <w:szCs w:val="20"/>
              </w:rPr>
            </w:r>
          </w:p>
        </w:tc>
        <w:tc>
          <w:tcPr>
            <w:tcW w:w="2268" w:type="dxa"/>
            <w:vAlign w:val="top"/>
            <w:textDirection w:val="lrTb"/>
            <w:noWrap w:val="false"/>
          </w:tcPr>
          <w:p>
            <w:pPr>
              <w:pStyle w:val="965"/>
              <w:ind w:hanging="108"/>
              <w:jc w:val="center"/>
              <w:spacing w:before="40" w:after="40"/>
              <w:tabs>
                <w:tab w:val="center" w:pos="1260" w:leader="none"/>
                <w:tab w:val="right" w:pos="9355" w:leader="none"/>
              </w:tabs>
              <w:rPr>
                <w:sz w:val="20"/>
                <w:szCs w:val="20"/>
              </w:rPr>
            </w:pPr>
            <w:r>
              <w:rPr>
                <w:sz w:val="20"/>
                <w:szCs w:val="20"/>
              </w:rPr>
              <w:t xml:space="preserve">Услуга не предоставляется</w:t>
            </w:r>
            <w:r>
              <w:rPr>
                <w:sz w:val="20"/>
                <w:szCs w:val="20"/>
              </w:rPr>
            </w:r>
            <w:r>
              <w:rPr>
                <w:sz w:val="20"/>
                <w:szCs w:val="20"/>
              </w:rPr>
            </w:r>
          </w:p>
        </w:tc>
        <w:tc>
          <w:tcPr>
            <w:tcW w:w="2964" w:type="dxa"/>
            <w:vAlign w:val="top"/>
            <w:textDirection w:val="lrTb"/>
            <w:noWrap w:val="false"/>
          </w:tcPr>
          <w:p>
            <w:pPr>
              <w:pStyle w:val="965"/>
              <w:ind w:left="-51" w:firstLine="51"/>
              <w:jc w:val="both"/>
              <w:spacing w:before="40"/>
              <w:rPr>
                <w:bCs/>
                <w:sz w:val="20"/>
                <w:szCs w:val="20"/>
              </w:rPr>
            </w:pPr>
            <w:r>
              <w:rPr>
                <w:bCs/>
                <w:sz w:val="20"/>
                <w:szCs w:val="20"/>
              </w:rPr>
              <w:t xml:space="preserve">Комиссия взимается от суммы перевозимой денежной наличности за один заезд*.</w:t>
            </w:r>
            <w:r>
              <w:rPr>
                <w:bCs/>
                <w:sz w:val="20"/>
                <w:szCs w:val="20"/>
              </w:rPr>
            </w:r>
            <w:r>
              <w:rPr>
                <w:bCs/>
                <w:sz w:val="20"/>
                <w:szCs w:val="20"/>
              </w:rPr>
            </w:r>
          </w:p>
          <w:p>
            <w:pPr>
              <w:pStyle w:val="965"/>
              <w:ind w:left="-52" w:firstLine="52"/>
              <w:jc w:val="both"/>
              <w:rPr>
                <w:bCs/>
                <w:sz w:val="20"/>
                <w:szCs w:val="20"/>
              </w:rPr>
            </w:pPr>
            <w:r>
              <w:rPr>
                <w:bCs/>
                <w:sz w:val="20"/>
                <w:szCs w:val="20"/>
              </w:rPr>
              <w:t xml:space="preserve">Комиссия включает НДС</w:t>
            </w:r>
            <w:r>
              <w:rPr>
                <w:bCs/>
                <w:sz w:val="20"/>
                <w:szCs w:val="20"/>
              </w:rPr>
            </w:r>
            <w:r>
              <w:rPr>
                <w:bCs/>
                <w:sz w:val="20"/>
                <w:szCs w:val="20"/>
              </w:rPr>
            </w:r>
          </w:p>
          <w:p>
            <w:pPr>
              <w:pStyle w:val="965"/>
              <w:ind w:left="-52" w:firstLine="5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65"/>
              <w:jc w:val="both"/>
              <w:spacing w:before="40" w:after="40"/>
              <w:tabs>
                <w:tab w:val="center" w:pos="1260" w:leader="none"/>
                <w:tab w:val="right" w:pos="9355" w:leader="none"/>
              </w:tabs>
              <w:rPr>
                <w:sz w:val="20"/>
                <w:szCs w:val="20"/>
              </w:rPr>
            </w:pPr>
            <w:r>
              <w:rPr>
                <w:sz w:val="20"/>
                <w:szCs w:val="20"/>
              </w:rPr>
              <w:t xml:space="preserve">12.4.</w:t>
            </w:r>
            <w:r>
              <w:rPr>
                <w:sz w:val="20"/>
                <w:szCs w:val="20"/>
              </w:rPr>
            </w:r>
            <w:r>
              <w:rPr>
                <w:sz w:val="20"/>
                <w:szCs w:val="20"/>
              </w:rPr>
            </w:r>
          </w:p>
        </w:tc>
        <w:tc>
          <w:tcPr>
            <w:gridSpan w:val="3"/>
            <w:tcW w:w="8917" w:type="dxa"/>
            <w:vAlign w:val="top"/>
            <w:textDirection w:val="lrTb"/>
            <w:noWrap w:val="false"/>
          </w:tcPr>
          <w:p>
            <w:pPr>
              <w:pStyle w:val="965"/>
              <w:ind w:left="-52" w:firstLine="52"/>
              <w:jc w:val="both"/>
              <w:spacing w:before="40" w:after="40"/>
              <w:rPr>
                <w:bCs/>
                <w:sz w:val="20"/>
                <w:szCs w:val="20"/>
              </w:rPr>
            </w:pPr>
            <w:r>
              <w:rPr>
                <w:sz w:val="20"/>
                <w:szCs w:val="20"/>
              </w:rPr>
              <w:t xml:space="preserve">Обслуживание банкоматов кредитной организации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65"/>
              <w:jc w:val="both"/>
              <w:spacing w:before="40" w:after="40"/>
              <w:tabs>
                <w:tab w:val="center" w:pos="1260" w:leader="none"/>
                <w:tab w:val="right" w:pos="9355" w:leader="none"/>
              </w:tabs>
              <w:rPr>
                <w:sz w:val="20"/>
                <w:szCs w:val="20"/>
              </w:rPr>
            </w:pPr>
            <w:r>
              <w:rPr>
                <w:sz w:val="20"/>
                <w:szCs w:val="20"/>
              </w:rPr>
              <w:t xml:space="preserve">12.4.1.</w:t>
            </w:r>
            <w:r>
              <w:rPr>
                <w:sz w:val="20"/>
                <w:szCs w:val="20"/>
              </w:rPr>
            </w:r>
            <w:r>
              <w:rPr>
                <w:sz w:val="20"/>
                <w:szCs w:val="20"/>
              </w:rPr>
            </w:r>
          </w:p>
        </w:tc>
        <w:tc>
          <w:tcPr>
            <w:tcW w:w="3685" w:type="dxa"/>
            <w:vAlign w:val="top"/>
            <w:textDirection w:val="lrTb"/>
            <w:noWrap w:val="false"/>
          </w:tcPr>
          <w:p>
            <w:pPr>
              <w:pStyle w:val="965"/>
              <w:spacing w:before="40" w:after="40"/>
              <w:tabs>
                <w:tab w:val="center" w:pos="1260" w:leader="none"/>
                <w:tab w:val="right" w:pos="9355" w:leader="none"/>
              </w:tabs>
              <w:rPr>
                <w:sz w:val="20"/>
                <w:szCs w:val="20"/>
              </w:rPr>
            </w:pPr>
            <w:r>
              <w:rPr>
                <w:sz w:val="20"/>
                <w:szCs w:val="20"/>
              </w:rPr>
              <w:t xml:space="preserve">Обслуживание банкоматов</w:t>
            </w:r>
            <w:r>
              <w:rPr>
                <w:bCs/>
                <w:sz w:val="20"/>
                <w:szCs w:val="20"/>
              </w:rPr>
              <w:t xml:space="preserve">**</w:t>
            </w:r>
            <w:r>
              <w:rPr>
                <w:sz w:val="20"/>
                <w:szCs w:val="20"/>
              </w:rPr>
              <w:t xml:space="preserve"> с получением/доставкой кассет банкоматов в кассе(у) кредитной организации</w:t>
            </w:r>
            <w:r>
              <w:rPr>
                <w:sz w:val="20"/>
                <w:szCs w:val="20"/>
              </w:rPr>
            </w:r>
            <w:r>
              <w:rPr>
                <w:sz w:val="20"/>
                <w:szCs w:val="20"/>
              </w:rPr>
            </w:r>
          </w:p>
        </w:tc>
        <w:tc>
          <w:tcPr>
            <w:tcW w:w="2268" w:type="dxa"/>
            <w:vAlign w:val="top"/>
            <w:textDirection w:val="lrTb"/>
            <w:noWrap w:val="false"/>
          </w:tcPr>
          <w:p>
            <w:pPr>
              <w:pStyle w:val="965"/>
              <w:ind w:hanging="108"/>
              <w:jc w:val="center"/>
              <w:spacing w:before="40" w:after="40"/>
              <w:tabs>
                <w:tab w:val="center" w:pos="1260" w:leader="none"/>
                <w:tab w:val="right" w:pos="9355" w:leader="none"/>
              </w:tabs>
              <w:rPr>
                <w:sz w:val="20"/>
                <w:szCs w:val="20"/>
              </w:rPr>
            </w:pPr>
            <w:r>
              <w:rPr>
                <w:sz w:val="20"/>
                <w:szCs w:val="20"/>
              </w:rPr>
              <w:t xml:space="preserve">Услуга не предоставляется</w:t>
            </w:r>
            <w:r>
              <w:rPr>
                <w:sz w:val="20"/>
                <w:szCs w:val="20"/>
              </w:rPr>
            </w:r>
            <w:r>
              <w:rPr>
                <w:sz w:val="20"/>
                <w:szCs w:val="20"/>
              </w:rPr>
            </w:r>
          </w:p>
        </w:tc>
        <w:tc>
          <w:tcPr>
            <w:tcW w:w="2964" w:type="dxa"/>
            <w:vAlign w:val="top"/>
            <w:textDirection w:val="lrTb"/>
            <w:noWrap w:val="false"/>
          </w:tcPr>
          <w:p>
            <w:pPr>
              <w:pStyle w:val="965"/>
              <w:ind w:left="-51" w:firstLine="51"/>
              <w:jc w:val="both"/>
              <w:spacing w:before="40"/>
              <w:rPr>
                <w:bCs/>
                <w:sz w:val="20"/>
                <w:szCs w:val="20"/>
              </w:rPr>
            </w:pPr>
            <w:r>
              <w:rPr>
                <w:bCs/>
                <w:sz w:val="20"/>
                <w:szCs w:val="20"/>
              </w:rPr>
              <w:t xml:space="preserve">Комиссия взимается за обслуживание одного банкомата. </w:t>
            </w:r>
            <w:r>
              <w:rPr>
                <w:bCs/>
                <w:sz w:val="20"/>
                <w:szCs w:val="20"/>
              </w:rPr>
            </w:r>
            <w:r>
              <w:rPr>
                <w:bCs/>
                <w:sz w:val="20"/>
                <w:szCs w:val="20"/>
              </w:rPr>
            </w:r>
          </w:p>
          <w:p>
            <w:pPr>
              <w:pStyle w:val="965"/>
              <w:ind w:left="-52" w:firstLine="52"/>
              <w:jc w:val="both"/>
              <w:rPr>
                <w:sz w:val="20"/>
                <w:szCs w:val="20"/>
              </w:rPr>
            </w:pPr>
            <w:r>
              <w:rPr>
                <w:bCs/>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65"/>
              <w:jc w:val="both"/>
              <w:spacing w:before="40" w:after="40"/>
              <w:tabs>
                <w:tab w:val="center" w:pos="1260" w:leader="none"/>
                <w:tab w:val="right" w:pos="9355" w:leader="none"/>
              </w:tabs>
              <w:rPr>
                <w:sz w:val="20"/>
                <w:szCs w:val="20"/>
                <w:vertAlign w:val="superscript"/>
              </w:rPr>
            </w:pPr>
            <w:r>
              <w:rPr>
                <w:sz w:val="20"/>
                <w:szCs w:val="20"/>
              </w:rPr>
              <w:t xml:space="preserve">12.4.2.</w:t>
            </w:r>
            <w:r>
              <w:rPr>
                <w:sz w:val="20"/>
                <w:szCs w:val="20"/>
                <w:vertAlign w:val="superscript"/>
              </w:rPr>
              <w:t xml:space="preserve">1</w:t>
            </w:r>
            <w:r>
              <w:rPr>
                <w:sz w:val="20"/>
                <w:szCs w:val="20"/>
                <w:vertAlign w:val="superscript"/>
              </w:rPr>
            </w:r>
            <w:r>
              <w:rPr>
                <w:sz w:val="20"/>
                <w:szCs w:val="20"/>
                <w:vertAlign w:val="superscript"/>
              </w:rPr>
            </w:r>
          </w:p>
        </w:tc>
        <w:tc>
          <w:tcPr>
            <w:tcW w:w="3685" w:type="dxa"/>
            <w:vAlign w:val="top"/>
            <w:textDirection w:val="lrTb"/>
            <w:noWrap w:val="false"/>
          </w:tcPr>
          <w:p>
            <w:pPr>
              <w:pStyle w:val="965"/>
              <w:spacing w:before="40" w:after="40"/>
              <w:tabs>
                <w:tab w:val="center" w:pos="1260" w:leader="none"/>
                <w:tab w:val="right" w:pos="9355" w:leader="none"/>
              </w:tabs>
              <w:rPr>
                <w:sz w:val="20"/>
                <w:szCs w:val="20"/>
              </w:rPr>
            </w:pPr>
            <w:r>
              <w:rPr>
                <w:sz w:val="20"/>
                <w:szCs w:val="20"/>
              </w:rPr>
              <w:t xml:space="preserve">Кассово-инкассационное обслуживание банкоматов</w:t>
            </w:r>
            <w:r>
              <w:rPr>
                <w:bCs/>
                <w:sz w:val="20"/>
                <w:szCs w:val="20"/>
              </w:rPr>
              <w:t xml:space="preserve">***</w:t>
            </w:r>
            <w:r>
              <w:rPr>
                <w:sz w:val="20"/>
                <w:szCs w:val="20"/>
              </w:rPr>
            </w:r>
            <w:r>
              <w:rPr>
                <w:sz w:val="20"/>
                <w:szCs w:val="20"/>
              </w:rPr>
            </w:r>
          </w:p>
        </w:tc>
        <w:tc>
          <w:tcPr>
            <w:tcW w:w="2268" w:type="dxa"/>
            <w:vAlign w:val="top"/>
            <w:textDirection w:val="lrTb"/>
            <w:noWrap w:val="false"/>
          </w:tcPr>
          <w:p>
            <w:pPr>
              <w:pStyle w:val="965"/>
              <w:jc w:val="center"/>
              <w:spacing w:before="40" w:after="40"/>
              <w:tabs>
                <w:tab w:val="center" w:pos="1260" w:leader="none"/>
                <w:tab w:val="right" w:pos="9355" w:leader="none"/>
              </w:tabs>
              <w:rPr>
                <w:sz w:val="20"/>
                <w:szCs w:val="20"/>
              </w:rPr>
            </w:pPr>
            <w:r>
              <w:rPr>
                <w:sz w:val="20"/>
                <w:szCs w:val="20"/>
              </w:rPr>
            </w:r>
            <w:r>
              <w:rPr>
                <w:sz w:val="20"/>
                <w:szCs w:val="20"/>
              </w:rPr>
            </w:r>
            <w:r>
              <w:rPr>
                <w:sz w:val="20"/>
                <w:szCs w:val="20"/>
              </w:rPr>
            </w:r>
          </w:p>
        </w:tc>
        <w:tc>
          <w:tcPr>
            <w:tcW w:w="2964" w:type="dxa"/>
            <w:vAlign w:val="top"/>
            <w:textDirection w:val="lrTb"/>
            <w:noWrap w:val="false"/>
          </w:tcPr>
          <w:p>
            <w:pPr>
              <w:pStyle w:val="965"/>
              <w:ind w:left="-51" w:firstLine="51"/>
              <w:jc w:val="both"/>
              <w:spacing w:before="40" w:after="40"/>
              <w:rPr>
                <w:bCs/>
                <w:sz w:val="20"/>
                <w:szCs w:val="20"/>
              </w:rPr>
            </w:pPr>
            <w:r>
              <w:rPr>
                <w:bCs/>
                <w:sz w:val="20"/>
                <w:szCs w:val="20"/>
              </w:rPr>
              <w:t xml:space="preserve">Комиссия взимается за кассово-инкассационное обслуживание одного банкомата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65"/>
              <w:jc w:val="both"/>
              <w:spacing w:before="40" w:after="40"/>
              <w:tabs>
                <w:tab w:val="center" w:pos="1260" w:leader="none"/>
                <w:tab w:val="right" w:pos="9355" w:leader="none"/>
              </w:tabs>
              <w:rPr>
                <w:sz w:val="20"/>
                <w:szCs w:val="20"/>
              </w:rPr>
            </w:pPr>
            <w:r>
              <w:rPr>
                <w:sz w:val="20"/>
                <w:szCs w:val="20"/>
              </w:rPr>
              <w:t xml:space="preserve">12.4.2.1.</w:t>
            </w:r>
            <w:r>
              <w:rPr>
                <w:sz w:val="20"/>
                <w:szCs w:val="20"/>
              </w:rPr>
            </w:r>
            <w:r>
              <w:rPr>
                <w:sz w:val="20"/>
                <w:szCs w:val="20"/>
              </w:rPr>
            </w:r>
          </w:p>
        </w:tc>
        <w:tc>
          <w:tcPr>
            <w:tcW w:w="3685" w:type="dxa"/>
            <w:vAlign w:val="top"/>
            <w:textDirection w:val="lrTb"/>
            <w:noWrap w:val="false"/>
          </w:tcPr>
          <w:p>
            <w:pPr>
              <w:pStyle w:val="965"/>
              <w:spacing w:before="40" w:after="40"/>
              <w:tabs>
                <w:tab w:val="center" w:pos="1260" w:leader="none"/>
                <w:tab w:val="right" w:pos="9355" w:leader="none"/>
              </w:tabs>
              <w:rPr>
                <w:sz w:val="20"/>
                <w:szCs w:val="20"/>
              </w:rPr>
            </w:pPr>
            <w:r>
              <w:rPr>
                <w:sz w:val="20"/>
                <w:szCs w:val="20"/>
              </w:rPr>
              <w:t xml:space="preserve">Заезд к банкомату, загрузка/выгрузка кассет </w:t>
              <w:br w:type="textWrapping" w:clear="all"/>
              <w:t xml:space="preserve">в/из банкомат(а) и их доставка </w:t>
              <w:br w:type="textWrapping" w:clear="all"/>
              <w:t xml:space="preserve">в кассу подразделения </w:t>
              <w:br w:type="textWrapping" w:clear="all"/>
              <w:t xml:space="preserve">АО «Россельхозбанк»</w:t>
            </w:r>
            <w:r>
              <w:rPr>
                <w:sz w:val="20"/>
                <w:szCs w:val="20"/>
              </w:rPr>
            </w:r>
            <w:r>
              <w:rPr>
                <w:sz w:val="20"/>
                <w:szCs w:val="20"/>
              </w:rPr>
            </w:r>
          </w:p>
        </w:tc>
        <w:tc>
          <w:tcPr>
            <w:tcW w:w="2268" w:type="dxa"/>
            <w:vAlign w:val="top"/>
            <w:textDirection w:val="lrTb"/>
            <w:noWrap w:val="false"/>
          </w:tcPr>
          <w:p>
            <w:pPr>
              <w:pStyle w:val="965"/>
              <w:ind w:hanging="108"/>
              <w:jc w:val="center"/>
              <w:spacing w:before="40" w:after="40"/>
              <w:tabs>
                <w:tab w:val="center" w:pos="1260" w:leader="none"/>
                <w:tab w:val="right" w:pos="9355" w:leader="none"/>
              </w:tabs>
              <w:rPr>
                <w:sz w:val="20"/>
                <w:szCs w:val="20"/>
              </w:rPr>
            </w:pPr>
            <w:r>
              <w:rPr>
                <w:sz w:val="20"/>
                <w:szCs w:val="20"/>
              </w:rPr>
              <w:t xml:space="preserve">Услуга не предоставляется</w:t>
            </w:r>
            <w:r>
              <w:rPr>
                <w:sz w:val="20"/>
                <w:szCs w:val="20"/>
              </w:rPr>
            </w:r>
            <w:r>
              <w:rPr>
                <w:sz w:val="20"/>
                <w:szCs w:val="20"/>
              </w:rPr>
            </w:r>
          </w:p>
        </w:tc>
        <w:tc>
          <w:tcPr>
            <w:tcW w:w="2964" w:type="dxa"/>
            <w:vAlign w:val="top"/>
            <w:textDirection w:val="lrTb"/>
            <w:noWrap w:val="false"/>
          </w:tcPr>
          <w:p>
            <w:pPr>
              <w:pStyle w:val="965"/>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65"/>
              <w:jc w:val="both"/>
              <w:spacing w:before="40" w:after="40"/>
              <w:tabs>
                <w:tab w:val="center" w:pos="1260" w:leader="none"/>
                <w:tab w:val="right" w:pos="9355" w:leader="none"/>
              </w:tabs>
              <w:rPr>
                <w:sz w:val="20"/>
                <w:szCs w:val="20"/>
              </w:rPr>
            </w:pPr>
            <w:r>
              <w:rPr>
                <w:sz w:val="20"/>
                <w:szCs w:val="20"/>
              </w:rPr>
              <w:t xml:space="preserve">12.4.2.2.</w:t>
            </w:r>
            <w:r>
              <w:rPr>
                <w:sz w:val="20"/>
                <w:szCs w:val="20"/>
              </w:rPr>
            </w:r>
            <w:r>
              <w:rPr>
                <w:sz w:val="20"/>
                <w:szCs w:val="20"/>
              </w:rPr>
            </w:r>
          </w:p>
        </w:tc>
        <w:tc>
          <w:tcPr>
            <w:tcW w:w="3685" w:type="dxa"/>
            <w:vAlign w:val="top"/>
            <w:textDirection w:val="lrTb"/>
            <w:noWrap w:val="false"/>
          </w:tcPr>
          <w:p>
            <w:pPr>
              <w:pStyle w:val="965"/>
              <w:spacing w:before="40" w:after="40"/>
              <w:tabs>
                <w:tab w:val="center" w:pos="1260" w:leader="none"/>
                <w:tab w:val="right" w:pos="9355" w:leader="none"/>
              </w:tabs>
              <w:rPr>
                <w:sz w:val="20"/>
                <w:szCs w:val="20"/>
              </w:rPr>
            </w:pPr>
            <w:r>
              <w:rPr>
                <w:sz w:val="20"/>
                <w:szCs w:val="20"/>
              </w:rPr>
              <w:t xml:space="preserve">Загрузка денежной наличности в кассеты банкомата/выгрузка денежной наличности из кассет банкомата с зачислением на счет респондента</w:t>
            </w:r>
            <w:r>
              <w:rPr>
                <w:sz w:val="20"/>
                <w:szCs w:val="20"/>
              </w:rPr>
            </w:r>
            <w:r>
              <w:rPr>
                <w:sz w:val="20"/>
                <w:szCs w:val="20"/>
              </w:rPr>
            </w:r>
          </w:p>
        </w:tc>
        <w:tc>
          <w:tcPr>
            <w:tcW w:w="2268" w:type="dxa"/>
            <w:vAlign w:val="top"/>
            <w:textDirection w:val="lrTb"/>
            <w:noWrap w:val="false"/>
          </w:tcPr>
          <w:p>
            <w:pPr>
              <w:pStyle w:val="965"/>
              <w:ind w:hanging="108"/>
              <w:jc w:val="center"/>
              <w:spacing w:before="40" w:after="40"/>
              <w:tabs>
                <w:tab w:val="center" w:pos="1260" w:leader="none"/>
                <w:tab w:val="right" w:pos="9355" w:leader="none"/>
              </w:tabs>
              <w:rPr>
                <w:sz w:val="20"/>
                <w:szCs w:val="20"/>
              </w:rPr>
            </w:pPr>
            <w:r>
              <w:rPr>
                <w:sz w:val="20"/>
                <w:szCs w:val="20"/>
              </w:rPr>
              <w:t xml:space="preserve">Услуга не предоставляется</w:t>
            </w:r>
            <w:r>
              <w:rPr>
                <w:sz w:val="20"/>
                <w:szCs w:val="20"/>
              </w:rPr>
            </w:r>
            <w:r>
              <w:rPr>
                <w:sz w:val="20"/>
                <w:szCs w:val="20"/>
              </w:rPr>
            </w:r>
          </w:p>
        </w:tc>
        <w:tc>
          <w:tcPr>
            <w:tcW w:w="2964" w:type="dxa"/>
            <w:vAlign w:val="top"/>
            <w:textDirection w:val="lrTb"/>
            <w:noWrap w:val="false"/>
          </w:tcPr>
          <w:p>
            <w:pPr>
              <w:pStyle w:val="965"/>
              <w:ind w:left="-51" w:firstLine="51"/>
              <w:jc w:val="both"/>
              <w:spacing w:before="40" w:after="40"/>
              <w:rPr>
                <w:bCs/>
                <w:sz w:val="20"/>
                <w:szCs w:val="20"/>
              </w:rPr>
            </w:pPr>
            <w:r>
              <w:rPr>
                <w:sz w:val="20"/>
                <w:szCs w:val="20"/>
              </w:rPr>
              <w:t xml:space="preserve">Комиссия взимается в день зачисления на счет респондента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65"/>
              <w:jc w:val="both"/>
              <w:spacing w:before="40" w:after="40"/>
              <w:tabs>
                <w:tab w:val="center" w:pos="1260" w:leader="none"/>
                <w:tab w:val="right" w:pos="9355" w:leader="none"/>
              </w:tabs>
              <w:rPr>
                <w:sz w:val="20"/>
                <w:szCs w:val="20"/>
              </w:rPr>
            </w:pPr>
            <w:r>
              <w:rPr>
                <w:sz w:val="20"/>
                <w:szCs w:val="20"/>
              </w:rPr>
              <w:t xml:space="preserve">12.5.</w:t>
            </w:r>
            <w:r>
              <w:rPr>
                <w:sz w:val="20"/>
                <w:szCs w:val="20"/>
              </w:rPr>
            </w:r>
            <w:r>
              <w:rPr>
                <w:sz w:val="20"/>
                <w:szCs w:val="20"/>
              </w:rPr>
            </w:r>
          </w:p>
        </w:tc>
        <w:tc>
          <w:tcPr>
            <w:gridSpan w:val="3"/>
            <w:tcW w:w="8917" w:type="dxa"/>
            <w:vAlign w:val="top"/>
            <w:textDirection w:val="lrTb"/>
            <w:noWrap w:val="false"/>
          </w:tcPr>
          <w:p>
            <w:pPr>
              <w:pStyle w:val="965"/>
              <w:ind w:left="-52" w:firstLine="52"/>
              <w:jc w:val="both"/>
              <w:spacing w:before="40" w:after="40"/>
              <w:rPr>
                <w:bCs/>
                <w:sz w:val="20"/>
                <w:szCs w:val="20"/>
              </w:rPr>
            </w:pPr>
            <w:r>
              <w:rPr>
                <w:sz w:val="20"/>
                <w:szCs w:val="20"/>
              </w:rPr>
              <w:t xml:space="preserve">Обслуживание информационно-платежных терминалов кредитной организации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65"/>
              <w:jc w:val="both"/>
              <w:spacing w:before="40" w:after="40"/>
              <w:tabs>
                <w:tab w:val="center" w:pos="1260" w:leader="none"/>
                <w:tab w:val="right" w:pos="9355" w:leader="none"/>
              </w:tabs>
              <w:rPr>
                <w:sz w:val="20"/>
                <w:szCs w:val="20"/>
              </w:rPr>
            </w:pPr>
            <w:r>
              <w:rPr>
                <w:sz w:val="20"/>
                <w:szCs w:val="20"/>
              </w:rPr>
              <w:t xml:space="preserve">12.5.1.</w:t>
            </w:r>
            <w:r>
              <w:rPr>
                <w:sz w:val="20"/>
                <w:szCs w:val="20"/>
              </w:rPr>
            </w:r>
            <w:r>
              <w:rPr>
                <w:sz w:val="20"/>
                <w:szCs w:val="20"/>
              </w:rPr>
            </w:r>
          </w:p>
        </w:tc>
        <w:tc>
          <w:tcPr>
            <w:tcW w:w="3685" w:type="dxa"/>
            <w:vAlign w:val="top"/>
            <w:textDirection w:val="lrTb"/>
            <w:noWrap w:val="false"/>
          </w:tcPr>
          <w:p>
            <w:pPr>
              <w:pStyle w:val="965"/>
              <w:spacing w:before="40" w:after="40"/>
              <w:tabs>
                <w:tab w:val="center" w:pos="1260" w:leader="none"/>
                <w:tab w:val="right" w:pos="9355" w:leader="none"/>
              </w:tabs>
              <w:rPr>
                <w:sz w:val="20"/>
                <w:szCs w:val="20"/>
              </w:rPr>
            </w:pPr>
            <w:r>
              <w:rPr>
                <w:sz w:val="20"/>
                <w:szCs w:val="20"/>
              </w:rPr>
              <w:t xml:space="preserve">Обслуживание информационно-платежных терминалов</w:t>
            </w:r>
            <w:r>
              <w:rPr>
                <w:bCs/>
                <w:sz w:val="20"/>
                <w:szCs w:val="20"/>
              </w:rPr>
              <w:t xml:space="preserve">**</w:t>
            </w:r>
            <w:r>
              <w:rPr>
                <w:sz w:val="20"/>
                <w:szCs w:val="20"/>
              </w:rPr>
              <w:t xml:space="preserve"> с получением/доставкой кассет информационно-платежных терминалов в кассе(у) кредитной организации </w:t>
            </w:r>
            <w:r>
              <w:rPr>
                <w:sz w:val="20"/>
                <w:szCs w:val="20"/>
              </w:rPr>
            </w:r>
            <w:r>
              <w:rPr>
                <w:sz w:val="20"/>
                <w:szCs w:val="20"/>
              </w:rPr>
            </w:r>
          </w:p>
        </w:tc>
        <w:tc>
          <w:tcPr>
            <w:tcW w:w="2268" w:type="dxa"/>
            <w:vAlign w:val="top"/>
            <w:textDirection w:val="lrTb"/>
            <w:noWrap w:val="false"/>
          </w:tcPr>
          <w:p>
            <w:pPr>
              <w:pStyle w:val="965"/>
              <w:ind w:hanging="108"/>
              <w:jc w:val="center"/>
              <w:spacing w:before="40" w:after="40"/>
              <w:tabs>
                <w:tab w:val="center" w:pos="1260" w:leader="none"/>
                <w:tab w:val="right" w:pos="9355" w:leader="none"/>
              </w:tabs>
              <w:rPr>
                <w:sz w:val="20"/>
                <w:szCs w:val="20"/>
              </w:rPr>
            </w:pPr>
            <w:r>
              <w:rPr>
                <w:sz w:val="20"/>
                <w:szCs w:val="20"/>
              </w:rPr>
              <w:t xml:space="preserve">Услуга не предоставляется</w:t>
            </w:r>
            <w:r>
              <w:rPr>
                <w:sz w:val="20"/>
                <w:szCs w:val="20"/>
              </w:rPr>
            </w:r>
            <w:r>
              <w:rPr>
                <w:sz w:val="20"/>
                <w:szCs w:val="20"/>
              </w:rPr>
            </w:r>
          </w:p>
        </w:tc>
        <w:tc>
          <w:tcPr>
            <w:tcW w:w="2964" w:type="dxa"/>
            <w:vAlign w:val="top"/>
            <w:textDirection w:val="lrTb"/>
            <w:noWrap w:val="false"/>
          </w:tcPr>
          <w:p>
            <w:pPr>
              <w:pStyle w:val="965"/>
              <w:ind w:left="-51" w:firstLine="51"/>
              <w:jc w:val="both"/>
              <w:spacing w:before="40"/>
              <w:rPr>
                <w:bCs/>
                <w:sz w:val="20"/>
                <w:szCs w:val="20"/>
              </w:rPr>
            </w:pPr>
            <w:r>
              <w:rPr>
                <w:bCs/>
                <w:sz w:val="20"/>
                <w:szCs w:val="20"/>
              </w:rPr>
              <w:t xml:space="preserve">Комиссия взимается за обслуживание одного информационно-платежного терминала.</w:t>
            </w:r>
            <w:r>
              <w:rPr>
                <w:bCs/>
                <w:sz w:val="20"/>
                <w:szCs w:val="20"/>
              </w:rPr>
            </w:r>
            <w:r>
              <w:rPr>
                <w:bCs/>
                <w:sz w:val="20"/>
                <w:szCs w:val="20"/>
              </w:rPr>
            </w:r>
          </w:p>
          <w:p>
            <w:pPr>
              <w:pStyle w:val="965"/>
              <w:ind w:left="-52" w:firstLine="52"/>
              <w:jc w:val="both"/>
              <w:rPr>
                <w:sz w:val="20"/>
                <w:szCs w:val="20"/>
              </w:rPr>
            </w:pPr>
            <w:r>
              <w:rPr>
                <w:bCs/>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65"/>
              <w:jc w:val="both"/>
              <w:spacing w:before="40" w:after="40"/>
              <w:tabs>
                <w:tab w:val="center" w:pos="1260" w:leader="none"/>
                <w:tab w:val="right" w:pos="9355" w:leader="none"/>
              </w:tabs>
              <w:rPr>
                <w:sz w:val="20"/>
                <w:szCs w:val="20"/>
                <w:vertAlign w:val="superscript"/>
              </w:rPr>
            </w:pPr>
            <w:r>
              <w:rPr>
                <w:sz w:val="20"/>
                <w:szCs w:val="20"/>
              </w:rPr>
              <w:t xml:space="preserve">12.5.2.</w:t>
            </w:r>
            <w:r>
              <w:rPr>
                <w:sz w:val="20"/>
                <w:szCs w:val="20"/>
                <w:vertAlign w:val="superscript"/>
              </w:rPr>
              <w:t xml:space="preserve">1</w:t>
            </w:r>
            <w:r>
              <w:rPr>
                <w:sz w:val="20"/>
                <w:szCs w:val="20"/>
                <w:vertAlign w:val="superscript"/>
              </w:rPr>
            </w:r>
            <w:r>
              <w:rPr>
                <w:sz w:val="20"/>
                <w:szCs w:val="20"/>
                <w:vertAlign w:val="superscript"/>
              </w:rPr>
            </w:r>
          </w:p>
        </w:tc>
        <w:tc>
          <w:tcPr>
            <w:tcW w:w="3685" w:type="dxa"/>
            <w:vAlign w:val="top"/>
            <w:textDirection w:val="lrTb"/>
            <w:noWrap w:val="false"/>
          </w:tcPr>
          <w:p>
            <w:pPr>
              <w:pStyle w:val="965"/>
              <w:spacing w:before="40" w:after="40"/>
              <w:tabs>
                <w:tab w:val="center" w:pos="1260" w:leader="none"/>
                <w:tab w:val="right" w:pos="9355" w:leader="none"/>
              </w:tabs>
              <w:rPr>
                <w:sz w:val="20"/>
                <w:szCs w:val="20"/>
              </w:rPr>
            </w:pPr>
            <w:r>
              <w:rPr>
                <w:sz w:val="20"/>
                <w:szCs w:val="20"/>
              </w:rPr>
              <w:t xml:space="preserve">Кассово-инкассационное обслуживание информационно-платежного терминала</w:t>
            </w:r>
            <w:r>
              <w:rPr>
                <w:bCs/>
                <w:sz w:val="20"/>
                <w:szCs w:val="20"/>
              </w:rPr>
              <w:t xml:space="preserve">****</w:t>
            </w:r>
            <w:r>
              <w:rPr>
                <w:sz w:val="20"/>
                <w:szCs w:val="20"/>
              </w:rPr>
            </w:r>
            <w:r>
              <w:rPr>
                <w:sz w:val="20"/>
                <w:szCs w:val="20"/>
              </w:rPr>
            </w:r>
          </w:p>
        </w:tc>
        <w:tc>
          <w:tcPr>
            <w:tcW w:w="2268" w:type="dxa"/>
            <w:vAlign w:val="top"/>
            <w:textDirection w:val="lrTb"/>
            <w:noWrap w:val="false"/>
          </w:tcPr>
          <w:p>
            <w:pPr>
              <w:pStyle w:val="965"/>
              <w:ind w:firstLine="34"/>
              <w:jc w:val="center"/>
              <w:spacing w:before="40" w:after="40"/>
              <w:tabs>
                <w:tab w:val="center" w:pos="1260" w:leader="none"/>
                <w:tab w:val="right" w:pos="9355" w:leader="none"/>
              </w:tabs>
              <w:rPr>
                <w:sz w:val="20"/>
                <w:szCs w:val="20"/>
              </w:rPr>
            </w:pPr>
            <w:r>
              <w:rPr>
                <w:sz w:val="20"/>
                <w:szCs w:val="20"/>
              </w:rPr>
            </w:r>
            <w:r>
              <w:rPr>
                <w:sz w:val="20"/>
                <w:szCs w:val="20"/>
              </w:rPr>
            </w:r>
            <w:r>
              <w:rPr>
                <w:sz w:val="20"/>
                <w:szCs w:val="20"/>
              </w:rPr>
            </w:r>
          </w:p>
        </w:tc>
        <w:tc>
          <w:tcPr>
            <w:tcW w:w="2964" w:type="dxa"/>
            <w:vAlign w:val="top"/>
            <w:textDirection w:val="lrTb"/>
            <w:noWrap w:val="false"/>
          </w:tcPr>
          <w:p>
            <w:pPr>
              <w:pStyle w:val="965"/>
              <w:ind w:left="-52" w:firstLine="52"/>
              <w:jc w:val="both"/>
              <w:spacing w:before="40" w:after="40"/>
              <w:rPr>
                <w:bCs/>
                <w:sz w:val="20"/>
                <w:szCs w:val="20"/>
              </w:rPr>
            </w:pPr>
            <w:r>
              <w:rPr>
                <w:bCs/>
                <w:sz w:val="20"/>
                <w:szCs w:val="20"/>
              </w:rPr>
              <w:t xml:space="preserve">Комиссия взимается за кассово-инкассационное </w:t>
            </w:r>
            <w:r>
              <w:rPr>
                <w:sz w:val="20"/>
                <w:szCs w:val="20"/>
              </w:rPr>
              <w:t xml:space="preserve">обслуживание одного информационно-платежного терминала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65"/>
              <w:jc w:val="both"/>
              <w:spacing w:before="40" w:after="40"/>
              <w:tabs>
                <w:tab w:val="center" w:pos="1260" w:leader="none"/>
                <w:tab w:val="right" w:pos="9355" w:leader="none"/>
              </w:tabs>
              <w:rPr>
                <w:sz w:val="20"/>
                <w:szCs w:val="20"/>
              </w:rPr>
            </w:pPr>
            <w:r>
              <w:rPr>
                <w:sz w:val="20"/>
                <w:szCs w:val="20"/>
              </w:rPr>
              <w:t xml:space="preserve">12.5.2.1.</w:t>
            </w:r>
            <w:r>
              <w:rPr>
                <w:sz w:val="20"/>
                <w:szCs w:val="20"/>
              </w:rPr>
            </w:r>
            <w:r>
              <w:rPr>
                <w:sz w:val="20"/>
                <w:szCs w:val="20"/>
              </w:rPr>
            </w:r>
          </w:p>
        </w:tc>
        <w:tc>
          <w:tcPr>
            <w:tcW w:w="3685" w:type="dxa"/>
            <w:vAlign w:val="top"/>
            <w:textDirection w:val="lrTb"/>
            <w:noWrap w:val="false"/>
          </w:tcPr>
          <w:p>
            <w:pPr>
              <w:pStyle w:val="965"/>
              <w:spacing w:before="40" w:after="40"/>
              <w:tabs>
                <w:tab w:val="center" w:pos="1260" w:leader="none"/>
                <w:tab w:val="right" w:pos="9355" w:leader="none"/>
              </w:tabs>
              <w:rPr>
                <w:sz w:val="20"/>
                <w:szCs w:val="20"/>
              </w:rPr>
            </w:pPr>
            <w:r>
              <w:rPr>
                <w:sz w:val="20"/>
                <w:szCs w:val="20"/>
              </w:rPr>
              <w:t xml:space="preserve">Заезд к информационно-платежному терминалу, выгрузка кассет из информационно-платежного терминала и их доставка в кассу подразделения АО «Россельхозбанк»</w:t>
            </w:r>
            <w:r>
              <w:rPr>
                <w:sz w:val="20"/>
                <w:szCs w:val="20"/>
              </w:rPr>
            </w:r>
            <w:r>
              <w:rPr>
                <w:sz w:val="20"/>
                <w:szCs w:val="20"/>
              </w:rPr>
            </w:r>
          </w:p>
        </w:tc>
        <w:tc>
          <w:tcPr>
            <w:tcW w:w="2268" w:type="dxa"/>
            <w:vAlign w:val="top"/>
            <w:textDirection w:val="lrTb"/>
            <w:noWrap w:val="false"/>
          </w:tcPr>
          <w:p>
            <w:pPr>
              <w:pStyle w:val="965"/>
              <w:ind w:hanging="108"/>
              <w:jc w:val="center"/>
              <w:spacing w:before="40" w:after="40"/>
              <w:tabs>
                <w:tab w:val="center" w:pos="1260" w:leader="none"/>
                <w:tab w:val="right" w:pos="9355" w:leader="none"/>
              </w:tabs>
              <w:rPr>
                <w:sz w:val="20"/>
                <w:szCs w:val="20"/>
              </w:rPr>
            </w:pPr>
            <w:r>
              <w:rPr>
                <w:sz w:val="20"/>
                <w:szCs w:val="20"/>
              </w:rPr>
              <w:t xml:space="preserve">Услуга не предоставляется</w:t>
            </w:r>
            <w:r>
              <w:rPr>
                <w:sz w:val="20"/>
                <w:szCs w:val="20"/>
              </w:rPr>
            </w:r>
            <w:r>
              <w:rPr>
                <w:sz w:val="20"/>
                <w:szCs w:val="20"/>
              </w:rPr>
            </w:r>
          </w:p>
        </w:tc>
        <w:tc>
          <w:tcPr>
            <w:tcW w:w="2964" w:type="dxa"/>
            <w:vAlign w:val="top"/>
            <w:textDirection w:val="lrTb"/>
            <w:noWrap w:val="false"/>
          </w:tcPr>
          <w:p>
            <w:pPr>
              <w:pStyle w:val="965"/>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65"/>
              <w:jc w:val="both"/>
              <w:spacing w:before="40" w:after="40"/>
              <w:tabs>
                <w:tab w:val="center" w:pos="1260" w:leader="none"/>
                <w:tab w:val="right" w:pos="9355" w:leader="none"/>
              </w:tabs>
              <w:rPr>
                <w:sz w:val="20"/>
                <w:szCs w:val="20"/>
              </w:rPr>
            </w:pPr>
            <w:r>
              <w:rPr>
                <w:sz w:val="20"/>
                <w:szCs w:val="20"/>
              </w:rPr>
              <w:t xml:space="preserve">12.5.2.2.</w:t>
            </w:r>
            <w:r>
              <w:rPr>
                <w:sz w:val="20"/>
                <w:szCs w:val="20"/>
              </w:rPr>
            </w:r>
            <w:r>
              <w:rPr>
                <w:sz w:val="20"/>
                <w:szCs w:val="20"/>
              </w:rPr>
            </w:r>
          </w:p>
        </w:tc>
        <w:tc>
          <w:tcPr>
            <w:tcW w:w="3685" w:type="dxa"/>
            <w:vAlign w:val="top"/>
            <w:textDirection w:val="lrTb"/>
            <w:noWrap w:val="false"/>
          </w:tcPr>
          <w:p>
            <w:pPr>
              <w:pStyle w:val="965"/>
              <w:spacing w:before="40" w:after="40"/>
              <w:tabs>
                <w:tab w:val="center" w:pos="1260" w:leader="none"/>
                <w:tab w:val="right" w:pos="9355" w:leader="none"/>
              </w:tabs>
              <w:rPr>
                <w:sz w:val="20"/>
                <w:szCs w:val="20"/>
              </w:rPr>
            </w:pPr>
            <w:r>
              <w:rPr>
                <w:sz w:val="20"/>
                <w:szCs w:val="20"/>
              </w:rPr>
              <w:t xml:space="preserve">Выгрузка денежной наличности из кассет информационно-платежного терминала с зачислением на счет респондента</w:t>
            </w:r>
            <w:r>
              <w:rPr>
                <w:sz w:val="20"/>
                <w:szCs w:val="20"/>
              </w:rPr>
            </w:r>
            <w:r>
              <w:rPr>
                <w:sz w:val="20"/>
                <w:szCs w:val="20"/>
              </w:rPr>
            </w:r>
          </w:p>
        </w:tc>
        <w:tc>
          <w:tcPr>
            <w:tcW w:w="2268" w:type="dxa"/>
            <w:vAlign w:val="top"/>
            <w:textDirection w:val="lrTb"/>
            <w:noWrap w:val="false"/>
          </w:tcPr>
          <w:p>
            <w:pPr>
              <w:pStyle w:val="965"/>
              <w:ind w:hanging="108"/>
              <w:jc w:val="center"/>
              <w:spacing w:before="40" w:after="40"/>
              <w:tabs>
                <w:tab w:val="center" w:pos="1260" w:leader="none"/>
                <w:tab w:val="right" w:pos="9355" w:leader="none"/>
              </w:tabs>
              <w:rPr>
                <w:sz w:val="20"/>
                <w:szCs w:val="20"/>
              </w:rPr>
            </w:pPr>
            <w:r>
              <w:rPr>
                <w:sz w:val="20"/>
                <w:szCs w:val="20"/>
              </w:rPr>
              <w:t xml:space="preserve">Услуга не предоставляется</w:t>
            </w:r>
            <w:r>
              <w:rPr>
                <w:sz w:val="20"/>
                <w:szCs w:val="20"/>
              </w:rPr>
            </w:r>
            <w:r>
              <w:rPr>
                <w:sz w:val="20"/>
                <w:szCs w:val="20"/>
              </w:rPr>
            </w:r>
          </w:p>
        </w:tc>
        <w:tc>
          <w:tcPr>
            <w:tcW w:w="2964" w:type="dxa"/>
            <w:vAlign w:val="top"/>
            <w:textDirection w:val="lrTb"/>
            <w:noWrap w:val="false"/>
          </w:tcPr>
          <w:p>
            <w:pPr>
              <w:pStyle w:val="965"/>
              <w:ind w:left="-51" w:firstLine="51"/>
              <w:jc w:val="both"/>
              <w:spacing w:before="40" w:after="40"/>
              <w:rPr>
                <w:bCs/>
                <w:sz w:val="20"/>
                <w:szCs w:val="20"/>
              </w:rPr>
            </w:pPr>
            <w:r>
              <w:rPr>
                <w:sz w:val="20"/>
                <w:szCs w:val="20"/>
              </w:rPr>
              <w:t xml:space="preserve">Комиссия взимается в день зачисления на счет респондента</w:t>
            </w:r>
            <w:r>
              <w:rPr>
                <w:bCs/>
                <w:sz w:val="20"/>
                <w:szCs w:val="20"/>
              </w:rPr>
            </w:r>
            <w:r>
              <w:rPr>
                <w:bCs/>
                <w:sz w:val="20"/>
                <w:szCs w:val="20"/>
              </w:rPr>
            </w:r>
          </w:p>
        </w:tc>
      </w:tr>
    </w:tbl>
    <w:p>
      <w:pPr>
        <w:pStyle w:val="965"/>
        <w:jc w:val="both"/>
        <w:tabs>
          <w:tab w:val="left" w:pos="1276" w:leader="none"/>
        </w:tabs>
        <w:rPr>
          <w:sz w:val="20"/>
          <w:szCs w:val="20"/>
        </w:rPr>
      </w:pPr>
      <w:r>
        <w:rPr>
          <w:sz w:val="20"/>
          <w:szCs w:val="20"/>
        </w:rPr>
      </w:r>
      <w:r>
        <w:rPr>
          <w:sz w:val="20"/>
          <w:szCs w:val="20"/>
        </w:rPr>
      </w:r>
      <w:r>
        <w:rPr>
          <w:sz w:val="20"/>
          <w:szCs w:val="20"/>
        </w:rPr>
      </w:r>
    </w:p>
    <w:p>
      <w:pPr>
        <w:pStyle w:val="965"/>
        <w:jc w:val="both"/>
        <w:tabs>
          <w:tab w:val="left" w:pos="1276" w:leader="none"/>
        </w:tabs>
        <w:rPr>
          <w:sz w:val="16"/>
          <w:szCs w:val="16"/>
        </w:rPr>
      </w:pPr>
      <w:r>
        <w:rPr>
          <w:sz w:val="16"/>
          <w:szCs w:val="16"/>
          <w:u w:val="single"/>
        </w:rPr>
        <w:t xml:space="preserve">Примечание</w:t>
      </w:r>
      <w:r>
        <w:rPr>
          <w:sz w:val="16"/>
          <w:szCs w:val="16"/>
        </w:rPr>
        <w:t xml:space="preserve">:</w:t>
      </w:r>
      <w:r>
        <w:rPr>
          <w:sz w:val="16"/>
          <w:szCs w:val="16"/>
        </w:rPr>
      </w:r>
      <w:r>
        <w:rPr>
          <w:sz w:val="16"/>
          <w:szCs w:val="16"/>
        </w:rPr>
      </w:r>
    </w:p>
    <w:p>
      <w:pPr>
        <w:pStyle w:val="965"/>
        <w:jc w:val="both"/>
        <w:tabs>
          <w:tab w:val="left" w:pos="1276" w:leader="none"/>
        </w:tabs>
        <w:rPr>
          <w:sz w:val="16"/>
          <w:szCs w:val="16"/>
        </w:rPr>
      </w:pPr>
      <w:r>
        <w:rPr>
          <w:sz w:val="16"/>
          <w:szCs w:val="16"/>
        </w:rPr>
        <w:t xml:space="preserve">* </w:t>
      </w:r>
      <w:r>
        <w:rPr>
          <w:b/>
          <w:sz w:val="16"/>
          <w:szCs w:val="16"/>
        </w:rPr>
        <w:t xml:space="preserve">Заезд</w:t>
      </w:r>
      <w:r>
        <w:rPr>
          <w:sz w:val="16"/>
          <w:szCs w:val="16"/>
        </w:rPr>
        <w:t xml:space="preserve"> – прибытие бригады инкассаторских работников в здание клиента/помещение клиента (в здании)</w:t>
      </w:r>
      <w:r>
        <w:rPr>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w:t>
      </w:r>
      <w:r>
        <w:rPr>
          <w:sz w:val="16"/>
          <w:szCs w:val="16"/>
        </w:rPr>
      </w:r>
      <w:r>
        <w:rPr>
          <w:sz w:val="16"/>
          <w:szCs w:val="16"/>
        </w:rPr>
      </w:r>
    </w:p>
    <w:p>
      <w:pPr>
        <w:pStyle w:val="965"/>
        <w:jc w:val="both"/>
        <w:tabs>
          <w:tab w:val="left" w:pos="1276" w:leader="none"/>
        </w:tabs>
        <w:rPr>
          <w:sz w:val="16"/>
          <w:szCs w:val="16"/>
        </w:rPr>
      </w:pPr>
      <w:r>
        <w:rPr>
          <w:sz w:val="16"/>
          <w:szCs w:val="16"/>
        </w:rPr>
        <w:t xml:space="preserve">** </w:t>
      </w:r>
      <w:r>
        <w:rPr>
          <w:b/>
          <w:sz w:val="16"/>
          <w:szCs w:val="16"/>
        </w:rPr>
        <w:t xml:space="preserve">Обслуживание банкомата/информационно-платежного терминала</w:t>
      </w:r>
      <w:r>
        <w:rPr>
          <w:sz w:val="16"/>
          <w:szCs w:val="16"/>
        </w:rPr>
        <w:t xml:space="preserve"> – прибытие бригады инкассаторских работников в кассу клиента для </w:t>
      </w:r>
      <w:r>
        <w:rPr>
          <w:sz w:val="16"/>
          <w:szCs w:val="16"/>
        </w:rPr>
        <w:t xml:space="preserve">получения кассет, подлежащих загрузке в банкомат/информационно-платежный терминал, загрузка/изъятие кассет в/из банкомат(а)/информационно-платежный(ого) терминал(а) и доставка кассет, изъятых из банкомата/информационно-платежного терминала в кассу клиента.</w:t>
      </w:r>
      <w:r>
        <w:rPr>
          <w:sz w:val="16"/>
          <w:szCs w:val="16"/>
        </w:rPr>
      </w:r>
      <w:r>
        <w:rPr>
          <w:sz w:val="16"/>
          <w:szCs w:val="16"/>
        </w:rPr>
      </w:r>
    </w:p>
    <w:p>
      <w:pPr>
        <w:pStyle w:val="965"/>
        <w:jc w:val="both"/>
        <w:tabs>
          <w:tab w:val="left" w:pos="1276" w:leader="none"/>
        </w:tabs>
        <w:rPr>
          <w:sz w:val="16"/>
          <w:szCs w:val="16"/>
        </w:rPr>
      </w:pPr>
      <w:r>
        <w:rPr>
          <w:sz w:val="16"/>
          <w:szCs w:val="16"/>
        </w:rPr>
        <w:t xml:space="preserve">*** </w:t>
      </w:r>
      <w:r>
        <w:rPr>
          <w:b/>
          <w:sz w:val="16"/>
          <w:szCs w:val="16"/>
        </w:rPr>
        <w:t xml:space="preserve">Кассово-инкассационное обслуживание банкомата</w:t>
      </w:r>
      <w:r>
        <w:rPr>
          <w:sz w:val="16"/>
          <w:szCs w:val="16"/>
        </w:rPr>
        <w:t xml:space="preserve"> – загрузка денежной наличности в кассеты банкомата, прибытие бригады инкассаторских работников к банкомату, загр</w:t>
      </w:r>
      <w:r>
        <w:rPr>
          <w:sz w:val="16"/>
          <w:szCs w:val="16"/>
        </w:rPr>
        <w:t xml:space="preserve">узка/изъятие кассет с денежной наличностью в/из банкомат(а), доставка кассет с денежной наличностью, изъятых из банкомата в кассу Банка,  и  пересчет денежной наличности, выгруженной из кассет банкомата, с зачислением денежных средств на счет респондента. </w:t>
      </w:r>
      <w:r>
        <w:rPr>
          <w:sz w:val="16"/>
          <w:szCs w:val="16"/>
        </w:rPr>
      </w:r>
      <w:r>
        <w:rPr>
          <w:sz w:val="16"/>
          <w:szCs w:val="16"/>
        </w:rPr>
      </w:r>
    </w:p>
    <w:p>
      <w:pPr>
        <w:pStyle w:val="965"/>
        <w:jc w:val="both"/>
        <w:spacing w:before="40"/>
        <w:tabs>
          <w:tab w:val="left" w:pos="1276" w:leader="none"/>
        </w:tabs>
        <w:rPr>
          <w:sz w:val="16"/>
          <w:szCs w:val="16"/>
        </w:rPr>
      </w:pPr>
      <w:r>
        <w:rPr>
          <w:b/>
          <w:sz w:val="16"/>
          <w:szCs w:val="16"/>
        </w:rPr>
        <w:t xml:space="preserve">**** Кассово-инкассационное обслуживание информационно-платежного терминала (ИПТ) </w:t>
      </w:r>
      <w:r>
        <w:rPr>
          <w:sz w:val="16"/>
          <w:szCs w:val="16"/>
        </w:rPr>
        <w:t xml:space="preserve">– прибытие бригады инкассаторских работников к ИП</w:t>
      </w:r>
      <w:r>
        <w:rPr>
          <w:sz w:val="16"/>
          <w:szCs w:val="16"/>
        </w:rPr>
        <w:t xml:space="preserve">Т, изъятие кассет с денежной наличностью/загрузка порожних кассет из/в ИПТ, доставка кассет с денежной наличностью, изъятых из ИПТ в кассу Банка, и пересчет денежной наличности, выгруженной из кассет ИПТ, с зачислением денежных средств на счет респондента.</w:t>
      </w:r>
      <w:r>
        <w:rPr>
          <w:sz w:val="16"/>
          <w:szCs w:val="16"/>
        </w:rPr>
      </w:r>
      <w:r>
        <w:rPr>
          <w:sz w:val="16"/>
          <w:szCs w:val="16"/>
        </w:rPr>
      </w:r>
    </w:p>
    <w:sectPr>
      <w:headerReference w:type="default" r:id="rId9"/>
      <w:headerReference w:type="first" r:id="rId10"/>
      <w:footnotePr/>
      <w:endnotePr/>
      <w:type w:val="nextPage"/>
      <w:pgSz w:w="11906" w:h="16838" w:orient="portrait"/>
      <w:pgMar w:top="720" w:right="720" w:bottom="709"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Wingdings">
    <w:panose1 w:val="05000000000000000000"/>
  </w:font>
  <w:font w:name="Courier New">
    <w:panose1 w:val="02070309020205020404"/>
  </w:font>
  <w:font w:name="Symbol">
    <w:panose1 w:val="05050102010706020507"/>
  </w:font>
  <w:font w:name="Calibri">
    <w:panose1 w:val="020F0502020204030204"/>
  </w:font>
  <w:font w:name="Tahoma">
    <w:panose1 w:val="020B0604030504040204"/>
  </w:font>
  <w:font w:name="Times New Roman">
    <w:panose1 w:val="02020603050405020304"/>
  </w:font>
  <w:font w:name="Times New Roman CYR">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65"/>
        <w:jc w:val="both"/>
        <w:rPr>
          <w:bCs/>
          <w:sz w:val="20"/>
          <w:szCs w:val="20"/>
        </w:rPr>
      </w:pPr>
      <w:r>
        <w:rPr>
          <w:rStyle w:val="991"/>
          <w:sz w:val="20"/>
          <w:szCs w:val="20"/>
        </w:rPr>
        <w:footnoteRef/>
      </w:r>
      <w:r>
        <w:rPr>
          <w:sz w:val="20"/>
          <w:szCs w:val="20"/>
        </w:rPr>
        <w:t xml:space="preserve"> [номер сноски указывается в соответствии с нумерацией сносок в </w:t>
      </w:r>
      <w:r>
        <w:rPr>
          <w:bCs/>
          <w:sz w:val="20"/>
          <w:szCs w:val="20"/>
        </w:rPr>
        <w:t xml:space="preserve">Тарифы комиссионного вознаграждения </w:t>
      </w:r>
      <w:r>
        <w:rPr>
          <w:bCs/>
          <w:sz w:val="20"/>
          <w:szCs w:val="20"/>
        </w:rPr>
      </w:r>
      <w:r>
        <w:rPr>
          <w:bCs/>
          <w:sz w:val="20"/>
          <w:szCs w:val="20"/>
        </w:rPr>
      </w:r>
    </w:p>
    <w:p>
      <w:pPr>
        <w:pStyle w:val="989"/>
        <w:jc w:val="both"/>
      </w:pPr>
      <w:r>
        <w:rPr>
          <w:bCs/>
        </w:rPr>
        <w:t xml:space="preserve">АО «Россельхозбанк» на услуги кредитным организациям</w:t>
      </w:r>
      <w:r>
        <w:t xml:space="preserve">]</w:t>
      </w:r>
      <w:r/>
    </w:p>
    <w:p>
      <w:pPr>
        <w:pStyle w:val="989"/>
        <w:jc w:val="both"/>
      </w:pPr>
      <w:r>
        <w:t xml:space="preserve">Пункт не распространяется на корреспондентские счета в драгоценных металлах. </w:t>
      </w:r>
      <w:r/>
    </w:p>
  </w:footnote>
  <w:footnote w:id="3">
    <w:p>
      <w:pPr>
        <w:pStyle w:val="965"/>
        <w:ind w:right="-17"/>
        <w:jc w:val="both"/>
        <w:spacing w:before="40" w:after="40"/>
        <w:tabs>
          <w:tab w:val="left" w:pos="4464" w:leader="none"/>
          <w:tab w:val="left" w:pos="5760" w:leader="none"/>
        </w:tabs>
        <w:rPr>
          <w:sz w:val="20"/>
          <w:szCs w:val="20"/>
          <w:highlight w:val="none"/>
        </w:rPr>
      </w:pPr>
      <w:r>
        <w:rPr>
          <w:rStyle w:val="991"/>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highlight w:val="none"/>
        </w:rPr>
      </w:r>
      <w:r>
        <w:rPr>
          <w:sz w:val="20"/>
          <w:szCs w:val="20"/>
          <w:highlight w:val="none"/>
        </w:rPr>
      </w:r>
    </w:p>
    <w:p>
      <w:pPr>
        <w:pStyle w:val="965"/>
        <w:ind w:right="-17"/>
        <w:jc w:val="both"/>
        <w:spacing w:before="40" w:after="40"/>
        <w:tabs>
          <w:tab w:val="left" w:pos="4464" w:leader="none"/>
          <w:tab w:val="left" w:pos="5760" w:leader="none"/>
        </w:tabs>
        <w:rPr>
          <w:sz w:val="20"/>
          <w:szCs w:val="20"/>
          <w:highlight w:val="none"/>
        </w:rPr>
      </w:pPr>
      <w:r>
        <w:rPr>
          <w:sz w:val="20"/>
          <w:szCs w:val="20"/>
          <w:vertAlign w:val="superscript"/>
        </w:rPr>
        <w:t xml:space="preserve">3</w:t>
      </w:r>
      <w:r>
        <w:rPr>
          <w:sz w:val="20"/>
          <w:szCs w:val="20"/>
        </w:rPr>
        <w:t xml:space="preserve"> </w:t>
      </w:r>
      <w:r>
        <w:rPr>
          <w:bCs/>
          <w:iCs/>
          <w:sz w:val="20"/>
          <w:szCs w:val="20"/>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sz w:val="20"/>
          <w:szCs w:val="20"/>
          <w:highlight w:val="none"/>
        </w:rPr>
      </w:r>
      <w:r>
        <w:rPr>
          <w:sz w:val="20"/>
          <w:szCs w:val="20"/>
          <w:highlight w:val="none"/>
        </w:rPr>
      </w:r>
    </w:p>
    <w:p>
      <w:pPr>
        <w:ind w:right="-17"/>
        <w:jc w:val="both"/>
        <w:spacing w:before="40" w:after="40"/>
        <w:tabs>
          <w:tab w:val="left" w:pos="4464" w:leader="none"/>
          <w:tab w:val="left" w:pos="5760" w:leader="none"/>
        </w:tabs>
        <w:rPr>
          <w:sz w:val="20"/>
          <w:szCs w:val="20"/>
        </w:rPr>
      </w:pPr>
      <w:r>
        <w:rPr>
          <w:sz w:val="20"/>
          <w:szCs w:val="20"/>
          <w:highlight w:val="none"/>
        </w:rPr>
      </w:r>
      <w:r>
        <w:rPr>
          <w:sz w:val="20"/>
          <w:szCs w:val="20"/>
          <w:highlight w:val="none"/>
        </w:rPr>
      </w:r>
      <w:r>
        <w:rPr>
          <w:sz w:val="20"/>
          <w:szCs w:val="20"/>
        </w:rPr>
      </w:r>
    </w:p>
  </w:footnote>
  <w:footnote w:id="4">
    <w:p>
      <w:pPr>
        <w:pStyle w:val="965"/>
        <w:ind w:left="-52"/>
        <w:jc w:val="both"/>
        <w:rPr>
          <w:sz w:val="16"/>
          <w:szCs w:val="16"/>
        </w:rPr>
      </w:pPr>
      <w:r>
        <w:rPr>
          <w:rStyle w:val="991"/>
          <w:sz w:val="16"/>
          <w:szCs w:val="16"/>
        </w:rPr>
        <w:footnoteRef/>
      </w:r>
      <w:r>
        <w:rPr>
          <w:sz w:val="16"/>
          <w:szCs w:val="16"/>
        </w:rPr>
        <w:t xml:space="preserve"> </w:t>
      </w:r>
      <w:r>
        <w:rPr>
          <w:bCs/>
          <w:sz w:val="16"/>
          <w:szCs w:val="16"/>
        </w:rPr>
        <w:t xml:space="preserve">При наличии корреспондентского счета в АО «Россельхозбанк».</w:t>
      </w:r>
      <w:r>
        <w:rPr>
          <w:sz w:val="16"/>
          <w:szCs w:val="16"/>
        </w:rPr>
      </w:r>
      <w:r>
        <w:rPr>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2"/>
      <w:rPr>
        <w:rStyle w:val="986"/>
      </w:rPr>
      <w:framePr w:vAnchor="text" w:hAnchor="margin" w:xAlign="center" w:y="1"/>
    </w:pPr>
    <w:r>
      <w:rPr>
        <w:rStyle w:val="986"/>
      </w:rPr>
      <w:fldChar w:fldCharType="begin"/>
    </w:r>
    <w:r>
      <w:rPr>
        <w:rStyle w:val="986"/>
      </w:rPr>
      <w:instrText xml:space="preserve">PAGE  </w:instrText>
    </w:r>
    <w:r>
      <w:rPr>
        <w:rStyle w:val="986"/>
      </w:rPr>
      <w:fldChar w:fldCharType="separate"/>
    </w:r>
    <w:r>
      <w:rPr>
        <w:rStyle w:val="986"/>
      </w:rPr>
      <w:t xml:space="preserve">19</w:t>
    </w:r>
    <w:r>
      <w:rPr>
        <w:rStyle w:val="986"/>
      </w:rPr>
      <w:fldChar w:fldCharType="end"/>
    </w:r>
    <w:r>
      <w:rPr>
        <w:rStyle w:val="986"/>
      </w:rPr>
    </w:r>
    <w:r>
      <w:rPr>
        <w:rStyle w:val="986"/>
      </w:rPr>
    </w:r>
  </w:p>
  <w:p>
    <w:pPr>
      <w:pStyle w:val="98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2"/>
      <w:rPr>
        <w:color w:val="ffffff"/>
        <w:sz w:val="24"/>
        <w:szCs w:val="24"/>
        <w:lang w:val="ru-RU"/>
      </w:rPr>
    </w:pPr>
    <w:r>
      <w:rPr>
        <w:color w:val="ffffff"/>
        <w:sz w:val="24"/>
        <w:szCs w:val="24"/>
        <w:lang w:val="ru-RU"/>
      </w:rPr>
      <w:t xml:space="preserve">2013.09.26</w:t>
    </w:r>
    <w:r>
      <w:rPr>
        <w:color w:val="ffffff"/>
        <w:sz w:val="24"/>
        <w:szCs w:val="24"/>
        <w:lang w:val="ru-RU"/>
      </w:rPr>
    </w:r>
    <w:r>
      <w:rPr>
        <w:color w:val="ffffff"/>
        <w:sz w:val="24"/>
        <w:szCs w:val="24"/>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1002"/>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284" w:hanging="284"/>
        <w:tabs>
          <w:tab w:val="num" w:pos="3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
    <w:multiLevelType w:val="hybridMultilevel"/>
    <w:lvl w:ilvl="0">
      <w:start w:val="7"/>
      <w:numFmt w:val="bullet"/>
      <w:isLgl w:val="false"/>
      <w:suff w:val="tab"/>
      <w:lvlText w:val=""/>
      <w:lvlJc w:val="left"/>
      <w:pPr>
        <w:ind w:left="720" w:hanging="360"/>
      </w:pPr>
      <w:rPr>
        <w:rFonts w:ascii="Symbol" w:hAnsi="Symbol" w:eastAsia="Times New Roman" w:cs="Times New Roman"/>
        <w:b w:val="0"/>
        <w:i/>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1260" w:hanging="360"/>
        <w:tabs>
          <w:tab w:val="num" w:pos="12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0"/>
      <w:numFmt w:val="bullet"/>
      <w:isLgl w:val="false"/>
      <w:suff w:val="tab"/>
      <w:lvlText w:val=""/>
      <w:lvlJc w:val="left"/>
      <w:pPr>
        <w:ind w:left="2782" w:hanging="360"/>
        <w:tabs>
          <w:tab w:val="num" w:pos="2782" w:leader="none"/>
        </w:tabs>
      </w:pPr>
      <w:rPr>
        <w:rFonts w:ascii="Symbol" w:hAnsi="Symbol" w:eastAsia="Times New Roman" w:cs="Times New Roman"/>
        <w:i w:val="0"/>
        <w:color w:val="000000"/>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bullet"/>
      <w:isLgl w:val="false"/>
      <w:suff w:val="tab"/>
      <w:lvlText w:val=""/>
      <w:lvlJc w:val="left"/>
      <w:pPr>
        <w:ind w:left="1020" w:hanging="360"/>
      </w:pPr>
      <w:rPr>
        <w:rFonts w:ascii="Symbol" w:hAnsi="Symbol"/>
      </w:rPr>
    </w:lvl>
    <w:lvl w:ilvl="1">
      <w:start w:val="1"/>
      <w:numFmt w:val="bullet"/>
      <w:isLgl w:val="false"/>
      <w:suff w:val="tab"/>
      <w:lvlText w:val="o"/>
      <w:lvlJc w:val="left"/>
      <w:pPr>
        <w:ind w:left="1740" w:hanging="360"/>
      </w:pPr>
      <w:rPr>
        <w:rFonts w:ascii="Courier New" w:hAnsi="Courier New"/>
      </w:rPr>
    </w:lvl>
    <w:lvl w:ilvl="2">
      <w:start w:val="1"/>
      <w:numFmt w:val="bullet"/>
      <w:isLgl w:val="false"/>
      <w:suff w:val="tab"/>
      <w:lvlText w:val=""/>
      <w:lvlJc w:val="left"/>
      <w:pPr>
        <w:ind w:left="2460" w:hanging="360"/>
      </w:pPr>
      <w:rPr>
        <w:rFonts w:ascii="Wingdings" w:hAnsi="Wingdings"/>
      </w:rPr>
    </w:lvl>
    <w:lvl w:ilvl="3">
      <w:start w:val="1"/>
      <w:numFmt w:val="bullet"/>
      <w:isLgl w:val="false"/>
      <w:suff w:val="tab"/>
      <w:lvlText w:val=""/>
      <w:lvlJc w:val="left"/>
      <w:pPr>
        <w:ind w:left="3180" w:hanging="360"/>
      </w:pPr>
      <w:rPr>
        <w:rFonts w:ascii="Symbol" w:hAnsi="Symbol"/>
      </w:rPr>
    </w:lvl>
    <w:lvl w:ilvl="4">
      <w:start w:val="1"/>
      <w:numFmt w:val="bullet"/>
      <w:isLgl w:val="false"/>
      <w:suff w:val="tab"/>
      <w:lvlText w:val="o"/>
      <w:lvlJc w:val="left"/>
      <w:pPr>
        <w:ind w:left="3900" w:hanging="360"/>
      </w:pPr>
      <w:rPr>
        <w:rFonts w:ascii="Courier New" w:hAnsi="Courier New"/>
      </w:rPr>
    </w:lvl>
    <w:lvl w:ilvl="5">
      <w:start w:val="1"/>
      <w:numFmt w:val="bullet"/>
      <w:isLgl w:val="false"/>
      <w:suff w:val="tab"/>
      <w:lvlText w:val=""/>
      <w:lvlJc w:val="left"/>
      <w:pPr>
        <w:ind w:left="4620" w:hanging="360"/>
      </w:pPr>
      <w:rPr>
        <w:rFonts w:ascii="Wingdings" w:hAnsi="Wingdings"/>
      </w:rPr>
    </w:lvl>
    <w:lvl w:ilvl="6">
      <w:start w:val="1"/>
      <w:numFmt w:val="bullet"/>
      <w:isLgl w:val="false"/>
      <w:suff w:val="tab"/>
      <w:lvlText w:val=""/>
      <w:lvlJc w:val="left"/>
      <w:pPr>
        <w:ind w:left="5340" w:hanging="360"/>
      </w:pPr>
      <w:rPr>
        <w:rFonts w:ascii="Symbol" w:hAnsi="Symbol"/>
      </w:rPr>
    </w:lvl>
    <w:lvl w:ilvl="7">
      <w:start w:val="1"/>
      <w:numFmt w:val="bullet"/>
      <w:isLgl w:val="false"/>
      <w:suff w:val="tab"/>
      <w:lvlText w:val="o"/>
      <w:lvlJc w:val="left"/>
      <w:pPr>
        <w:ind w:left="6060" w:hanging="360"/>
      </w:pPr>
      <w:rPr>
        <w:rFonts w:ascii="Courier New" w:hAnsi="Courier New"/>
      </w:rPr>
    </w:lvl>
    <w:lvl w:ilvl="8">
      <w:start w:val="1"/>
      <w:numFmt w:val="bullet"/>
      <w:isLgl w:val="false"/>
      <w:suff w:val="tab"/>
      <w:lvlText w:val=""/>
      <w:lvlJc w:val="left"/>
      <w:pPr>
        <w:ind w:left="6780" w:hanging="360"/>
      </w:pPr>
      <w:rPr>
        <w:rFonts w:ascii="Wingdings" w:hAnsi="Wingdings"/>
      </w:rPr>
    </w:lvl>
  </w:abstractNum>
  <w:abstractNum w:abstractNumId="1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2">
    <w:multiLevelType w:val="hybridMultilevel"/>
    <w:lvl w:ilvl="0">
      <w:start w:val="0"/>
      <w:numFmt w:val="bullet"/>
      <w:isLgl w:val="false"/>
      <w:suff w:val="tab"/>
      <w:lvlText w:val=""/>
      <w:lvlJc w:val="left"/>
      <w:pPr>
        <w:ind w:left="792" w:hanging="360"/>
        <w:tabs>
          <w:tab w:val="num" w:pos="792" w:leader="none"/>
        </w:tabs>
      </w:pPr>
      <w:rPr>
        <w:rFonts w:ascii="Symbol" w:hAnsi="Symbol" w:eastAsia="Times New Roman"/>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3">
    <w:multiLevelType w:val="hybridMultilevel"/>
    <w:lvl w:ilvl="0">
      <w:start w:val="1"/>
      <w:numFmt w:val="bullet"/>
      <w:isLgl w:val="false"/>
      <w:suff w:val="tab"/>
      <w:lvlText w:val=""/>
      <w:lvlJc w:val="left"/>
      <w:pPr>
        <w:ind w:left="1402" w:hanging="360"/>
        <w:tabs>
          <w:tab w:val="num" w:pos="1402" w:leader="none"/>
        </w:tabs>
      </w:pPr>
      <w:rPr>
        <w:rFonts w:ascii="Symbol" w:hAnsi="Symbol"/>
      </w:rPr>
    </w:lvl>
    <w:lvl w:ilvl="1">
      <w:start w:val="1"/>
      <w:numFmt w:val="bullet"/>
      <w:isLgl w:val="false"/>
      <w:suff w:val="tab"/>
      <w:lvlText w:val="o"/>
      <w:lvlJc w:val="left"/>
      <w:pPr>
        <w:ind w:left="1470" w:hanging="360"/>
        <w:tabs>
          <w:tab w:val="num" w:pos="1470" w:leader="none"/>
        </w:tabs>
      </w:pPr>
      <w:rPr>
        <w:rFonts w:ascii="Courier New" w:hAnsi="Courier New"/>
      </w:rPr>
    </w:lvl>
    <w:lvl w:ilvl="2">
      <w:start w:val="1"/>
      <w:numFmt w:val="bullet"/>
      <w:isLgl w:val="false"/>
      <w:suff w:val="tab"/>
      <w:lvlText w:val=""/>
      <w:lvlJc w:val="left"/>
      <w:pPr>
        <w:ind w:left="2190" w:hanging="360"/>
        <w:tabs>
          <w:tab w:val="num" w:pos="2190" w:leader="none"/>
        </w:tabs>
      </w:pPr>
      <w:rPr>
        <w:rFonts w:ascii="Wingdings" w:hAnsi="Wingdings"/>
      </w:rPr>
    </w:lvl>
    <w:lvl w:ilvl="3">
      <w:start w:val="1"/>
      <w:numFmt w:val="bullet"/>
      <w:isLgl w:val="false"/>
      <w:suff w:val="tab"/>
      <w:lvlText w:val=""/>
      <w:lvlJc w:val="left"/>
      <w:pPr>
        <w:ind w:left="2910" w:hanging="360"/>
        <w:tabs>
          <w:tab w:val="num" w:pos="2910" w:leader="none"/>
        </w:tabs>
      </w:pPr>
      <w:rPr>
        <w:rFonts w:ascii="Symbol" w:hAnsi="Symbol"/>
      </w:rPr>
    </w:lvl>
    <w:lvl w:ilvl="4">
      <w:start w:val="1"/>
      <w:numFmt w:val="bullet"/>
      <w:isLgl w:val="false"/>
      <w:suff w:val="tab"/>
      <w:lvlText w:val="o"/>
      <w:lvlJc w:val="left"/>
      <w:pPr>
        <w:ind w:left="3630" w:hanging="360"/>
        <w:tabs>
          <w:tab w:val="num" w:pos="3630" w:leader="none"/>
        </w:tabs>
      </w:pPr>
      <w:rPr>
        <w:rFonts w:ascii="Courier New" w:hAnsi="Courier New"/>
      </w:rPr>
    </w:lvl>
    <w:lvl w:ilvl="5">
      <w:start w:val="1"/>
      <w:numFmt w:val="bullet"/>
      <w:isLgl w:val="false"/>
      <w:suff w:val="tab"/>
      <w:lvlText w:val=""/>
      <w:lvlJc w:val="left"/>
      <w:pPr>
        <w:ind w:left="4350" w:hanging="360"/>
        <w:tabs>
          <w:tab w:val="num" w:pos="4350" w:leader="none"/>
        </w:tabs>
      </w:pPr>
      <w:rPr>
        <w:rFonts w:ascii="Wingdings" w:hAnsi="Wingdings"/>
      </w:rPr>
    </w:lvl>
    <w:lvl w:ilvl="6">
      <w:start w:val="1"/>
      <w:numFmt w:val="bullet"/>
      <w:isLgl w:val="false"/>
      <w:suff w:val="tab"/>
      <w:lvlText w:val=""/>
      <w:lvlJc w:val="left"/>
      <w:pPr>
        <w:ind w:left="5070" w:hanging="360"/>
        <w:tabs>
          <w:tab w:val="num" w:pos="5070" w:leader="none"/>
        </w:tabs>
      </w:pPr>
      <w:rPr>
        <w:rFonts w:ascii="Symbol" w:hAnsi="Symbol"/>
      </w:rPr>
    </w:lvl>
    <w:lvl w:ilvl="7">
      <w:start w:val="1"/>
      <w:numFmt w:val="bullet"/>
      <w:isLgl w:val="false"/>
      <w:suff w:val="tab"/>
      <w:lvlText w:val="o"/>
      <w:lvlJc w:val="left"/>
      <w:pPr>
        <w:ind w:left="5790" w:hanging="360"/>
        <w:tabs>
          <w:tab w:val="num" w:pos="5790" w:leader="none"/>
        </w:tabs>
      </w:pPr>
      <w:rPr>
        <w:rFonts w:ascii="Courier New" w:hAnsi="Courier New"/>
      </w:rPr>
    </w:lvl>
    <w:lvl w:ilvl="8">
      <w:start w:val="1"/>
      <w:numFmt w:val="bullet"/>
      <w:isLgl w:val="false"/>
      <w:suff w:val="tab"/>
      <w:lvlText w:val=""/>
      <w:lvlJc w:val="left"/>
      <w:pPr>
        <w:ind w:left="6510" w:hanging="360"/>
        <w:tabs>
          <w:tab w:val="num" w:pos="651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0"/>
      <w:numFmt w:val="bullet"/>
      <w:isLgl w:val="false"/>
      <w:suff w:val="tab"/>
      <w:lvlText w:val="-"/>
      <w:lvlJc w:val="left"/>
      <w:pPr>
        <w:ind w:left="1554" w:hanging="360"/>
        <w:tabs>
          <w:tab w:val="num" w:pos="1554" w:leader="none"/>
        </w:tabs>
      </w:pPr>
      <w:rPr>
        <w:rFonts w:ascii="Times New Roman" w:hAnsi="Times New Roman" w:eastAsia="Times New Roman"/>
      </w:rPr>
    </w:lvl>
    <w:lvl w:ilvl="1">
      <w:start w:val="1"/>
      <w:numFmt w:val="bullet"/>
      <w:isLgl w:val="false"/>
      <w:suff w:val="tab"/>
      <w:lvlText w:val="o"/>
      <w:lvlJc w:val="left"/>
      <w:pPr>
        <w:ind w:left="2149" w:hanging="360"/>
        <w:tabs>
          <w:tab w:val="num" w:pos="2149" w:leader="none"/>
        </w:tabs>
      </w:pPr>
      <w:rPr>
        <w:rFonts w:ascii="Courier New" w:hAnsi="Courier New"/>
      </w:rPr>
    </w:lvl>
    <w:lvl w:ilvl="2">
      <w:start w:val="1"/>
      <w:numFmt w:val="bullet"/>
      <w:isLgl w:val="false"/>
      <w:suff w:val="tab"/>
      <w:lvlText w:val=""/>
      <w:lvlJc w:val="left"/>
      <w:pPr>
        <w:ind w:left="2869" w:hanging="360"/>
        <w:tabs>
          <w:tab w:val="num" w:pos="2869" w:leader="none"/>
        </w:tabs>
      </w:pPr>
      <w:rPr>
        <w:rFonts w:ascii="Wingdings" w:hAnsi="Wingdings"/>
      </w:rPr>
    </w:lvl>
    <w:lvl w:ilvl="3">
      <w:start w:val="1"/>
      <w:numFmt w:val="bullet"/>
      <w:isLgl w:val="false"/>
      <w:suff w:val="tab"/>
      <w:lvlText w:val=""/>
      <w:lvlJc w:val="left"/>
      <w:pPr>
        <w:ind w:left="3589" w:hanging="360"/>
        <w:tabs>
          <w:tab w:val="num" w:pos="3589" w:leader="none"/>
        </w:tabs>
      </w:pPr>
      <w:rPr>
        <w:rFonts w:ascii="Symbol" w:hAnsi="Symbol"/>
      </w:rPr>
    </w:lvl>
    <w:lvl w:ilvl="4">
      <w:start w:val="1"/>
      <w:numFmt w:val="bullet"/>
      <w:isLgl w:val="false"/>
      <w:suff w:val="tab"/>
      <w:lvlText w:val="o"/>
      <w:lvlJc w:val="left"/>
      <w:pPr>
        <w:ind w:left="4309" w:hanging="360"/>
        <w:tabs>
          <w:tab w:val="num" w:pos="4309" w:leader="none"/>
        </w:tabs>
      </w:pPr>
      <w:rPr>
        <w:rFonts w:ascii="Courier New" w:hAnsi="Courier New"/>
      </w:rPr>
    </w:lvl>
    <w:lvl w:ilvl="5">
      <w:start w:val="1"/>
      <w:numFmt w:val="bullet"/>
      <w:isLgl w:val="false"/>
      <w:suff w:val="tab"/>
      <w:lvlText w:val=""/>
      <w:lvlJc w:val="left"/>
      <w:pPr>
        <w:ind w:left="5029" w:hanging="360"/>
        <w:tabs>
          <w:tab w:val="num" w:pos="5029" w:leader="none"/>
        </w:tabs>
      </w:pPr>
      <w:rPr>
        <w:rFonts w:ascii="Wingdings" w:hAnsi="Wingdings"/>
      </w:rPr>
    </w:lvl>
    <w:lvl w:ilvl="6">
      <w:start w:val="1"/>
      <w:numFmt w:val="bullet"/>
      <w:isLgl w:val="false"/>
      <w:suff w:val="tab"/>
      <w:lvlText w:val=""/>
      <w:lvlJc w:val="left"/>
      <w:pPr>
        <w:ind w:left="5749" w:hanging="360"/>
        <w:tabs>
          <w:tab w:val="num" w:pos="5749" w:leader="none"/>
        </w:tabs>
      </w:pPr>
      <w:rPr>
        <w:rFonts w:ascii="Symbol" w:hAnsi="Symbol"/>
      </w:rPr>
    </w:lvl>
    <w:lvl w:ilvl="7">
      <w:start w:val="1"/>
      <w:numFmt w:val="bullet"/>
      <w:isLgl w:val="false"/>
      <w:suff w:val="tab"/>
      <w:lvlText w:val="o"/>
      <w:lvlJc w:val="left"/>
      <w:pPr>
        <w:ind w:left="6469" w:hanging="360"/>
        <w:tabs>
          <w:tab w:val="num" w:pos="6469" w:leader="none"/>
        </w:tabs>
      </w:pPr>
      <w:rPr>
        <w:rFonts w:ascii="Courier New" w:hAnsi="Courier New"/>
      </w:rPr>
    </w:lvl>
    <w:lvl w:ilvl="8">
      <w:start w:val="1"/>
      <w:numFmt w:val="bullet"/>
      <w:isLgl w:val="false"/>
      <w:suff w:val="tab"/>
      <w:lvlText w:val=""/>
      <w:lvlJc w:val="left"/>
      <w:pPr>
        <w:ind w:left="7189" w:hanging="360"/>
        <w:tabs>
          <w:tab w:val="num" w:pos="7189" w:leader="none"/>
        </w:tabs>
      </w:pPr>
      <w:rPr>
        <w:rFonts w:ascii="Wingdings" w:hAnsi="Wingdings"/>
      </w:rPr>
    </w:lvl>
  </w:abstractNum>
  <w:abstractNum w:abstractNumId="16">
    <w:multiLevelType w:val="hybridMultilevel"/>
    <w:lvl w:ilvl="0">
      <w:start w:val="1"/>
      <w:numFmt w:val="bullet"/>
      <w:isLgl w:val="false"/>
      <w:suff w:val="tab"/>
      <w:lvlText w:val=""/>
      <w:lvlJc w:val="left"/>
      <w:pPr>
        <w:ind w:left="1152" w:hanging="360"/>
        <w:tabs>
          <w:tab w:val="num" w:pos="1152" w:leader="none"/>
        </w:tabs>
      </w:pPr>
      <w:rPr>
        <w:rFonts w:ascii="Symbol" w:hAnsi="Symbol"/>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7">
    <w:multiLevelType w:val="hybridMultilevel"/>
    <w:lvl w:ilvl="0">
      <w:start w:val="1"/>
      <w:numFmt w:val="bullet"/>
      <w:isLgl w:val="false"/>
      <w:suff w:val="tab"/>
      <w:lvlText w:val=""/>
      <w:lvlJc w:val="left"/>
      <w:pPr>
        <w:ind w:left="900" w:hanging="360"/>
        <w:tabs>
          <w:tab w:val="num" w:pos="900" w:leader="none"/>
        </w:tabs>
      </w:pPr>
      <w:rPr>
        <w:rFonts w:ascii="Symbol" w:hAnsi="Symbol"/>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rPr>
    </w:lvl>
    <w:lvl w:ilvl="8">
      <w:start w:val="1"/>
      <w:numFmt w:val="bullet"/>
      <w:isLgl w:val="false"/>
      <w:suff w:val="tab"/>
      <w:lvlText w:val=""/>
      <w:lvlJc w:val="left"/>
      <w:pPr>
        <w:ind w:left="6120" w:hanging="360"/>
        <w:tabs>
          <w:tab w:val="num" w:pos="6120" w:leader="none"/>
        </w:tabs>
      </w:pPr>
      <w:rPr>
        <w:rFonts w:ascii="Wingdings" w:hAnsi="Wingdings"/>
      </w:rPr>
    </w:lvl>
  </w:abstractNum>
  <w:num w:numId="1">
    <w:abstractNumId w:val="17"/>
  </w:num>
  <w:num w:numId="2">
    <w:abstractNumId w:val="13"/>
  </w:num>
  <w:num w:numId="3">
    <w:abstractNumId w:val="16"/>
  </w:num>
  <w:num w:numId="4">
    <w:abstractNumId w:val="1"/>
  </w:num>
  <w:num w:numId="5">
    <w:abstractNumId w:val="12"/>
  </w:num>
  <w:num w:numId="6">
    <w:abstractNumId w:val="15"/>
  </w:num>
  <w:num w:numId="7">
    <w:abstractNumId w:val="10"/>
  </w:num>
  <w:num w:numId="8">
    <w:abstractNumId w:val="19"/>
  </w:num>
  <w:num w:numId="9">
    <w:abstractNumId w:val="6"/>
  </w:num>
  <w:num w:numId="10">
    <w:abstractNumId w:val="2"/>
  </w:num>
  <w:num w:numId="11">
    <w:abstractNumId w:val="8"/>
  </w:num>
  <w:num w:numId="12">
    <w:abstractNumId w:val="0"/>
  </w:num>
  <w:num w:numId="13">
    <w:abstractNumId w:val="3"/>
  </w:num>
  <w:num w:numId="14">
    <w:abstractNumId w:val="9"/>
  </w:num>
  <w:num w:numId="15">
    <w:abstractNumId w:val="18"/>
  </w:num>
  <w:num w:numId="16">
    <w:abstractNumId w:val="7"/>
  </w:num>
  <w:num w:numId="17">
    <w:abstractNumId w:val="4"/>
  </w:num>
  <w:num w:numId="18">
    <w:abstractNumId w:val="11"/>
  </w:num>
  <w:num w:numId="19">
    <w:abstractNumId w:val="14"/>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87">
    <w:name w:val="Heading 1"/>
    <w:basedOn w:val="965"/>
    <w:next w:val="965"/>
    <w:link w:val="788"/>
    <w:uiPriority w:val="9"/>
    <w:qFormat/>
    <w:pPr>
      <w:keepLines/>
      <w:keepNext/>
      <w:spacing w:before="480" w:after="200"/>
      <w:outlineLvl w:val="0"/>
    </w:pPr>
    <w:rPr>
      <w:rFonts w:ascii="Arial" w:hAnsi="Arial" w:eastAsia="Arial" w:cs="Arial"/>
      <w:sz w:val="40"/>
      <w:szCs w:val="40"/>
    </w:rPr>
  </w:style>
  <w:style w:type="character" w:styleId="788">
    <w:name w:val="Heading 1 Char"/>
    <w:link w:val="787"/>
    <w:uiPriority w:val="9"/>
    <w:rPr>
      <w:rFonts w:ascii="Arial" w:hAnsi="Arial" w:eastAsia="Arial" w:cs="Arial"/>
      <w:sz w:val="40"/>
      <w:szCs w:val="40"/>
    </w:rPr>
  </w:style>
  <w:style w:type="paragraph" w:styleId="789">
    <w:name w:val="Heading 2"/>
    <w:basedOn w:val="965"/>
    <w:next w:val="965"/>
    <w:link w:val="790"/>
    <w:uiPriority w:val="9"/>
    <w:unhideWhenUsed/>
    <w:qFormat/>
    <w:pPr>
      <w:keepLines/>
      <w:keepNext/>
      <w:spacing w:before="360" w:after="200"/>
      <w:outlineLvl w:val="1"/>
    </w:pPr>
    <w:rPr>
      <w:rFonts w:ascii="Arial" w:hAnsi="Arial" w:eastAsia="Arial" w:cs="Arial"/>
      <w:sz w:val="34"/>
    </w:rPr>
  </w:style>
  <w:style w:type="character" w:styleId="790">
    <w:name w:val="Heading 2 Char"/>
    <w:link w:val="789"/>
    <w:uiPriority w:val="9"/>
    <w:rPr>
      <w:rFonts w:ascii="Arial" w:hAnsi="Arial" w:eastAsia="Arial" w:cs="Arial"/>
      <w:sz w:val="34"/>
    </w:rPr>
  </w:style>
  <w:style w:type="paragraph" w:styleId="791">
    <w:name w:val="Heading 3"/>
    <w:basedOn w:val="965"/>
    <w:next w:val="965"/>
    <w:link w:val="792"/>
    <w:uiPriority w:val="9"/>
    <w:unhideWhenUsed/>
    <w:qFormat/>
    <w:pPr>
      <w:keepLines/>
      <w:keepNext/>
      <w:spacing w:before="320" w:after="200"/>
      <w:outlineLvl w:val="2"/>
    </w:pPr>
    <w:rPr>
      <w:rFonts w:ascii="Arial" w:hAnsi="Arial" w:eastAsia="Arial" w:cs="Arial"/>
      <w:sz w:val="30"/>
      <w:szCs w:val="30"/>
    </w:rPr>
  </w:style>
  <w:style w:type="character" w:styleId="792">
    <w:name w:val="Heading 3 Char"/>
    <w:link w:val="791"/>
    <w:uiPriority w:val="9"/>
    <w:rPr>
      <w:rFonts w:ascii="Arial" w:hAnsi="Arial" w:eastAsia="Arial" w:cs="Arial"/>
      <w:sz w:val="30"/>
      <w:szCs w:val="30"/>
    </w:rPr>
  </w:style>
  <w:style w:type="paragraph" w:styleId="793">
    <w:name w:val="Heading 4"/>
    <w:basedOn w:val="965"/>
    <w:next w:val="965"/>
    <w:link w:val="794"/>
    <w:uiPriority w:val="9"/>
    <w:unhideWhenUsed/>
    <w:qFormat/>
    <w:pPr>
      <w:keepLines/>
      <w:keepNext/>
      <w:spacing w:before="320" w:after="200"/>
      <w:outlineLvl w:val="3"/>
    </w:pPr>
    <w:rPr>
      <w:rFonts w:ascii="Arial" w:hAnsi="Arial" w:eastAsia="Arial" w:cs="Arial"/>
      <w:b/>
      <w:bCs/>
      <w:sz w:val="26"/>
      <w:szCs w:val="26"/>
    </w:rPr>
  </w:style>
  <w:style w:type="character" w:styleId="794">
    <w:name w:val="Heading 4 Char"/>
    <w:link w:val="793"/>
    <w:uiPriority w:val="9"/>
    <w:rPr>
      <w:rFonts w:ascii="Arial" w:hAnsi="Arial" w:eastAsia="Arial" w:cs="Arial"/>
      <w:b/>
      <w:bCs/>
      <w:sz w:val="26"/>
      <w:szCs w:val="26"/>
    </w:rPr>
  </w:style>
  <w:style w:type="paragraph" w:styleId="795">
    <w:name w:val="Heading 5"/>
    <w:basedOn w:val="965"/>
    <w:next w:val="965"/>
    <w:link w:val="796"/>
    <w:uiPriority w:val="9"/>
    <w:unhideWhenUsed/>
    <w:qFormat/>
    <w:pPr>
      <w:keepLines/>
      <w:keepNext/>
      <w:spacing w:before="320" w:after="200"/>
      <w:outlineLvl w:val="4"/>
    </w:pPr>
    <w:rPr>
      <w:rFonts w:ascii="Arial" w:hAnsi="Arial" w:eastAsia="Arial" w:cs="Arial"/>
      <w:b/>
      <w:bCs/>
      <w:sz w:val="24"/>
      <w:szCs w:val="24"/>
    </w:rPr>
  </w:style>
  <w:style w:type="character" w:styleId="796">
    <w:name w:val="Heading 5 Char"/>
    <w:link w:val="795"/>
    <w:uiPriority w:val="9"/>
    <w:rPr>
      <w:rFonts w:ascii="Arial" w:hAnsi="Arial" w:eastAsia="Arial" w:cs="Arial"/>
      <w:b/>
      <w:bCs/>
      <w:sz w:val="24"/>
      <w:szCs w:val="24"/>
    </w:rPr>
  </w:style>
  <w:style w:type="paragraph" w:styleId="797">
    <w:name w:val="Heading 6"/>
    <w:basedOn w:val="965"/>
    <w:next w:val="965"/>
    <w:link w:val="798"/>
    <w:uiPriority w:val="9"/>
    <w:unhideWhenUsed/>
    <w:qFormat/>
    <w:pPr>
      <w:keepLines/>
      <w:keepNext/>
      <w:spacing w:before="320" w:after="200"/>
      <w:outlineLvl w:val="5"/>
    </w:pPr>
    <w:rPr>
      <w:rFonts w:ascii="Arial" w:hAnsi="Arial" w:eastAsia="Arial" w:cs="Arial"/>
      <w:b/>
      <w:bCs/>
      <w:sz w:val="22"/>
      <w:szCs w:val="22"/>
    </w:rPr>
  </w:style>
  <w:style w:type="character" w:styleId="798">
    <w:name w:val="Heading 6 Char"/>
    <w:link w:val="797"/>
    <w:uiPriority w:val="9"/>
    <w:rPr>
      <w:rFonts w:ascii="Arial" w:hAnsi="Arial" w:eastAsia="Arial" w:cs="Arial"/>
      <w:b/>
      <w:bCs/>
      <w:sz w:val="22"/>
      <w:szCs w:val="22"/>
    </w:rPr>
  </w:style>
  <w:style w:type="paragraph" w:styleId="799">
    <w:name w:val="Heading 7"/>
    <w:basedOn w:val="965"/>
    <w:next w:val="965"/>
    <w:link w:val="800"/>
    <w:uiPriority w:val="9"/>
    <w:unhideWhenUsed/>
    <w:qFormat/>
    <w:pPr>
      <w:keepLines/>
      <w:keepNext/>
      <w:spacing w:before="320" w:after="200"/>
      <w:outlineLvl w:val="6"/>
    </w:pPr>
    <w:rPr>
      <w:rFonts w:ascii="Arial" w:hAnsi="Arial" w:eastAsia="Arial" w:cs="Arial"/>
      <w:b/>
      <w:bCs/>
      <w:i/>
      <w:iCs/>
      <w:sz w:val="22"/>
      <w:szCs w:val="22"/>
    </w:rPr>
  </w:style>
  <w:style w:type="character" w:styleId="800">
    <w:name w:val="Heading 7 Char"/>
    <w:link w:val="799"/>
    <w:uiPriority w:val="9"/>
    <w:rPr>
      <w:rFonts w:ascii="Arial" w:hAnsi="Arial" w:eastAsia="Arial" w:cs="Arial"/>
      <w:b/>
      <w:bCs/>
      <w:i/>
      <w:iCs/>
      <w:sz w:val="22"/>
      <w:szCs w:val="22"/>
    </w:rPr>
  </w:style>
  <w:style w:type="paragraph" w:styleId="801">
    <w:name w:val="Heading 8"/>
    <w:basedOn w:val="965"/>
    <w:next w:val="965"/>
    <w:link w:val="802"/>
    <w:uiPriority w:val="9"/>
    <w:unhideWhenUsed/>
    <w:qFormat/>
    <w:pPr>
      <w:keepLines/>
      <w:keepNext/>
      <w:spacing w:before="320" w:after="200"/>
      <w:outlineLvl w:val="7"/>
    </w:pPr>
    <w:rPr>
      <w:rFonts w:ascii="Arial" w:hAnsi="Arial" w:eastAsia="Arial" w:cs="Arial"/>
      <w:i/>
      <w:iCs/>
      <w:sz w:val="22"/>
      <w:szCs w:val="22"/>
    </w:rPr>
  </w:style>
  <w:style w:type="character" w:styleId="802">
    <w:name w:val="Heading 8 Char"/>
    <w:link w:val="801"/>
    <w:uiPriority w:val="9"/>
    <w:rPr>
      <w:rFonts w:ascii="Arial" w:hAnsi="Arial" w:eastAsia="Arial" w:cs="Arial"/>
      <w:i/>
      <w:iCs/>
      <w:sz w:val="22"/>
      <w:szCs w:val="22"/>
    </w:rPr>
  </w:style>
  <w:style w:type="paragraph" w:styleId="803">
    <w:name w:val="Heading 9"/>
    <w:basedOn w:val="965"/>
    <w:next w:val="965"/>
    <w:link w:val="804"/>
    <w:uiPriority w:val="9"/>
    <w:unhideWhenUsed/>
    <w:qFormat/>
    <w:pPr>
      <w:keepLines/>
      <w:keepNext/>
      <w:spacing w:before="320" w:after="200"/>
      <w:outlineLvl w:val="8"/>
    </w:pPr>
    <w:rPr>
      <w:rFonts w:ascii="Arial" w:hAnsi="Arial" w:eastAsia="Arial" w:cs="Arial"/>
      <w:i/>
      <w:iCs/>
      <w:sz w:val="21"/>
      <w:szCs w:val="21"/>
    </w:rPr>
  </w:style>
  <w:style w:type="character" w:styleId="804">
    <w:name w:val="Heading 9 Char"/>
    <w:link w:val="803"/>
    <w:uiPriority w:val="9"/>
    <w:rPr>
      <w:rFonts w:ascii="Arial" w:hAnsi="Arial" w:eastAsia="Arial" w:cs="Arial"/>
      <w:i/>
      <w:iCs/>
      <w:sz w:val="21"/>
      <w:szCs w:val="21"/>
    </w:rPr>
  </w:style>
  <w:style w:type="paragraph" w:styleId="805">
    <w:name w:val="List Paragraph"/>
    <w:basedOn w:val="965"/>
    <w:uiPriority w:val="34"/>
    <w:qFormat/>
    <w:pPr>
      <w:contextualSpacing/>
      <w:ind w:left="720"/>
    </w:pPr>
  </w:style>
  <w:style w:type="paragraph" w:styleId="806">
    <w:name w:val="No Spacing"/>
    <w:uiPriority w:val="1"/>
    <w:qFormat/>
    <w:pPr>
      <w:spacing w:before="0" w:after="0" w:line="240" w:lineRule="auto"/>
    </w:pPr>
  </w:style>
  <w:style w:type="paragraph" w:styleId="807">
    <w:name w:val="Title"/>
    <w:basedOn w:val="965"/>
    <w:next w:val="965"/>
    <w:link w:val="808"/>
    <w:uiPriority w:val="10"/>
    <w:qFormat/>
    <w:pPr>
      <w:contextualSpacing/>
      <w:spacing w:before="300" w:after="200"/>
    </w:pPr>
    <w:rPr>
      <w:sz w:val="48"/>
      <w:szCs w:val="48"/>
    </w:rPr>
  </w:style>
  <w:style w:type="character" w:styleId="808">
    <w:name w:val="Title Char"/>
    <w:link w:val="807"/>
    <w:uiPriority w:val="10"/>
    <w:rPr>
      <w:sz w:val="48"/>
      <w:szCs w:val="48"/>
    </w:rPr>
  </w:style>
  <w:style w:type="paragraph" w:styleId="809">
    <w:name w:val="Subtitle"/>
    <w:basedOn w:val="965"/>
    <w:next w:val="965"/>
    <w:link w:val="810"/>
    <w:uiPriority w:val="11"/>
    <w:qFormat/>
    <w:pPr>
      <w:spacing w:before="200" w:after="200"/>
    </w:pPr>
    <w:rPr>
      <w:sz w:val="24"/>
      <w:szCs w:val="24"/>
    </w:rPr>
  </w:style>
  <w:style w:type="character" w:styleId="810">
    <w:name w:val="Subtitle Char"/>
    <w:link w:val="809"/>
    <w:uiPriority w:val="11"/>
    <w:rPr>
      <w:sz w:val="24"/>
      <w:szCs w:val="24"/>
    </w:rPr>
  </w:style>
  <w:style w:type="paragraph" w:styleId="811">
    <w:name w:val="Quote"/>
    <w:basedOn w:val="965"/>
    <w:next w:val="965"/>
    <w:link w:val="812"/>
    <w:uiPriority w:val="29"/>
    <w:qFormat/>
    <w:pPr>
      <w:ind w:left="720" w:right="720"/>
    </w:pPr>
    <w:rPr>
      <w:i/>
    </w:rPr>
  </w:style>
  <w:style w:type="character" w:styleId="812">
    <w:name w:val="Quote Char"/>
    <w:link w:val="811"/>
    <w:uiPriority w:val="29"/>
    <w:rPr>
      <w:i/>
    </w:rPr>
  </w:style>
  <w:style w:type="paragraph" w:styleId="813">
    <w:name w:val="Intense Quote"/>
    <w:basedOn w:val="965"/>
    <w:next w:val="965"/>
    <w:link w:val="81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4">
    <w:name w:val="Intense Quote Char"/>
    <w:link w:val="813"/>
    <w:uiPriority w:val="30"/>
    <w:rPr>
      <w:i/>
    </w:rPr>
  </w:style>
  <w:style w:type="paragraph" w:styleId="815">
    <w:name w:val="Header"/>
    <w:basedOn w:val="965"/>
    <w:link w:val="816"/>
    <w:uiPriority w:val="99"/>
    <w:unhideWhenUsed/>
    <w:pPr>
      <w:spacing w:after="0" w:line="240" w:lineRule="auto"/>
      <w:tabs>
        <w:tab w:val="center" w:pos="7143" w:leader="none"/>
        <w:tab w:val="right" w:pos="14287" w:leader="none"/>
      </w:tabs>
    </w:pPr>
  </w:style>
  <w:style w:type="character" w:styleId="816">
    <w:name w:val="Header Char"/>
    <w:link w:val="815"/>
    <w:uiPriority w:val="99"/>
  </w:style>
  <w:style w:type="paragraph" w:styleId="817">
    <w:name w:val="Footer"/>
    <w:basedOn w:val="965"/>
    <w:link w:val="818"/>
    <w:uiPriority w:val="99"/>
    <w:unhideWhenUsed/>
    <w:pPr>
      <w:spacing w:after="0" w:line="240" w:lineRule="auto"/>
      <w:tabs>
        <w:tab w:val="center" w:pos="7143" w:leader="none"/>
        <w:tab w:val="right" w:pos="14287" w:leader="none"/>
      </w:tabs>
    </w:pPr>
  </w:style>
  <w:style w:type="character" w:styleId="818">
    <w:name w:val="Footer Char"/>
    <w:link w:val="817"/>
    <w:uiPriority w:val="99"/>
  </w:style>
  <w:style w:type="paragraph" w:styleId="819">
    <w:name w:val="Caption"/>
    <w:basedOn w:val="965"/>
    <w:next w:val="965"/>
    <w:link w:val="820"/>
    <w:uiPriority w:val="35"/>
    <w:semiHidden/>
    <w:unhideWhenUsed/>
    <w:qFormat/>
    <w:pPr>
      <w:spacing w:line="276" w:lineRule="auto"/>
    </w:pPr>
    <w:rPr>
      <w:b/>
      <w:bCs/>
      <w:color w:val="4f81bd" w:themeColor="accent1"/>
      <w:sz w:val="18"/>
      <w:szCs w:val="18"/>
    </w:rPr>
  </w:style>
  <w:style w:type="character" w:styleId="820">
    <w:name w:val="Caption Char"/>
    <w:link w:val="819"/>
    <w:uiPriority w:val="35"/>
    <w:rPr>
      <w:b/>
      <w:bCs/>
      <w:color w:val="4f81bd" w:themeColor="accent1"/>
      <w:sz w:val="18"/>
      <w:szCs w:val="18"/>
    </w:rPr>
  </w:style>
  <w:style w:type="table" w:styleId="82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2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2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2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2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3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3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3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3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3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3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3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3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3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3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4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4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4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5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5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5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5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5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5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5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5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6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6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6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6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6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6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6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6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7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7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7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7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7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7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7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7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7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8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8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8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8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8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8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8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8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8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8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9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9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9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9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9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9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9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9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9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9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0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0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0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0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0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1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1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1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1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1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1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1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2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2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2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2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2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2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2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2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2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2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3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3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3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3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3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3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3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3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4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4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4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4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4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4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47">
    <w:name w:val="Hyperlink"/>
    <w:uiPriority w:val="99"/>
    <w:unhideWhenUsed/>
    <w:rPr>
      <w:color w:val="0000ff" w:themeColor="hyperlink"/>
      <w:u w:val="single"/>
    </w:rPr>
  </w:style>
  <w:style w:type="paragraph" w:styleId="948">
    <w:name w:val="footnote text"/>
    <w:basedOn w:val="965"/>
    <w:link w:val="949"/>
    <w:uiPriority w:val="99"/>
    <w:semiHidden/>
    <w:unhideWhenUsed/>
    <w:pPr>
      <w:spacing w:after="40" w:line="240" w:lineRule="auto"/>
    </w:pPr>
    <w:rPr>
      <w:sz w:val="18"/>
    </w:rPr>
  </w:style>
  <w:style w:type="character" w:styleId="949">
    <w:name w:val="Footnote Text Char"/>
    <w:link w:val="948"/>
    <w:uiPriority w:val="99"/>
    <w:rPr>
      <w:sz w:val="18"/>
    </w:rPr>
  </w:style>
  <w:style w:type="character" w:styleId="950">
    <w:name w:val="footnote reference"/>
    <w:uiPriority w:val="99"/>
    <w:unhideWhenUsed/>
    <w:rPr>
      <w:vertAlign w:val="superscript"/>
    </w:rPr>
  </w:style>
  <w:style w:type="paragraph" w:styleId="951">
    <w:name w:val="endnote text"/>
    <w:basedOn w:val="965"/>
    <w:link w:val="952"/>
    <w:uiPriority w:val="99"/>
    <w:semiHidden/>
    <w:unhideWhenUsed/>
    <w:pPr>
      <w:spacing w:after="0" w:line="240" w:lineRule="auto"/>
    </w:pPr>
    <w:rPr>
      <w:sz w:val="20"/>
    </w:rPr>
  </w:style>
  <w:style w:type="character" w:styleId="952">
    <w:name w:val="Endnote Text Char"/>
    <w:link w:val="951"/>
    <w:uiPriority w:val="99"/>
    <w:rPr>
      <w:sz w:val="20"/>
    </w:rPr>
  </w:style>
  <w:style w:type="character" w:styleId="953">
    <w:name w:val="endnote reference"/>
    <w:uiPriority w:val="99"/>
    <w:semiHidden/>
    <w:unhideWhenUsed/>
    <w:rPr>
      <w:vertAlign w:val="superscript"/>
    </w:rPr>
  </w:style>
  <w:style w:type="paragraph" w:styleId="954">
    <w:name w:val="toc 1"/>
    <w:basedOn w:val="965"/>
    <w:next w:val="965"/>
    <w:uiPriority w:val="39"/>
    <w:unhideWhenUsed/>
    <w:pPr>
      <w:ind w:left="0" w:right="0" w:firstLine="0"/>
      <w:spacing w:after="57"/>
    </w:pPr>
  </w:style>
  <w:style w:type="paragraph" w:styleId="955">
    <w:name w:val="toc 2"/>
    <w:basedOn w:val="965"/>
    <w:next w:val="965"/>
    <w:uiPriority w:val="39"/>
    <w:unhideWhenUsed/>
    <w:pPr>
      <w:ind w:left="283" w:right="0" w:firstLine="0"/>
      <w:spacing w:after="57"/>
    </w:pPr>
  </w:style>
  <w:style w:type="paragraph" w:styleId="956">
    <w:name w:val="toc 3"/>
    <w:basedOn w:val="965"/>
    <w:next w:val="965"/>
    <w:uiPriority w:val="39"/>
    <w:unhideWhenUsed/>
    <w:pPr>
      <w:ind w:left="567" w:right="0" w:firstLine="0"/>
      <w:spacing w:after="57"/>
    </w:pPr>
  </w:style>
  <w:style w:type="paragraph" w:styleId="957">
    <w:name w:val="toc 4"/>
    <w:basedOn w:val="965"/>
    <w:next w:val="965"/>
    <w:uiPriority w:val="39"/>
    <w:unhideWhenUsed/>
    <w:pPr>
      <w:ind w:left="850" w:right="0" w:firstLine="0"/>
      <w:spacing w:after="57"/>
    </w:pPr>
  </w:style>
  <w:style w:type="paragraph" w:styleId="958">
    <w:name w:val="toc 5"/>
    <w:basedOn w:val="965"/>
    <w:next w:val="965"/>
    <w:uiPriority w:val="39"/>
    <w:unhideWhenUsed/>
    <w:pPr>
      <w:ind w:left="1134" w:right="0" w:firstLine="0"/>
      <w:spacing w:after="57"/>
    </w:pPr>
  </w:style>
  <w:style w:type="paragraph" w:styleId="959">
    <w:name w:val="toc 6"/>
    <w:basedOn w:val="965"/>
    <w:next w:val="965"/>
    <w:uiPriority w:val="39"/>
    <w:unhideWhenUsed/>
    <w:pPr>
      <w:ind w:left="1417" w:right="0" w:firstLine="0"/>
      <w:spacing w:after="57"/>
    </w:pPr>
  </w:style>
  <w:style w:type="paragraph" w:styleId="960">
    <w:name w:val="toc 7"/>
    <w:basedOn w:val="965"/>
    <w:next w:val="965"/>
    <w:uiPriority w:val="39"/>
    <w:unhideWhenUsed/>
    <w:pPr>
      <w:ind w:left="1701" w:right="0" w:firstLine="0"/>
      <w:spacing w:after="57"/>
    </w:pPr>
  </w:style>
  <w:style w:type="paragraph" w:styleId="961">
    <w:name w:val="toc 8"/>
    <w:basedOn w:val="965"/>
    <w:next w:val="965"/>
    <w:uiPriority w:val="39"/>
    <w:unhideWhenUsed/>
    <w:pPr>
      <w:ind w:left="1984" w:right="0" w:firstLine="0"/>
      <w:spacing w:after="57"/>
    </w:pPr>
  </w:style>
  <w:style w:type="paragraph" w:styleId="962">
    <w:name w:val="toc 9"/>
    <w:basedOn w:val="965"/>
    <w:next w:val="965"/>
    <w:uiPriority w:val="39"/>
    <w:unhideWhenUsed/>
    <w:pPr>
      <w:ind w:left="2268" w:right="0" w:firstLine="0"/>
      <w:spacing w:after="57"/>
    </w:pPr>
  </w:style>
  <w:style w:type="paragraph" w:styleId="963">
    <w:name w:val="TOC Heading"/>
    <w:uiPriority w:val="39"/>
    <w:unhideWhenUsed/>
  </w:style>
  <w:style w:type="paragraph" w:styleId="964">
    <w:name w:val="table of figures"/>
    <w:basedOn w:val="965"/>
    <w:next w:val="965"/>
    <w:uiPriority w:val="99"/>
    <w:unhideWhenUsed/>
    <w:pPr>
      <w:spacing w:after="0" w:afterAutospacing="0"/>
    </w:pPr>
  </w:style>
  <w:style w:type="paragraph" w:styleId="965" w:default="1">
    <w:name w:val="Normal"/>
    <w:next w:val="965"/>
    <w:link w:val="965"/>
    <w:qFormat/>
    <w:rPr>
      <w:sz w:val="24"/>
      <w:szCs w:val="24"/>
      <w:lang w:val="ru-RU" w:eastAsia="ru-RU" w:bidi="ar-SA"/>
    </w:rPr>
  </w:style>
  <w:style w:type="paragraph" w:styleId="966">
    <w:name w:val="Заголовок 1"/>
    <w:basedOn w:val="965"/>
    <w:next w:val="965"/>
    <w:link w:val="965"/>
    <w:qFormat/>
    <w:pPr>
      <w:jc w:val="both"/>
      <w:keepNext/>
      <w:outlineLvl w:val="0"/>
    </w:pPr>
    <w:rPr>
      <w:b/>
      <w:bCs/>
      <w:sz w:val="22"/>
      <w:szCs w:val="22"/>
    </w:rPr>
  </w:style>
  <w:style w:type="paragraph" w:styleId="967">
    <w:name w:val="Заголовок 2"/>
    <w:basedOn w:val="965"/>
    <w:next w:val="965"/>
    <w:link w:val="977"/>
    <w:qFormat/>
    <w:pPr>
      <w:jc w:val="center"/>
      <w:keepNext/>
      <w:outlineLvl w:val="1"/>
    </w:pPr>
    <w:rPr>
      <w:b/>
      <w:bCs/>
      <w:sz w:val="18"/>
      <w:szCs w:val="18"/>
    </w:rPr>
  </w:style>
  <w:style w:type="paragraph" w:styleId="968">
    <w:name w:val="Заголовок 3"/>
    <w:basedOn w:val="965"/>
    <w:next w:val="965"/>
    <w:link w:val="965"/>
    <w:qFormat/>
    <w:pPr>
      <w:ind w:left="-2" w:right="-18"/>
      <w:jc w:val="center"/>
      <w:keepNext/>
      <w:spacing w:line="240" w:lineRule="atLeast"/>
      <w:tabs>
        <w:tab w:val="left" w:pos="4464" w:leader="none"/>
        <w:tab w:val="left" w:pos="5760" w:leader="none"/>
      </w:tabs>
      <w:outlineLvl w:val="2"/>
    </w:pPr>
    <w:rPr>
      <w:b/>
      <w:bCs/>
      <w:sz w:val="18"/>
      <w:szCs w:val="18"/>
    </w:rPr>
  </w:style>
  <w:style w:type="paragraph" w:styleId="969">
    <w:name w:val="Заголовок 4"/>
    <w:basedOn w:val="965"/>
    <w:next w:val="965"/>
    <w:link w:val="965"/>
    <w:qFormat/>
    <w:pPr>
      <w:ind w:left="421" w:right="-18" w:hanging="529"/>
      <w:jc w:val="center"/>
      <w:keepNext/>
      <w:spacing w:line="240" w:lineRule="atLeast"/>
      <w:tabs>
        <w:tab w:val="left" w:pos="4464" w:leader="none"/>
        <w:tab w:val="left" w:pos="5760" w:leader="none"/>
      </w:tabs>
      <w:outlineLvl w:val="3"/>
    </w:pPr>
    <w:rPr>
      <w:b/>
      <w:bCs/>
      <w:sz w:val="22"/>
      <w:szCs w:val="18"/>
    </w:rPr>
  </w:style>
  <w:style w:type="paragraph" w:styleId="970">
    <w:name w:val="Заголовок 5"/>
    <w:basedOn w:val="965"/>
    <w:next w:val="965"/>
    <w:link w:val="978"/>
    <w:qFormat/>
    <w:pPr>
      <w:ind w:left="567" w:right="567"/>
      <w:jc w:val="center"/>
      <w:keepNext/>
      <w:spacing w:line="240" w:lineRule="atLeast"/>
      <w:tabs>
        <w:tab w:val="left" w:pos="4464" w:leader="none"/>
        <w:tab w:val="left" w:pos="5760" w:leader="none"/>
      </w:tabs>
      <w:outlineLvl w:val="4"/>
    </w:pPr>
    <w:rPr>
      <w:b/>
      <w:bCs/>
      <w:sz w:val="22"/>
      <w:szCs w:val="22"/>
    </w:rPr>
  </w:style>
  <w:style w:type="paragraph" w:styleId="971">
    <w:name w:val="Заголовок 6"/>
    <w:basedOn w:val="965"/>
    <w:next w:val="965"/>
    <w:link w:val="965"/>
    <w:qFormat/>
    <w:pPr>
      <w:ind w:left="-108" w:right="-18"/>
      <w:jc w:val="both"/>
      <w:keepNext/>
      <w:spacing w:line="240" w:lineRule="atLeast"/>
      <w:tabs>
        <w:tab w:val="left" w:pos="4464" w:leader="none"/>
        <w:tab w:val="left" w:pos="5760" w:leader="none"/>
      </w:tabs>
      <w:outlineLvl w:val="5"/>
    </w:pPr>
    <w:rPr>
      <w:b/>
      <w:bCs/>
      <w:sz w:val="20"/>
      <w:szCs w:val="20"/>
    </w:rPr>
  </w:style>
  <w:style w:type="paragraph" w:styleId="972">
    <w:name w:val="Заголовок 7"/>
    <w:basedOn w:val="965"/>
    <w:next w:val="965"/>
    <w:link w:val="965"/>
    <w:qFormat/>
    <w:pPr>
      <w:ind w:left="-108"/>
      <w:keepNext/>
      <w:outlineLvl w:val="6"/>
    </w:pPr>
    <w:rPr>
      <w:b/>
      <w:bCs/>
      <w:sz w:val="20"/>
      <w:szCs w:val="20"/>
    </w:rPr>
  </w:style>
  <w:style w:type="paragraph" w:styleId="973">
    <w:name w:val="Заголовок 8"/>
    <w:basedOn w:val="965"/>
    <w:next w:val="965"/>
    <w:link w:val="965"/>
    <w:qFormat/>
    <w:pPr>
      <w:ind w:left="540" w:right="-18" w:hanging="540"/>
      <w:jc w:val="center"/>
      <w:keepNext/>
      <w:spacing w:line="240" w:lineRule="atLeast"/>
      <w:tabs>
        <w:tab w:val="left" w:pos="4464" w:leader="none"/>
        <w:tab w:val="left" w:pos="5760" w:leader="none"/>
      </w:tabs>
      <w:outlineLvl w:val="7"/>
    </w:pPr>
    <w:rPr>
      <w:i/>
      <w:iCs/>
    </w:rPr>
  </w:style>
  <w:style w:type="character" w:styleId="974">
    <w:name w:val="Основной шрифт абзаца"/>
    <w:next w:val="974"/>
    <w:link w:val="965"/>
    <w:semiHidden/>
  </w:style>
  <w:style w:type="table" w:styleId="975">
    <w:name w:val="Обычная таблица"/>
    <w:next w:val="975"/>
    <w:link w:val="965"/>
    <w:semiHidden/>
    <w:tblPr/>
  </w:style>
  <w:style w:type="numbering" w:styleId="976">
    <w:name w:val="Нет списка"/>
    <w:next w:val="976"/>
    <w:link w:val="965"/>
    <w:semiHidden/>
  </w:style>
  <w:style w:type="character" w:styleId="977">
    <w:name w:val="Заголовок 2 Знак"/>
    <w:next w:val="977"/>
    <w:link w:val="967"/>
    <w:semiHidden/>
    <w:rPr>
      <w:b/>
      <w:bCs/>
      <w:sz w:val="18"/>
      <w:szCs w:val="18"/>
      <w:lang w:val="ru-RU" w:eastAsia="ru-RU" w:bidi="ar-SA"/>
    </w:rPr>
  </w:style>
  <w:style w:type="character" w:styleId="978">
    <w:name w:val="Заголовок 5 Знак"/>
    <w:next w:val="978"/>
    <w:link w:val="970"/>
    <w:semiHidden/>
    <w:rPr>
      <w:b/>
      <w:bCs/>
      <w:sz w:val="22"/>
      <w:szCs w:val="22"/>
      <w:lang w:val="ru-RU" w:eastAsia="ru-RU" w:bidi="ar-SA"/>
    </w:rPr>
  </w:style>
  <w:style w:type="paragraph" w:styleId="979">
    <w:name w:val="Цитата"/>
    <w:basedOn w:val="965"/>
    <w:next w:val="979"/>
    <w:link w:val="965"/>
    <w:pPr>
      <w:ind w:left="780" w:right="626"/>
      <w:jc w:val="both"/>
    </w:pPr>
  </w:style>
  <w:style w:type="paragraph" w:styleId="980">
    <w:name w:val="Основной текст 2"/>
    <w:basedOn w:val="965"/>
    <w:next w:val="980"/>
    <w:link w:val="965"/>
    <w:pPr>
      <w:jc w:val="both"/>
    </w:pPr>
    <w:rPr>
      <w:i/>
      <w:iCs/>
      <w:sz w:val="20"/>
      <w:szCs w:val="20"/>
    </w:rPr>
  </w:style>
  <w:style w:type="paragraph" w:styleId="981">
    <w:name w:val="Основной текст с отступом 2"/>
    <w:basedOn w:val="965"/>
    <w:next w:val="981"/>
    <w:link w:val="965"/>
    <w:pPr>
      <w:ind w:left="-108"/>
      <w:jc w:val="both"/>
    </w:pPr>
    <w:rPr>
      <w:b/>
      <w:bCs/>
      <w:sz w:val="20"/>
      <w:szCs w:val="20"/>
    </w:rPr>
  </w:style>
  <w:style w:type="paragraph" w:styleId="982">
    <w:name w:val="Верхний колонтитул,ВерхКолонтитул"/>
    <w:basedOn w:val="965"/>
    <w:next w:val="982"/>
    <w:link w:val="990"/>
    <w:uiPriority w:val="99"/>
    <w:pPr>
      <w:tabs>
        <w:tab w:val="center" w:pos="4320" w:leader="none"/>
        <w:tab w:val="right" w:pos="8640" w:leader="none"/>
      </w:tabs>
    </w:pPr>
    <w:rPr>
      <w:sz w:val="20"/>
      <w:szCs w:val="20"/>
      <w:lang w:val="en-GB"/>
    </w:rPr>
  </w:style>
  <w:style w:type="paragraph" w:styleId="983">
    <w:name w:val="Основной текст"/>
    <w:basedOn w:val="965"/>
    <w:next w:val="983"/>
    <w:link w:val="965"/>
    <w:pPr>
      <w:jc w:val="both"/>
      <w:spacing w:line="312" w:lineRule="atLeast"/>
    </w:pPr>
    <w:rPr>
      <w:rFonts w:ascii="Times New Roman CYR" w:hAnsi="Times New Roman CYR" w:cs="Times New Roman CYR"/>
      <w:sz w:val="22"/>
      <w:szCs w:val="22"/>
    </w:rPr>
  </w:style>
  <w:style w:type="paragraph" w:styleId="984">
    <w:name w:val="Основной текст с отступом 3"/>
    <w:basedOn w:val="965"/>
    <w:next w:val="984"/>
    <w:link w:val="985"/>
    <w:pPr>
      <w:ind w:right="624" w:firstLine="709"/>
      <w:jc w:val="both"/>
      <w:spacing w:before="120"/>
    </w:pPr>
    <w:rPr>
      <w:sz w:val="22"/>
      <w:szCs w:val="22"/>
    </w:rPr>
  </w:style>
  <w:style w:type="character" w:styleId="985">
    <w:name w:val="Основной текст с отступом 3 Знак"/>
    <w:next w:val="985"/>
    <w:link w:val="984"/>
    <w:semiHidden/>
    <w:rPr>
      <w:sz w:val="22"/>
      <w:szCs w:val="22"/>
      <w:lang w:val="ru-RU" w:eastAsia="ru-RU" w:bidi="ar-SA"/>
    </w:rPr>
  </w:style>
  <w:style w:type="character" w:styleId="986">
    <w:name w:val="Номер страницы"/>
    <w:next w:val="986"/>
    <w:link w:val="965"/>
    <w:rPr>
      <w:rFonts w:cs="Times New Roman"/>
    </w:rPr>
  </w:style>
  <w:style w:type="paragraph" w:styleId="987">
    <w:name w:val="Нижний колонтитул"/>
    <w:basedOn w:val="965"/>
    <w:next w:val="987"/>
    <w:link w:val="965"/>
    <w:pPr>
      <w:tabs>
        <w:tab w:val="center" w:pos="4677" w:leader="none"/>
        <w:tab w:val="right" w:pos="9355" w:leader="none"/>
      </w:tabs>
    </w:pPr>
    <w:rPr>
      <w:sz w:val="20"/>
      <w:szCs w:val="20"/>
    </w:rPr>
  </w:style>
  <w:style w:type="paragraph" w:styleId="988">
    <w:name w:val="Основной текст с отступом"/>
    <w:basedOn w:val="965"/>
    <w:next w:val="988"/>
    <w:link w:val="965"/>
    <w:pPr>
      <w:ind w:left="283"/>
      <w:spacing w:after="120"/>
    </w:pPr>
    <w:rPr>
      <w:sz w:val="20"/>
      <w:szCs w:val="20"/>
    </w:rPr>
  </w:style>
  <w:style w:type="paragraph" w:styleId="989">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
    <w:basedOn w:val="965"/>
    <w:next w:val="989"/>
    <w:link w:val="1010"/>
    <w:rPr>
      <w:sz w:val="20"/>
      <w:szCs w:val="20"/>
    </w:rPr>
  </w:style>
  <w:style w:type="character" w:styleId="990">
    <w:name w:val="Верхний колонтитул Знак,ВерхКолонтитул Знак"/>
    <w:next w:val="990"/>
    <w:link w:val="982"/>
    <w:uiPriority w:val="99"/>
    <w:rPr>
      <w:lang w:val="en-GB" w:eastAsia="ru-RU" w:bidi="ar-SA"/>
    </w:rPr>
  </w:style>
  <w:style w:type="character" w:styleId="99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
    <w:next w:val="991"/>
    <w:link w:val="965"/>
    <w:uiPriority w:val="99"/>
    <w:qFormat/>
    <w:rPr>
      <w:rFonts w:cs="Times New Roman"/>
      <w:vertAlign w:val="superscript"/>
    </w:rPr>
  </w:style>
  <w:style w:type="paragraph" w:styleId="992">
    <w:name w:val="Default"/>
    <w:next w:val="992"/>
    <w:link w:val="965"/>
    <w:rPr>
      <w:color w:val="000000"/>
      <w:sz w:val="24"/>
      <w:szCs w:val="24"/>
      <w:lang w:val="ru-RU" w:eastAsia="ru-RU" w:bidi="ar-SA"/>
    </w:rPr>
  </w:style>
  <w:style w:type="table" w:styleId="993">
    <w:name w:val="Сетка таблицы"/>
    <w:basedOn w:val="975"/>
    <w:next w:val="993"/>
    <w:link w:val="965"/>
    <w:tblPr/>
  </w:style>
  <w:style w:type="character" w:styleId="994">
    <w:name w:val="Знак концевой сноски"/>
    <w:next w:val="994"/>
    <w:link w:val="965"/>
    <w:rPr>
      <w:vertAlign w:val="superscript"/>
    </w:rPr>
  </w:style>
  <w:style w:type="paragraph" w:styleId="995">
    <w:name w:val="Текст выноски"/>
    <w:basedOn w:val="965"/>
    <w:next w:val="995"/>
    <w:link w:val="996"/>
    <w:rPr>
      <w:rFonts w:ascii="Tahoma" w:hAnsi="Tahoma"/>
      <w:sz w:val="16"/>
      <w:szCs w:val="16"/>
      <w:lang w:val="en-US" w:eastAsia="en-US"/>
    </w:rPr>
  </w:style>
  <w:style w:type="character" w:styleId="996">
    <w:name w:val="Текст выноски Знак"/>
    <w:next w:val="996"/>
    <w:link w:val="995"/>
    <w:rPr>
      <w:rFonts w:ascii="Tahoma" w:hAnsi="Tahoma" w:cs="Tahoma"/>
      <w:sz w:val="16"/>
      <w:szCs w:val="16"/>
    </w:rPr>
  </w:style>
  <w:style w:type="character" w:styleId="997">
    <w:name w:val="Знак примечания"/>
    <w:next w:val="997"/>
    <w:link w:val="965"/>
    <w:rPr>
      <w:sz w:val="16"/>
      <w:szCs w:val="16"/>
    </w:rPr>
  </w:style>
  <w:style w:type="paragraph" w:styleId="998">
    <w:name w:val="Текст примечания"/>
    <w:basedOn w:val="965"/>
    <w:next w:val="998"/>
    <w:link w:val="999"/>
    <w:rPr>
      <w:sz w:val="20"/>
      <w:szCs w:val="20"/>
    </w:rPr>
  </w:style>
  <w:style w:type="character" w:styleId="999">
    <w:name w:val="Текст примечания Знак"/>
    <w:basedOn w:val="974"/>
    <w:next w:val="999"/>
    <w:link w:val="998"/>
  </w:style>
  <w:style w:type="paragraph" w:styleId="1000">
    <w:name w:val="Тема примечания"/>
    <w:basedOn w:val="998"/>
    <w:next w:val="998"/>
    <w:link w:val="1001"/>
    <w:rPr>
      <w:b/>
      <w:bCs/>
      <w:lang w:val="en-US" w:eastAsia="en-US"/>
    </w:rPr>
  </w:style>
  <w:style w:type="character" w:styleId="1001">
    <w:name w:val="Тема примечания Знак"/>
    <w:next w:val="1001"/>
    <w:link w:val="1000"/>
    <w:rPr>
      <w:b/>
      <w:bCs/>
      <w:lang w:val="en-US" w:eastAsia="en-US"/>
    </w:rPr>
  </w:style>
  <w:style w:type="paragraph" w:styleId="1002">
    <w:name w:val="Маркированный список"/>
    <w:basedOn w:val="965"/>
    <w:next w:val="1002"/>
    <w:link w:val="965"/>
    <w:pPr>
      <w:numPr>
        <w:ilvl w:val="0"/>
        <w:numId w:val="12"/>
      </w:numPr>
      <w:contextualSpacing/>
    </w:pPr>
    <w:rPr>
      <w:sz w:val="20"/>
      <w:szCs w:val="20"/>
    </w:rPr>
  </w:style>
  <w:style w:type="paragraph" w:styleId="1003">
    <w:name w:val="Текст концевой сноски"/>
    <w:basedOn w:val="965"/>
    <w:next w:val="1003"/>
    <w:link w:val="1004"/>
    <w:rPr>
      <w:sz w:val="20"/>
      <w:szCs w:val="20"/>
    </w:rPr>
  </w:style>
  <w:style w:type="character" w:styleId="1004">
    <w:name w:val="Текст концевой сноски Знак"/>
    <w:basedOn w:val="974"/>
    <w:next w:val="1004"/>
    <w:link w:val="1003"/>
  </w:style>
  <w:style w:type="paragraph" w:styleId="1005">
    <w:name w:val="Рецензия"/>
    <w:next w:val="1005"/>
    <w:link w:val="965"/>
    <w:hidden/>
    <w:uiPriority w:val="99"/>
    <w:semiHidden/>
    <w:rPr>
      <w:lang w:val="ru-RU" w:eastAsia="ru-RU" w:bidi="ar-SA"/>
    </w:rPr>
  </w:style>
  <w:style w:type="character" w:styleId="1006">
    <w:name w:val="Без интервала Знак"/>
    <w:next w:val="1006"/>
    <w:link w:val="1007"/>
    <w:uiPriority w:val="1"/>
    <w:rPr>
      <w:rFonts w:ascii="Calibri" w:hAnsi="Calibri"/>
      <w:sz w:val="22"/>
      <w:szCs w:val="22"/>
      <w:lang w:val="ru-RU" w:eastAsia="en-US" w:bidi="ar-SA"/>
    </w:rPr>
  </w:style>
  <w:style w:type="paragraph" w:styleId="1007">
    <w:name w:val="Без интервала"/>
    <w:next w:val="1007"/>
    <w:link w:val="1006"/>
    <w:uiPriority w:val="1"/>
    <w:qFormat/>
    <w:rPr>
      <w:rFonts w:ascii="Calibri" w:hAnsi="Calibri"/>
      <w:sz w:val="22"/>
      <w:szCs w:val="22"/>
      <w:lang w:val="ru-RU" w:eastAsia="en-US" w:bidi="ar-SA"/>
    </w:rPr>
  </w:style>
  <w:style w:type="paragraph" w:styleId="1008">
    <w:name w:val="Оглавление 1"/>
    <w:basedOn w:val="965"/>
    <w:next w:val="965"/>
    <w:link w:val="965"/>
    <w:uiPriority w:val="39"/>
    <w:pPr>
      <w:spacing w:line="360" w:lineRule="auto"/>
      <w:tabs>
        <w:tab w:val="right" w:pos="9889" w:leader="dot"/>
      </w:tabs>
    </w:pPr>
  </w:style>
  <w:style w:type="character" w:styleId="1009">
    <w:name w:val="Гиперссылка"/>
    <w:next w:val="1009"/>
    <w:link w:val="965"/>
    <w:uiPriority w:val="99"/>
    <w:unhideWhenUsed/>
    <w:rPr>
      <w:color w:val="0000ff"/>
      <w:u w:val="single"/>
    </w:rPr>
  </w:style>
  <w:style w:type="character" w:styleId="101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10"/>
    <w:link w:val="989"/>
  </w:style>
  <w:style w:type="character" w:styleId="1011" w:default="1">
    <w:name w:val="Default Paragraph Font"/>
    <w:uiPriority w:val="1"/>
    <w:semiHidden/>
    <w:unhideWhenUsed/>
  </w:style>
  <w:style w:type="numbering" w:styleId="1012" w:default="1">
    <w:name w:val="No List"/>
    <w:uiPriority w:val="99"/>
    <w:semiHidden/>
    <w:unhideWhenUsed/>
  </w:style>
  <w:style w:type="table" w:styleId="101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ОАО "Россельхозбанк"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РЕГИОНАЛЬНЫЙ ФИЛИАЛ</dc:title>
  <dc:creator>Drozdov-EV</dc:creator>
  <cp:lastModifiedBy>esipova-ev</cp:lastModifiedBy>
  <cp:revision>9</cp:revision>
  <dcterms:created xsi:type="dcterms:W3CDTF">2020-02-21T13:17:00Z</dcterms:created>
  <dcterms:modified xsi:type="dcterms:W3CDTF">2025-11-17T13:27:43Z</dcterms:modified>
  <cp:version>1048576</cp:version>
</cp:coreProperties>
</file>