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35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35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АО «Россельхозбанк»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35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1167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421"/>
        <w:gridCol w:w="41"/>
        <w:gridCol w:w="523"/>
        <w:gridCol w:w="2277"/>
        <w:gridCol w:w="16"/>
        <w:gridCol w:w="83"/>
        <w:gridCol w:w="6600"/>
        <w:gridCol w:w="43"/>
      </w:tblGrid>
      <w:tr>
        <w:tblPrEx/>
        <w:trPr>
          <w:jc w:val="center"/>
          <w:trHeight w:val="556"/>
        </w:trPr>
        <w:tc>
          <w:tcPr>
            <w:gridSpan w:val="9"/>
            <w:shd w:val="clear" w:color="auto" w:fill="c2d69b" w:themeFill="accent3" w:themeFillTint="99"/>
            <w:tcW w:w="148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Тарифный план «Кредитная карта с льготным периодом кредитования»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с 01.05.2025)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d6e3bc" w:themeFill="accent3" w:themeFillTint="66"/>
            <w:tcW w:w="85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d6e3bc" w:themeFill="accent3" w:themeFillTint="66"/>
            <w:tcW w:w="446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d6e3bc" w:themeFill="accent3" w:themeFillTint="66"/>
            <w:tcW w:w="28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d6e3bc" w:themeFill="accent3" w:themeFillTint="66"/>
            <w:tcW w:w="6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400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"/>
              </w:numPr>
              <w:ind w:left="0" w:firstLine="0"/>
              <w:spacing w:before="62" w:beforeAutospacing="0" w:after="62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spacing w:before="62" w:beforeAutospacing="0" w:after="62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tcW w:w="9542" w:type="dxa"/>
            <w:textDirection w:val="lrTb"/>
            <w:noWrap w:val="false"/>
          </w:tcPr>
          <w:p>
            <w:pPr>
              <w:spacing w:before="62" w:beforeAutospacing="0" w:after="62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tcW w:w="954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21.03.2024 выпуск карт в рамках данного тарифного плана не осуществляется, кроме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/замены карт/дополнительных карт в период действия кредитного лимита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1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67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3"/>
              </w:numPr>
              <w:ind w:left="0" w:firstLine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выпуска/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 Issue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Style w:val="1171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Instant Issue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2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(кроме карт в виде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форм-фактора)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7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 не выпускается держателю / представителю держателя при наличии у него действующих карт МИР иных категорий, выпущенных к этому счету.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(В), Карта МИР Моментального выпуска составляет 5 лет и зависит от наличия карт данных категорий в подразделении АО «Россельхозбанк»</w:t>
            </w:r>
            <w:r>
              <w:rPr>
                <w:rStyle w:val="1171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 в виде форм-фактора/ Карта МИР Моментального выпуска в виде форм-фактора составляет 5 лет.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3"/>
              </w:numPr>
              <w:ind w:left="0" w:firstLine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Классическая карта 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Премиальная карта 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67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Классическая карта 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0"/>
        </w:trPr>
        <w:tc>
          <w:tcPr>
            <w:shd w:val="clear" w:color="auto" w:fill="92d050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1400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обслуживание кредитной карты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37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 банковской карты/ дополнительной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280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674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37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обслуживание кредитной карты/ дополнительной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280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674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14004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4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2939" w:type="dxa"/>
            <w:vAlign w:val="center"/>
            <w:textDirection w:val="lrTb"/>
            <w:noWrap w:val="false"/>
          </w:tcPr>
          <w:p>
            <w:pPr>
              <w:pStyle w:val="1168"/>
              <w:numPr>
                <w:ilvl w:val="0"/>
                <w:numId w:val="4"/>
              </w:numPr>
              <w:ind w:left="0" w:firstLine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10%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numPr>
                <w:ilvl w:val="0"/>
                <w:numId w:val="4"/>
              </w:numPr>
              <w:ind w:left="0" w:firstLine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numPr>
                <w:ilvl w:val="0"/>
                <w:numId w:val="4"/>
              </w:numPr>
              <w:ind w:left="0" w:firstLine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 - сумма начисленных процентов на льготную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период(ы)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643" w:type="dxa"/>
            <w:textDirection w:val="lrTb"/>
            <w:noWrap w:val="false"/>
          </w:tcPr>
          <w:p>
            <w:pPr>
              <w:pStyle w:val="116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минимального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6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1)сформирован Клиентом самостоятельно в системах «Интернет-банк» и «Мобильный банк»,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6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6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 Минимальный платеж в размере 3% от суммы общей ссудной задолженности применяется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кредитных карт, выпущенных с 14.09.2015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68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4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29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6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8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7361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643" w:type="dxa"/>
            <w:vMerge w:val="restart"/>
            <w:textDirection w:val="lrTb"/>
            <w:noWrap w:val="false"/>
          </w:tcPr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 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 w:cs="Times New Roman"/>
              </w:rPr>
              <w:t xml:space="preserve">Договора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6"/>
            </w:r>
            <w:r>
              <w:rPr>
                <w:rFonts w:ascii="Times New Roman" w:hAnsi="Times New Roman" w:cs="Times New Roman"/>
              </w:rPr>
              <w:t xml:space="preserve">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6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за возникшую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1400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6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 Банка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8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6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7"/>
            <w:shd w:val="clear" w:color="auto" w:fill="92d050"/>
            <w:tcBorders>
              <w:bottom w:val="single" w:color="auto" w:sz="4" w:space="0"/>
            </w:tcBorders>
            <w:tcW w:w="13961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66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73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 c использованием услуги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«Перевод денежных средств по реквизитам получателя на сайте партнера Банка/«Перевод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средств устанавливается и ведется каждым подразделением Банка самостоятельно в электронном виде и доводи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использованием реквизитов платежных карт» / посредством банкоматов, информационно-платежных терминалов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Банком с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Borders>
              <w:bottom w:val="single" w:color="auto" w:sz="4" w:space="0"/>
            </w:tcBorders>
            <w:tcW w:w="73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7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АО «Россельхозбанк» на основании Условий осуществления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операций по 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Банка и на официальном интернет-сайте АО «Россельхозбанк» в сети Интернет по адресу www.rshb.ru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ПАО «ВымпелКом» (Билайн) и ПАО «Мегафон»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«ВымпелКом» (Билайн) и ПАО «Мегафон» - 30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Borders>
              <w:bottom w:val="single" w:color="auto" w:sz="4" w:space="0"/>
            </w:tcBorders>
            <w:tcW w:w="13961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44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по Договору, заключенному с клиентом с 05.04.2022 по 12.09.2023 (включительно).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pStyle w:val="116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142" w:leader="none"/>
                <w:tab w:val="left" w:pos="426" w:leader="none"/>
                <w:tab w:val="left" w:pos="567" w:leader="none"/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карт, выпущенных по Договору, заключенному с клиентом с 13.09.2023.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pStyle w:val="116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«Райффайзенбанк», 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03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ind w:left="2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tcW w:w="139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Банка: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8.1.2.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4462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tcW w:w="13961" w:type="dxa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sz w:val="20"/>
                <w:szCs w:val="20"/>
              </w:rPr>
              <w:t xml:space="preserve">8.2.1.</w:t>
            </w:r>
            <w:r>
              <w:rPr>
                <w:rFonts w:ascii="Times New Roman" w:hAnsi="Times New Roman" w:cs="Times New Roman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счета вкладов, «до востребования») или счета другого физического лица в пределах одного подразделения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АО «Россельхозбанк»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9.2. </w:t>
            </w:r>
            <w:r>
              <w:rPr>
                <w:rFonts w:ascii="Times New Roman" w:hAnsi="Times New Roman" w:cs="Times New Roman"/>
              </w:rPr>
              <w:t xml:space="preserve">настоящего Тарифного плана.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W w:w="13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30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restart"/>
            <w:textDirection w:val="lrTb"/>
            <w:noWrap w:val="false"/>
          </w:tcPr>
          <w:p>
            <w:pPr>
              <w:pStyle w:val="116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Merge w:val="continue"/>
            <w:textDirection w:val="lrTb"/>
            <w:noWrap w:val="false"/>
          </w:tcPr>
          <w:p>
            <w:pPr>
              <w:pStyle w:val="116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  <w:trHeight w:val="1692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Федерации* с использованием услуги «Перевод денежных средств по реквизитам получателя на сайте партнера Банка/«Перевод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391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Банка/банкоматов/сайтов сторонних банков и сайтов иных организаций*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tcW w:w="28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23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Банка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tcW w:w="13961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(доллары США)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международной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Style w:val="1171"/>
                <w:rFonts w:ascii="Times New Roman" w:hAnsi="Times New Roman" w:cs="Times New Roman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5"/>
              </w:num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ерез кассу подразделения Банка, в банкоматах, пунктах выдачи наличных Банка 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месяц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«Перевод денежных средств по реквизитам получателя на сайте партнера Банка/«Перевод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6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через систему дистанционного банковского обслуживания (для пользователей системы «Интернет-банк» и «Мобильный банк»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Классическая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Премиальная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осуществляется согласно Правилам предоставления и использования кредитных карт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МИР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Классическая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Standard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МИР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Премиальная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W w:w="7361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Platinum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vAlign w:val="center"/>
            <w:textDirection w:val="lrTb"/>
            <w:noWrap w:val="false"/>
          </w:tcPr>
          <w:p>
            <w:pPr>
              <w:pStyle w:val="1168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7361" w:type="dxa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взимается при подключении услуги, далее - ежемесячно. Порядок предоставления услуги «Уведомления» определяется Условиями предоставления услуги «Уведомления» в АО «Россельхозбанк»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985" w:type="dxa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985" w:type="dxa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 Плата взимается за каждый подключенный к услуге номер мобильного телефона.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</w:t>
            </w:r>
            <w:r>
              <w:rPr>
                <w:rStyle w:val="1171"/>
                <w:rFonts w:ascii="Times New Roman" w:hAnsi="Times New Roman" w:cs="Times New Roman"/>
                <w:b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остатке денежных средств на счете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 Банка,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5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(9 последних операций)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auto"/>
            <w:tcW w:w="7361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52" w:type="dxa"/>
            <w:textDirection w:val="lrTb"/>
            <w:noWrap w:val="false"/>
          </w:tcPr>
          <w:p>
            <w:pPr>
              <w:pStyle w:val="1168"/>
              <w:numPr>
                <w:ilvl w:val="0"/>
                <w:numId w:val="2"/>
              </w:numPr>
              <w:contextualSpacing w:val="0"/>
              <w:ind w:left="0" w:firstLine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13961" w:type="dxa"/>
            <w:vAlign w:val="center"/>
            <w:textDirection w:val="lrTb"/>
            <w:noWrap w:val="false"/>
          </w:tcPr>
          <w:p>
            <w:pPr>
              <w:pStyle w:val="1168"/>
              <w:contextualSpacing w:val="0"/>
              <w:ind w:left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W w:w="4985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 Банка 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376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600" w:type="dxa"/>
            <w:vAlign w:val="center"/>
            <w:textDirection w:val="lrTb"/>
            <w:noWrap w:val="false"/>
          </w:tcPr>
          <w:p>
            <w:pPr>
              <w:pStyle w:val="116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 категорий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(М) в виде форм-фактора/ Карта МИР Моментального выпуска в виде форм-фактора, операция не производится.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993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Peterburg">
    <w:panose1 w:val="02000603000000000000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Карты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(М)/ Карта МИР Моментального выпуска могут быть оформлены в виде форм-фактора, приобретенного в Торговой организации, с привязкой к счету, к которому имеется действующая карта: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Клиента при оформлении Анкеты-заявления на получение карты и установление кредитного лимита;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на имя представителя Клиента при оформлении Заявления на получение дополнительной карты АО «Россельхозбанк».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Информаци</w:t>
      </w:r>
      <w:r>
        <w:rPr>
          <w:rFonts w:ascii="Times New Roman" w:hAnsi="Times New Roman" w:cs="Times New Roman"/>
          <w:sz w:val="18"/>
          <w:szCs w:val="18"/>
        </w:rPr>
        <w:t xml:space="preserve">я о сроке действия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Банка и в Службу поддержки Банка по телефону, указанному на сайте www.rshb.ru.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Безналичные операции, операции выдачи наличных денежных средств, пополнения счета по картам категории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Instant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Issue</w:t>
      </w:r>
      <w:r>
        <w:rPr>
          <w:rFonts w:ascii="Times New Roman" w:hAnsi="Times New Roman" w:cs="Times New Roman"/>
          <w:sz w:val="18"/>
          <w:szCs w:val="18"/>
        </w:rPr>
        <w:t xml:space="preserve"> (М) в виде форм-фактора/Карта МИР Моментального выпуска в виде форм-фактора осуществляются в банкоматах/ информационно-платежных терминалах/электронных терминалах с бесконтактным обслуживанием.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Для определенных категорий карт размеры ко</w:t>
      </w:r>
      <w:r>
        <w:rPr>
          <w:rFonts w:ascii="Times New Roman" w:hAnsi="Times New Roman" w:cs="Times New Roman"/>
          <w:sz w:val="18"/>
          <w:szCs w:val="18"/>
        </w:rPr>
        <w:t xml:space="preserve">миссий, указанных в пунктах 2, </w:t>
      </w:r>
      <w:r>
        <w:rPr>
          <w:rFonts w:ascii="Times New Roman" w:hAnsi="Times New Roman" w:cs="Times New Roman"/>
          <w:sz w:val="18"/>
          <w:szCs w:val="18"/>
        </w:rPr>
        <w:t xml:space="preserve">12</w:t>
      </w:r>
      <w:r>
        <w:rPr>
          <w:rFonts w:ascii="Times New Roman" w:hAnsi="Times New Roman" w:cs="Times New Roman"/>
          <w:sz w:val="18"/>
          <w:szCs w:val="18"/>
        </w:rPr>
        <w:t xml:space="preserve"> могут отличаться от установленных, в случае проведения АО «Россельхозбанк» маркетинговых акций. Размер комиссии для определенных категорий карт по указанным пунктам устанавливается правилами проведения маркетинговой акции.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по тексту настоящего Тарифного плана. Договор – договор о предоставлении и обслуживании кредитной карты с льготным периодом кредитования</w:t>
      </w:r>
      <w:r>
        <w:rPr>
          <w:rFonts w:ascii="Times New Roman" w:hAnsi="Times New Roman" w:cs="Times New Roman"/>
          <w:iCs/>
          <w:sz w:val="18"/>
          <w:szCs w:val="18"/>
        </w:rPr>
        <w:t xml:space="preserve">, состоящий из </w:t>
      </w:r>
      <w:r>
        <w:rPr>
          <w:rFonts w:ascii="Times New Roman" w:hAnsi="Times New Roman" w:cs="Times New Roman"/>
          <w:sz w:val="18"/>
          <w:szCs w:val="18"/>
        </w:rPr>
        <w:t xml:space="preserve">Соглашения, содержащего все существенные условия сделки, и Правил предоставления и использования кредитных карт АО «Россельхозбанк» с льготным периодом кредитования, </w:t>
      </w:r>
      <w:r>
        <w:rPr>
          <w:rFonts w:ascii="Times New Roman" w:hAnsi="Times New Roman" w:cs="Times New Roman"/>
          <w:iCs/>
          <w:sz w:val="18"/>
          <w:szCs w:val="18"/>
        </w:rPr>
        <w:t xml:space="preserve">заключаемый </w:t>
      </w:r>
      <w:r>
        <w:rPr>
          <w:rFonts w:ascii="Times New Roman" w:hAnsi="Times New Roman" w:cs="Times New Roman"/>
          <w:sz w:val="18"/>
          <w:szCs w:val="18"/>
        </w:rPr>
        <w:t xml:space="preserve">путем присоединения Клиента к Правилам посредством подписания Соглашения.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69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Пополнение счета производится только в валюте Российской Федерации на счет карты, открытый в валюте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8">
    <w:p>
      <w:pPr>
        <w:pStyle w:val="1169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www.rshb.ru, в пунктах выдачи наличных и банкоматах АО «Россельхозбанк»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Календарный месяц. 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5">
    <w:p>
      <w:pPr>
        <w:pStyle w:val="11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7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8512671"/>
      <w:docPartObj>
        <w:docPartGallery w:val="Page Numbers (Top of Page)"/>
        <w:docPartUnique w:val="true"/>
      </w:docPartObj>
      <w:rPr/>
    </w:sdtPr>
    <w:sdtContent>
      <w:p>
        <w:pPr>
          <w:pStyle w:val="118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1183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2.%1.1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5.2.%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3.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  <w:color w:val="auto"/>
        <w:sz w:val="20"/>
        <w:szCs w:val="20"/>
      </w:rPr>
    </w:lvl>
    <w:lvl w:ilvl="1">
      <w:start w:val="3"/>
      <w:numFmt w:val="decimal"/>
      <w:isLgl/>
      <w:suff w:val="tab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174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752" w:hanging="1440"/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5.%1.2.1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5.2.%1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2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9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928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9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4"/>
      <w:numFmt w:val="decimal"/>
      <w:isLgl w:val="false"/>
      <w:suff w:val="tab"/>
      <w:lvlText w:val="%1.3"/>
      <w:lvlJc w:val="left"/>
      <w:pPr>
        <w:ind w:left="502" w:hanging="36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4"/>
      <w:numFmt w:val="decimal"/>
      <w:pStyle w:val="1187"/>
      <w:isLgl w:val="false"/>
      <w:suff w:val="tab"/>
      <w:lvlText w:val="%1.%2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3">
    <w:multiLevelType w:val="hybridMultilevel"/>
    <w:lvl w:ilvl="0">
      <w:start w:val="3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44">
    <w:multiLevelType w:val="hybridMultilevel"/>
    <w:lvl w:ilvl="0">
      <w:start w:val="2"/>
      <w:numFmt w:val="decimal"/>
      <w:isLgl w:val="false"/>
      <w:suff w:val="tab"/>
      <w:lvlText w:val="2.%1.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6">
    <w:multiLevelType w:val="hybridMultilevel"/>
    <w:lvl w:ilvl="0">
      <w:start w:val="4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38"/>
  </w:num>
  <w:num w:numId="5">
    <w:abstractNumId w:val="22"/>
  </w:num>
  <w:num w:numId="6">
    <w:abstractNumId w:val="39"/>
  </w:num>
  <w:num w:numId="7">
    <w:abstractNumId w:val="9"/>
  </w:num>
  <w:num w:numId="8">
    <w:abstractNumId w:val="32"/>
  </w:num>
  <w:num w:numId="9">
    <w:abstractNumId w:val="46"/>
  </w:num>
  <w:num w:numId="10">
    <w:abstractNumId w:val="33"/>
  </w:num>
  <w:num w:numId="11">
    <w:abstractNumId w:val="18"/>
  </w:num>
  <w:num w:numId="12">
    <w:abstractNumId w:val="28"/>
  </w:num>
  <w:num w:numId="13">
    <w:abstractNumId w:val="25"/>
  </w:num>
  <w:num w:numId="14">
    <w:abstractNumId w:val="15"/>
  </w:num>
  <w:num w:numId="15">
    <w:abstractNumId w:val="4"/>
  </w:num>
  <w:num w:numId="16">
    <w:abstractNumId w:val="20"/>
  </w:num>
  <w:num w:numId="17">
    <w:abstractNumId w:val="45"/>
  </w:num>
  <w:num w:numId="18">
    <w:abstractNumId w:val="30"/>
  </w:num>
  <w:num w:numId="19">
    <w:abstractNumId w:val="8"/>
  </w:num>
  <w:num w:numId="20">
    <w:abstractNumId w:val="1"/>
  </w:num>
  <w:num w:numId="21">
    <w:abstractNumId w:val="24"/>
  </w:num>
  <w:num w:numId="22">
    <w:abstractNumId w:val="27"/>
  </w:num>
  <w:num w:numId="23">
    <w:abstractNumId w:val="31"/>
  </w:num>
  <w:num w:numId="24">
    <w:abstractNumId w:val="11"/>
  </w:num>
  <w:num w:numId="25">
    <w:abstractNumId w:val="0"/>
  </w:num>
  <w:num w:numId="26">
    <w:abstractNumId w:val="14"/>
  </w:num>
  <w:num w:numId="27">
    <w:abstractNumId w:val="40"/>
  </w:num>
  <w:num w:numId="28">
    <w:abstractNumId w:val="42"/>
  </w:num>
  <w:num w:numId="29">
    <w:abstractNumId w:val="23"/>
  </w:num>
  <w:num w:numId="30">
    <w:abstractNumId w:val="41"/>
  </w:num>
  <w:num w:numId="31">
    <w:abstractNumId w:val="10"/>
  </w:num>
  <w:num w:numId="32">
    <w:abstractNumId w:val="36"/>
  </w:num>
  <w:num w:numId="33">
    <w:abstractNumId w:val="16"/>
  </w:num>
  <w:num w:numId="34">
    <w:abstractNumId w:val="37"/>
  </w:num>
  <w:num w:numId="35">
    <w:abstractNumId w:val="34"/>
  </w:num>
  <w:num w:numId="36">
    <w:abstractNumId w:val="26"/>
  </w:num>
  <w:num w:numId="37">
    <w:abstractNumId w:val="13"/>
  </w:num>
  <w:num w:numId="38">
    <w:abstractNumId w:val="2"/>
  </w:num>
  <w:num w:numId="39">
    <w:abstractNumId w:val="17"/>
  </w:num>
  <w:num w:numId="40">
    <w:abstractNumId w:val="44"/>
  </w:num>
  <w:num w:numId="41">
    <w:abstractNumId w:val="3"/>
  </w:num>
  <w:num w:numId="42">
    <w:abstractNumId w:val="19"/>
  </w:num>
  <w:num w:numId="43">
    <w:abstractNumId w:val="21"/>
  </w:num>
  <w:num w:numId="44">
    <w:abstractNumId w:val="43"/>
  </w:num>
  <w:num w:numId="45">
    <w:abstractNumId w:val="35"/>
  </w:num>
  <w:num w:numId="46">
    <w:abstractNumId w:val="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3">
    <w:name w:val="Heading 1"/>
    <w:basedOn w:val="1162"/>
    <w:next w:val="1162"/>
    <w:link w:val="9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94">
    <w:name w:val="Heading 1 Char"/>
    <w:basedOn w:val="1163"/>
    <w:link w:val="993"/>
    <w:uiPriority w:val="9"/>
    <w:rPr>
      <w:rFonts w:ascii="Arial" w:hAnsi="Arial" w:eastAsia="Arial" w:cs="Arial"/>
      <w:sz w:val="40"/>
      <w:szCs w:val="40"/>
    </w:rPr>
  </w:style>
  <w:style w:type="paragraph" w:styleId="995">
    <w:name w:val="Heading 2"/>
    <w:basedOn w:val="1162"/>
    <w:next w:val="1162"/>
    <w:link w:val="9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96">
    <w:name w:val="Heading 2 Char"/>
    <w:basedOn w:val="1163"/>
    <w:link w:val="995"/>
    <w:uiPriority w:val="9"/>
    <w:rPr>
      <w:rFonts w:ascii="Arial" w:hAnsi="Arial" w:eastAsia="Arial" w:cs="Arial"/>
      <w:sz w:val="34"/>
    </w:rPr>
  </w:style>
  <w:style w:type="paragraph" w:styleId="997">
    <w:name w:val="Heading 3"/>
    <w:basedOn w:val="1162"/>
    <w:next w:val="1162"/>
    <w:link w:val="9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98">
    <w:name w:val="Heading 3 Char"/>
    <w:basedOn w:val="1163"/>
    <w:link w:val="997"/>
    <w:uiPriority w:val="9"/>
    <w:rPr>
      <w:rFonts w:ascii="Arial" w:hAnsi="Arial" w:eastAsia="Arial" w:cs="Arial"/>
      <w:sz w:val="30"/>
      <w:szCs w:val="30"/>
    </w:rPr>
  </w:style>
  <w:style w:type="paragraph" w:styleId="999">
    <w:name w:val="Heading 4"/>
    <w:basedOn w:val="1162"/>
    <w:next w:val="1162"/>
    <w:link w:val="10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0">
    <w:name w:val="Heading 4 Char"/>
    <w:basedOn w:val="1163"/>
    <w:link w:val="999"/>
    <w:uiPriority w:val="9"/>
    <w:rPr>
      <w:rFonts w:ascii="Arial" w:hAnsi="Arial" w:eastAsia="Arial" w:cs="Arial"/>
      <w:b/>
      <w:bCs/>
      <w:sz w:val="26"/>
      <w:szCs w:val="26"/>
    </w:rPr>
  </w:style>
  <w:style w:type="paragraph" w:styleId="1001">
    <w:name w:val="Heading 5"/>
    <w:basedOn w:val="1162"/>
    <w:next w:val="1162"/>
    <w:link w:val="10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02">
    <w:name w:val="Heading 5 Char"/>
    <w:basedOn w:val="1163"/>
    <w:link w:val="1001"/>
    <w:uiPriority w:val="9"/>
    <w:rPr>
      <w:rFonts w:ascii="Arial" w:hAnsi="Arial" w:eastAsia="Arial" w:cs="Arial"/>
      <w:b/>
      <w:bCs/>
      <w:sz w:val="24"/>
      <w:szCs w:val="24"/>
    </w:rPr>
  </w:style>
  <w:style w:type="paragraph" w:styleId="1003">
    <w:name w:val="Heading 6"/>
    <w:basedOn w:val="1162"/>
    <w:next w:val="1162"/>
    <w:link w:val="10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04">
    <w:name w:val="Heading 6 Char"/>
    <w:basedOn w:val="1163"/>
    <w:link w:val="1003"/>
    <w:uiPriority w:val="9"/>
    <w:rPr>
      <w:rFonts w:ascii="Arial" w:hAnsi="Arial" w:eastAsia="Arial" w:cs="Arial"/>
      <w:b/>
      <w:bCs/>
      <w:sz w:val="22"/>
      <w:szCs w:val="22"/>
    </w:rPr>
  </w:style>
  <w:style w:type="paragraph" w:styleId="1005">
    <w:name w:val="Heading 7"/>
    <w:basedOn w:val="1162"/>
    <w:next w:val="1162"/>
    <w:link w:val="10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06">
    <w:name w:val="Heading 7 Char"/>
    <w:basedOn w:val="1163"/>
    <w:link w:val="10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07">
    <w:name w:val="Heading 8"/>
    <w:basedOn w:val="1162"/>
    <w:next w:val="1162"/>
    <w:link w:val="10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08">
    <w:name w:val="Heading 8 Char"/>
    <w:basedOn w:val="1163"/>
    <w:link w:val="1007"/>
    <w:uiPriority w:val="9"/>
    <w:rPr>
      <w:rFonts w:ascii="Arial" w:hAnsi="Arial" w:eastAsia="Arial" w:cs="Arial"/>
      <w:i/>
      <w:iCs/>
      <w:sz w:val="22"/>
      <w:szCs w:val="22"/>
    </w:rPr>
  </w:style>
  <w:style w:type="paragraph" w:styleId="1009">
    <w:name w:val="Heading 9"/>
    <w:basedOn w:val="1162"/>
    <w:next w:val="1162"/>
    <w:link w:val="10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0">
    <w:name w:val="Heading 9 Char"/>
    <w:basedOn w:val="1163"/>
    <w:link w:val="1009"/>
    <w:uiPriority w:val="9"/>
    <w:rPr>
      <w:rFonts w:ascii="Arial" w:hAnsi="Arial" w:eastAsia="Arial" w:cs="Arial"/>
      <w:i/>
      <w:iCs/>
      <w:sz w:val="21"/>
      <w:szCs w:val="21"/>
    </w:rPr>
  </w:style>
  <w:style w:type="paragraph" w:styleId="1011">
    <w:name w:val="No Spacing"/>
    <w:uiPriority w:val="1"/>
    <w:qFormat/>
    <w:pPr>
      <w:spacing w:before="0" w:after="0" w:line="240" w:lineRule="auto"/>
    </w:pPr>
  </w:style>
  <w:style w:type="paragraph" w:styleId="1012">
    <w:name w:val="Title"/>
    <w:basedOn w:val="1162"/>
    <w:next w:val="1162"/>
    <w:link w:val="10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13">
    <w:name w:val="Title Char"/>
    <w:basedOn w:val="1163"/>
    <w:link w:val="1012"/>
    <w:uiPriority w:val="10"/>
    <w:rPr>
      <w:sz w:val="48"/>
      <w:szCs w:val="48"/>
    </w:rPr>
  </w:style>
  <w:style w:type="paragraph" w:styleId="1014">
    <w:name w:val="Subtitle"/>
    <w:basedOn w:val="1162"/>
    <w:next w:val="1162"/>
    <w:link w:val="1015"/>
    <w:uiPriority w:val="11"/>
    <w:qFormat/>
    <w:pPr>
      <w:spacing w:before="200" w:after="200"/>
    </w:pPr>
    <w:rPr>
      <w:sz w:val="24"/>
      <w:szCs w:val="24"/>
    </w:rPr>
  </w:style>
  <w:style w:type="character" w:styleId="1015">
    <w:name w:val="Subtitle Char"/>
    <w:basedOn w:val="1163"/>
    <w:link w:val="1014"/>
    <w:uiPriority w:val="11"/>
    <w:rPr>
      <w:sz w:val="24"/>
      <w:szCs w:val="24"/>
    </w:rPr>
  </w:style>
  <w:style w:type="paragraph" w:styleId="1016">
    <w:name w:val="Quote"/>
    <w:basedOn w:val="1162"/>
    <w:next w:val="1162"/>
    <w:link w:val="1017"/>
    <w:uiPriority w:val="29"/>
    <w:qFormat/>
    <w:pPr>
      <w:ind w:left="720" w:right="720"/>
    </w:pPr>
    <w:rPr>
      <w:i/>
    </w:rPr>
  </w:style>
  <w:style w:type="character" w:styleId="1017">
    <w:name w:val="Quote Char"/>
    <w:link w:val="1016"/>
    <w:uiPriority w:val="29"/>
    <w:rPr>
      <w:i/>
    </w:rPr>
  </w:style>
  <w:style w:type="paragraph" w:styleId="1018">
    <w:name w:val="Intense Quote"/>
    <w:basedOn w:val="1162"/>
    <w:next w:val="1162"/>
    <w:link w:val="10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9">
    <w:name w:val="Intense Quote Char"/>
    <w:link w:val="1018"/>
    <w:uiPriority w:val="30"/>
    <w:rPr>
      <w:i/>
    </w:rPr>
  </w:style>
  <w:style w:type="character" w:styleId="1020">
    <w:name w:val="Header Char"/>
    <w:basedOn w:val="1163"/>
    <w:link w:val="1183"/>
    <w:uiPriority w:val="99"/>
  </w:style>
  <w:style w:type="character" w:styleId="1021">
    <w:name w:val="Footer Char"/>
    <w:basedOn w:val="1163"/>
    <w:link w:val="1185"/>
    <w:uiPriority w:val="99"/>
  </w:style>
  <w:style w:type="paragraph" w:styleId="1022">
    <w:name w:val="Caption"/>
    <w:basedOn w:val="1162"/>
    <w:next w:val="11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23">
    <w:name w:val="Caption Char"/>
    <w:basedOn w:val="1022"/>
    <w:link w:val="1185"/>
    <w:uiPriority w:val="99"/>
  </w:style>
  <w:style w:type="table" w:styleId="1024">
    <w:name w:val="Table Grid Light"/>
    <w:basedOn w:val="11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5">
    <w:name w:val="Plain Table 1"/>
    <w:basedOn w:val="11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6">
    <w:name w:val="Plain Table 2"/>
    <w:basedOn w:val="11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7">
    <w:name w:val="Plain Table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8">
    <w:name w:val="Plain Table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Plain Table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0">
    <w:name w:val="Grid Table 1 Light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Grid Table 1 Light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Grid Table 1 Light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Grid Table 1 Light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Grid Table 1 Light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Grid Table 1 Light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Grid Table 1 Light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Grid Table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2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2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2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2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2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2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3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3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3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3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3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4"/>
    <w:basedOn w:val="11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2">
    <w:name w:val="Grid Table 4 - Accent 1"/>
    <w:basedOn w:val="11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53">
    <w:name w:val="Grid Table 4 - Accent 2"/>
    <w:basedOn w:val="11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4">
    <w:name w:val="Grid Table 4 - Accent 3"/>
    <w:basedOn w:val="11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55">
    <w:name w:val="Grid Table 4 - Accent 4"/>
    <w:basedOn w:val="11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6">
    <w:name w:val="Grid Table 4 - Accent 5"/>
    <w:basedOn w:val="11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57">
    <w:name w:val="Grid Table 4 - Accent 6"/>
    <w:basedOn w:val="11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58">
    <w:name w:val="Grid Table 5 Dark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59">
    <w:name w:val="Grid Table 5 Dark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60">
    <w:name w:val="Grid Table 5 Dark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61">
    <w:name w:val="Grid Table 5 Dark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62">
    <w:name w:val="Grid Table 5 Dark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63">
    <w:name w:val="Grid Table 5 Dark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64">
    <w:name w:val="Grid Table 5 Dark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65">
    <w:name w:val="Grid Table 6 Colorful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66">
    <w:name w:val="Grid Table 6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67">
    <w:name w:val="Grid Table 6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68">
    <w:name w:val="Grid Table 6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69">
    <w:name w:val="Grid Table 6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0">
    <w:name w:val="Grid Table 6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1">
    <w:name w:val="Grid Table 6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2">
    <w:name w:val="Grid Table 7 Colorful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7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7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7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7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7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7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List Table 1 Light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List Table 1 Light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List Table 1 Light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List Table 1 Light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List Table 1 Light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List Table 1 Light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List Table 1 Light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List Table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87">
    <w:name w:val="List Table 2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88">
    <w:name w:val="List Table 2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89">
    <w:name w:val="List Table 2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0">
    <w:name w:val="List Table 2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1">
    <w:name w:val="List Table 2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92">
    <w:name w:val="List Table 2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93">
    <w:name w:val="List Table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3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3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3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3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3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3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List Table 4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4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4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4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4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4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5 Dark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8">
    <w:name w:val="List Table 5 Dark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9">
    <w:name w:val="List Table 5 Dark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0">
    <w:name w:val="List Table 5 Dark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1">
    <w:name w:val="List Table 5 Dark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2">
    <w:name w:val="List Table 5 Dark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3">
    <w:name w:val="List Table 5 Dark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4">
    <w:name w:val="List Table 6 Colorful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15">
    <w:name w:val="List Table 6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16">
    <w:name w:val="List Table 6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17">
    <w:name w:val="List Table 6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18">
    <w:name w:val="List Table 6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19">
    <w:name w:val="List Table 6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0">
    <w:name w:val="List Table 6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1">
    <w:name w:val="List Table 7 Colorful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22">
    <w:name w:val="List Table 7 Colorful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23">
    <w:name w:val="List Table 7 Colorful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24">
    <w:name w:val="List Table 7 Colorful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25">
    <w:name w:val="List Table 7 Colorful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26">
    <w:name w:val="List Table 7 Colorful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27">
    <w:name w:val="List Table 7 Colorful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28">
    <w:name w:val="Lined - Accent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9">
    <w:name w:val="Lined - Accent 1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0">
    <w:name w:val="Lined - Accent 2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1">
    <w:name w:val="Lined - Accent 3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2">
    <w:name w:val="Lined - Accent 4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33">
    <w:name w:val="Lined - Accent 5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34">
    <w:name w:val="Lined - Accent 6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35">
    <w:name w:val="Bordered &amp; Lined - Accent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6">
    <w:name w:val="Bordered &amp; Lined - Accent 1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7">
    <w:name w:val="Bordered &amp; Lined - Accent 2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8">
    <w:name w:val="Bordered &amp; Lined - Accent 3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9">
    <w:name w:val="Bordered &amp; Lined - Accent 4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0">
    <w:name w:val="Bordered &amp; Lined - Accent 5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1">
    <w:name w:val="Bordered &amp; Lined - Accent 6"/>
    <w:basedOn w:val="11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2">
    <w:name w:val="Bordered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43">
    <w:name w:val="Bordered - Accent 1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44">
    <w:name w:val="Bordered - Accent 2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45">
    <w:name w:val="Bordered - Accent 3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46">
    <w:name w:val="Bordered - Accent 4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47">
    <w:name w:val="Bordered - Accent 5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48">
    <w:name w:val="Bordered - Accent 6"/>
    <w:basedOn w:val="11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49">
    <w:name w:val="Footnote Text Char"/>
    <w:link w:val="1169"/>
    <w:uiPriority w:val="99"/>
    <w:rPr>
      <w:sz w:val="18"/>
    </w:rPr>
  </w:style>
  <w:style w:type="character" w:styleId="1150">
    <w:name w:val="Endnote Text Char"/>
    <w:link w:val="1179"/>
    <w:uiPriority w:val="99"/>
    <w:rPr>
      <w:sz w:val="20"/>
    </w:rPr>
  </w:style>
  <w:style w:type="paragraph" w:styleId="1151">
    <w:name w:val="toc 1"/>
    <w:basedOn w:val="1162"/>
    <w:next w:val="1162"/>
    <w:uiPriority w:val="39"/>
    <w:unhideWhenUsed/>
    <w:pPr>
      <w:ind w:left="0" w:right="0" w:firstLine="0"/>
      <w:spacing w:after="57"/>
    </w:pPr>
  </w:style>
  <w:style w:type="paragraph" w:styleId="1152">
    <w:name w:val="toc 2"/>
    <w:basedOn w:val="1162"/>
    <w:next w:val="1162"/>
    <w:uiPriority w:val="39"/>
    <w:unhideWhenUsed/>
    <w:pPr>
      <w:ind w:left="283" w:right="0" w:firstLine="0"/>
      <w:spacing w:after="57"/>
    </w:pPr>
  </w:style>
  <w:style w:type="paragraph" w:styleId="1153">
    <w:name w:val="toc 3"/>
    <w:basedOn w:val="1162"/>
    <w:next w:val="1162"/>
    <w:uiPriority w:val="39"/>
    <w:unhideWhenUsed/>
    <w:pPr>
      <w:ind w:left="567" w:right="0" w:firstLine="0"/>
      <w:spacing w:after="57"/>
    </w:pPr>
  </w:style>
  <w:style w:type="paragraph" w:styleId="1154">
    <w:name w:val="toc 4"/>
    <w:basedOn w:val="1162"/>
    <w:next w:val="1162"/>
    <w:uiPriority w:val="39"/>
    <w:unhideWhenUsed/>
    <w:pPr>
      <w:ind w:left="850" w:right="0" w:firstLine="0"/>
      <w:spacing w:after="57"/>
    </w:pPr>
  </w:style>
  <w:style w:type="paragraph" w:styleId="1155">
    <w:name w:val="toc 5"/>
    <w:basedOn w:val="1162"/>
    <w:next w:val="1162"/>
    <w:uiPriority w:val="39"/>
    <w:unhideWhenUsed/>
    <w:pPr>
      <w:ind w:left="1134" w:right="0" w:firstLine="0"/>
      <w:spacing w:after="57"/>
    </w:pPr>
  </w:style>
  <w:style w:type="paragraph" w:styleId="1156">
    <w:name w:val="toc 6"/>
    <w:basedOn w:val="1162"/>
    <w:next w:val="1162"/>
    <w:uiPriority w:val="39"/>
    <w:unhideWhenUsed/>
    <w:pPr>
      <w:ind w:left="1417" w:right="0" w:firstLine="0"/>
      <w:spacing w:after="57"/>
    </w:pPr>
  </w:style>
  <w:style w:type="paragraph" w:styleId="1157">
    <w:name w:val="toc 7"/>
    <w:basedOn w:val="1162"/>
    <w:next w:val="1162"/>
    <w:uiPriority w:val="39"/>
    <w:unhideWhenUsed/>
    <w:pPr>
      <w:ind w:left="1701" w:right="0" w:firstLine="0"/>
      <w:spacing w:after="57"/>
    </w:pPr>
  </w:style>
  <w:style w:type="paragraph" w:styleId="1158">
    <w:name w:val="toc 8"/>
    <w:basedOn w:val="1162"/>
    <w:next w:val="1162"/>
    <w:uiPriority w:val="39"/>
    <w:unhideWhenUsed/>
    <w:pPr>
      <w:ind w:left="1984" w:right="0" w:firstLine="0"/>
      <w:spacing w:after="57"/>
    </w:pPr>
  </w:style>
  <w:style w:type="paragraph" w:styleId="1159">
    <w:name w:val="toc 9"/>
    <w:basedOn w:val="1162"/>
    <w:next w:val="1162"/>
    <w:uiPriority w:val="39"/>
    <w:unhideWhenUsed/>
    <w:pPr>
      <w:ind w:left="2268" w:right="0" w:firstLine="0"/>
      <w:spacing w:after="57"/>
    </w:pPr>
  </w:style>
  <w:style w:type="paragraph" w:styleId="1160">
    <w:name w:val="TOC Heading"/>
    <w:uiPriority w:val="39"/>
    <w:unhideWhenUsed/>
  </w:style>
  <w:style w:type="paragraph" w:styleId="1161">
    <w:name w:val="table of figures"/>
    <w:basedOn w:val="1162"/>
    <w:next w:val="1162"/>
    <w:uiPriority w:val="99"/>
    <w:unhideWhenUsed/>
    <w:pPr>
      <w:spacing w:after="0" w:afterAutospacing="0"/>
    </w:pPr>
  </w:style>
  <w:style w:type="paragraph" w:styleId="1162" w:default="1">
    <w:name w:val="Normal"/>
    <w:qFormat/>
  </w:style>
  <w:style w:type="character" w:styleId="1163" w:default="1">
    <w:name w:val="Default Paragraph Font"/>
    <w:uiPriority w:val="1"/>
    <w:semiHidden/>
    <w:unhideWhenUsed/>
  </w:style>
  <w:style w:type="table" w:styleId="11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65" w:default="1">
    <w:name w:val="No List"/>
    <w:uiPriority w:val="99"/>
    <w:semiHidden/>
    <w:unhideWhenUsed/>
  </w:style>
  <w:style w:type="paragraph" w:styleId="1166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167">
    <w:name w:val="Table Grid"/>
    <w:basedOn w:val="11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68">
    <w:name w:val="List Paragraph"/>
    <w:basedOn w:val="1162"/>
    <w:uiPriority w:val="34"/>
    <w:qFormat/>
    <w:pPr>
      <w:contextualSpacing/>
      <w:ind w:left="720"/>
    </w:pPr>
  </w:style>
  <w:style w:type="paragraph" w:styleId="1169">
    <w:name w:val="footnote text"/>
    <w:basedOn w:val="1162"/>
    <w:link w:val="1170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70" w:customStyle="1">
    <w:name w:val="Текст сноски Знак"/>
    <w:basedOn w:val="1163"/>
    <w:link w:val="1169"/>
    <w:uiPriority w:val="99"/>
    <w:qFormat/>
    <w:rPr>
      <w:sz w:val="20"/>
      <w:szCs w:val="20"/>
    </w:rPr>
  </w:style>
  <w:style w:type="character" w:styleId="1171">
    <w:name w:val="footnote reference"/>
    <w:basedOn w:val="1163"/>
    <w:uiPriority w:val="99"/>
    <w:unhideWhenUsed/>
    <w:qFormat/>
    <w:rPr>
      <w:vertAlign w:val="superscript"/>
    </w:rPr>
  </w:style>
  <w:style w:type="character" w:styleId="1172">
    <w:name w:val="annotation reference"/>
    <w:basedOn w:val="1163"/>
    <w:uiPriority w:val="99"/>
    <w:semiHidden/>
    <w:unhideWhenUsed/>
    <w:rPr>
      <w:sz w:val="16"/>
      <w:szCs w:val="16"/>
    </w:rPr>
  </w:style>
  <w:style w:type="paragraph" w:styleId="1173">
    <w:name w:val="annotation text"/>
    <w:basedOn w:val="1162"/>
    <w:link w:val="117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74" w:customStyle="1">
    <w:name w:val="Текст примечания Знак"/>
    <w:basedOn w:val="1163"/>
    <w:link w:val="1173"/>
    <w:uiPriority w:val="99"/>
    <w:semiHidden/>
    <w:rPr>
      <w:sz w:val="20"/>
      <w:szCs w:val="20"/>
    </w:rPr>
  </w:style>
  <w:style w:type="paragraph" w:styleId="1175">
    <w:name w:val="annotation subject"/>
    <w:basedOn w:val="1173"/>
    <w:next w:val="1173"/>
    <w:link w:val="1176"/>
    <w:uiPriority w:val="99"/>
    <w:semiHidden/>
    <w:unhideWhenUsed/>
    <w:rPr>
      <w:b/>
      <w:bCs/>
    </w:rPr>
  </w:style>
  <w:style w:type="character" w:styleId="1176" w:customStyle="1">
    <w:name w:val="Тема примечания Знак"/>
    <w:basedOn w:val="1174"/>
    <w:link w:val="1175"/>
    <w:uiPriority w:val="99"/>
    <w:semiHidden/>
    <w:rPr>
      <w:b/>
      <w:bCs/>
      <w:sz w:val="20"/>
      <w:szCs w:val="20"/>
    </w:rPr>
  </w:style>
  <w:style w:type="paragraph" w:styleId="1177">
    <w:name w:val="Balloon Text"/>
    <w:basedOn w:val="1162"/>
    <w:link w:val="11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78" w:customStyle="1">
    <w:name w:val="Текст выноски Знак"/>
    <w:basedOn w:val="1163"/>
    <w:link w:val="1177"/>
    <w:uiPriority w:val="99"/>
    <w:semiHidden/>
    <w:rPr>
      <w:rFonts w:ascii="Tahoma" w:hAnsi="Tahoma" w:cs="Tahoma"/>
      <w:sz w:val="16"/>
      <w:szCs w:val="16"/>
    </w:rPr>
  </w:style>
  <w:style w:type="paragraph" w:styleId="1179">
    <w:name w:val="endnote text"/>
    <w:basedOn w:val="1162"/>
    <w:link w:val="118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80" w:customStyle="1">
    <w:name w:val="Текст концевой сноски Знак"/>
    <w:basedOn w:val="1163"/>
    <w:link w:val="1179"/>
    <w:uiPriority w:val="99"/>
    <w:semiHidden/>
    <w:rPr>
      <w:sz w:val="20"/>
      <w:szCs w:val="20"/>
    </w:rPr>
  </w:style>
  <w:style w:type="character" w:styleId="1181">
    <w:name w:val="endnote reference"/>
    <w:basedOn w:val="1163"/>
    <w:uiPriority w:val="99"/>
    <w:semiHidden/>
    <w:unhideWhenUsed/>
    <w:rPr>
      <w:vertAlign w:val="superscript"/>
    </w:rPr>
  </w:style>
  <w:style w:type="character" w:styleId="1182">
    <w:name w:val="Hyperlink"/>
    <w:basedOn w:val="1163"/>
    <w:uiPriority w:val="99"/>
    <w:unhideWhenUsed/>
    <w:rPr>
      <w:color w:val="0000ff" w:themeColor="hyperlink"/>
      <w:u w:val="single"/>
    </w:rPr>
  </w:style>
  <w:style w:type="paragraph" w:styleId="1183">
    <w:name w:val="Header"/>
    <w:basedOn w:val="1162"/>
    <w:link w:val="11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84" w:customStyle="1">
    <w:name w:val="Верхний колонтитул Знак"/>
    <w:basedOn w:val="1163"/>
    <w:link w:val="1183"/>
    <w:uiPriority w:val="99"/>
  </w:style>
  <w:style w:type="paragraph" w:styleId="1185">
    <w:name w:val="Footer"/>
    <w:basedOn w:val="1162"/>
    <w:link w:val="11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86" w:customStyle="1">
    <w:name w:val="Нижний колонтитул Знак"/>
    <w:basedOn w:val="1163"/>
    <w:link w:val="1185"/>
    <w:uiPriority w:val="99"/>
  </w:style>
  <w:style w:type="paragraph" w:styleId="1187">
    <w:name w:val="List Number"/>
    <w:basedOn w:val="1162"/>
    <w:pPr>
      <w:numPr>
        <w:ilvl w:val="1"/>
        <w:numId w:val="45"/>
      </w:numPr>
      <w:jc w:val="both"/>
      <w:spacing w:before="60" w:after="60" w:line="240" w:lineRule="auto"/>
      <w:tabs>
        <w:tab w:val="clear" w:pos="1065" w:leader="none"/>
        <w:tab w:val="num" w:pos="144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8">
    <w:name w:val="List 2"/>
    <w:basedOn w:val="1162"/>
    <w:uiPriority w:val="99"/>
    <w:pPr>
      <w:ind w:left="566" w:hanging="283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89" w:customStyle="1">
    <w:name w:val="Noeeu1"/>
    <w:basedOn w:val="1162"/>
    <w:pPr>
      <w:ind w:firstLine="709"/>
      <w:jc w:val="both"/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  <w:style w:type="paragraph" w:styleId="1190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6FB8-7C76-475A-8262-FB765C1E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Андрусенко Татьяна Сергеевна</dc:creator>
  <cp:revision>22</cp:revision>
  <dcterms:created xsi:type="dcterms:W3CDTF">2024-03-20T11:50:00Z</dcterms:created>
  <dcterms:modified xsi:type="dcterms:W3CDTF">2025-04-11T07:52:17Z</dcterms:modified>
</cp:coreProperties>
</file>