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pPr w:horzAnchor="margin" w:tblpXSpec="left" w:vertAnchor="text" w:tblpY="248" w:leftFromText="180" w:topFromText="0" w:rightFromText="180" w:bottomFromText="0"/>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960"/>
              <w:jc w:val="center"/>
              <w:rPr>
                <w:rFonts w:ascii="Cambria" w:hAnsi="Cambria"/>
                <w:caps/>
                <w:sz w:val="32"/>
                <w:szCs w:val="32"/>
              </w:rPr>
              <w:framePr w:hSpace="180" w:wrap="around" w:vAnchor="text" w:hAnchor="margin" w:y="248"/>
            </w:pPr>
            <w:r>
              <w:rPr>
                <w:rFonts w:ascii="Cambria" w:hAnsi="Cambria" w:cs="Cambria"/>
                <w:color w:val="000000"/>
                <w:sz w:val="32"/>
                <w:szCs w:val="32"/>
              </w:rPr>
              <w:t xml:space="preserve">СМОЛЕНСКИЙ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960"/>
              <w:jc w:val="center"/>
              <w:rPr>
                <w:rFonts w:ascii="Cambria" w:hAnsi="Cambria"/>
                <w:caps/>
                <w:sz w:val="32"/>
                <w:szCs w:val="32"/>
              </w:rPr>
              <w:framePr w:hSpace="180" w:wrap="around" w:vAnchor="text" w:hAnchor="margin" w:y="248"/>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30"/>
              <w:jc w:val="center"/>
              <w:rPr>
                <w:rFonts w:ascii="Cambria" w:hAnsi="Cambria" w:cs="Cambria"/>
                <w:color w:val="000000"/>
                <w:sz w:val="48"/>
                <w:szCs w:val="48"/>
              </w:rPr>
              <w:framePr w:hSpace="180" w:wrap="around" w:vAnchor="text" w:hAnchor="margin" w:y="248"/>
            </w:pPr>
            <w:r>
              <w:rPr>
                <w:rFonts w:ascii="Cambria" w:hAnsi="Cambria" w:cs="Cambria"/>
                <w:color w:val="000000"/>
                <w:sz w:val="48"/>
                <w:szCs w:val="48"/>
              </w:rPr>
              <w:t xml:space="preserve">ТАРИФЫ</w:t>
            </w:r>
            <w:r>
              <w:rPr>
                <w:rFonts w:ascii="Cambria" w:hAnsi="Cambria" w:cs="Cambria"/>
                <w:color w:val="000000"/>
                <w:sz w:val="48"/>
                <w:szCs w:val="48"/>
              </w:rPr>
              <w:t xml:space="preserve"> </w:t>
            </w:r>
            <w:r>
              <w:rPr>
                <w:rFonts w:ascii="Cambria" w:hAnsi="Cambria" w:cs="Cambria"/>
                <w:color w:val="000000"/>
                <w:sz w:val="48"/>
                <w:szCs w:val="48"/>
              </w:rPr>
              <w:t xml:space="preserve">КОМИССИОННОГО</w:t>
            </w:r>
            <w:r>
              <w:rPr>
                <w:rFonts w:ascii="Cambria" w:hAnsi="Cambria" w:cs="Cambria"/>
                <w:color w:val="000000"/>
                <w:sz w:val="48"/>
                <w:szCs w:val="48"/>
              </w:rPr>
            </w:r>
            <w:r>
              <w:rPr>
                <w:rFonts w:ascii="Cambria" w:hAnsi="Cambria" w:cs="Cambria"/>
                <w:color w:val="000000"/>
                <w:sz w:val="48"/>
                <w:szCs w:val="48"/>
              </w:rPr>
            </w:r>
          </w:p>
          <w:p>
            <w:pPr>
              <w:pStyle w:val="930"/>
              <w:jc w:val="center"/>
              <w:rPr>
                <w:rFonts w:ascii="Cambria" w:hAnsi="Cambria" w:cs="Cambria"/>
                <w:color w:val="000000"/>
                <w:sz w:val="48"/>
                <w:szCs w:val="48"/>
              </w:rPr>
              <w:framePr w:hSpace="180" w:wrap="around" w:vAnchor="text" w:hAnchor="margin" w:y="248"/>
            </w:pPr>
            <w:r>
              <w:rPr>
                <w:rFonts w:ascii="Cambria" w:hAnsi="Cambria" w:cs="Cambria"/>
                <w:color w:val="000000"/>
                <w:sz w:val="48"/>
                <w:szCs w:val="48"/>
              </w:rPr>
              <w:t xml:space="preserve">ВОЗНАГРАЖДЕНИЯ</w:t>
            </w:r>
            <w:r>
              <w:rPr>
                <w:rFonts w:ascii="Cambria" w:hAnsi="Cambria" w:cs="Cambria"/>
                <w:color w:val="000000"/>
                <w:sz w:val="48"/>
                <w:szCs w:val="48"/>
              </w:rPr>
              <w:t xml:space="preserve"> </w:t>
            </w:r>
            <w:r>
              <w:rPr>
                <w:rFonts w:ascii="Cambria" w:hAnsi="Cambria" w:cs="Cambria"/>
                <w:color w:val="000000"/>
                <w:sz w:val="48"/>
                <w:szCs w:val="48"/>
              </w:rPr>
              <w:t xml:space="preserve">НА</w:t>
            </w:r>
            <w:r>
              <w:rPr>
                <w:rFonts w:ascii="Cambria" w:hAnsi="Cambria" w:cs="Cambria"/>
                <w:color w:val="000000"/>
                <w:sz w:val="48"/>
                <w:szCs w:val="48"/>
              </w:rPr>
              <w:t xml:space="preserve"> </w:t>
            </w:r>
            <w:r>
              <w:rPr>
                <w:rFonts w:ascii="Cambria" w:hAnsi="Cambria" w:cs="Cambria"/>
                <w:color w:val="000000"/>
                <w:sz w:val="48"/>
                <w:szCs w:val="48"/>
              </w:rPr>
              <w:t xml:space="preserve">УСЛУГИ</w:t>
            </w:r>
            <w:r>
              <w:rPr>
                <w:rFonts w:ascii="Cambria" w:hAnsi="Cambria" w:cs="Cambria"/>
                <w:color w:val="000000"/>
                <w:sz w:val="48"/>
                <w:szCs w:val="48"/>
              </w:rPr>
            </w:r>
            <w:r>
              <w:rPr>
                <w:rFonts w:ascii="Cambria" w:hAnsi="Cambria" w:cs="Cambria"/>
                <w:color w:val="000000"/>
                <w:sz w:val="48"/>
                <w:szCs w:val="48"/>
              </w:rPr>
            </w:r>
          </w:p>
          <w:p>
            <w:pPr>
              <w:pStyle w:val="960"/>
              <w:jc w:val="center"/>
              <w:rPr>
                <w:rFonts w:ascii="Cambria" w:hAnsi="Cambria"/>
                <w:sz w:val="80"/>
                <w:szCs w:val="80"/>
              </w:rPr>
              <w:framePr w:hSpace="180" w:wrap="around" w:vAnchor="text" w:hAnchor="margin" w:y="248"/>
            </w:pPr>
            <w:r>
              <w:rPr>
                <w:rFonts w:ascii="Cambria" w:hAnsi="Cambria" w:cs="Cambria"/>
                <w:color w:val="000000"/>
                <w:sz w:val="48"/>
                <w:szCs w:val="48"/>
              </w:rPr>
              <w:t xml:space="preserve">КРЕДИТНЫМ</w:t>
            </w:r>
            <w:r>
              <w:rPr>
                <w:rFonts w:ascii="Cambria" w:hAnsi="Cambria" w:cs="Cambria"/>
                <w:color w:val="000000"/>
                <w:sz w:val="48"/>
                <w:szCs w:val="48"/>
              </w:rPr>
              <w:t xml:space="preserve"> </w:t>
            </w:r>
            <w:r>
              <w:rPr>
                <w:rFonts w:ascii="Cambria" w:hAnsi="Cambria" w:cs="Cambria"/>
                <w:color w:val="000000"/>
                <w:sz w:val="48"/>
                <w:szCs w:val="48"/>
              </w:rPr>
              <w:t xml:space="preserve">ОРГАНИЗАЦИЯМ</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960"/>
              <w:jc w:val="center"/>
              <w:framePr w:hSpace="180" w:wrap="around" w:vAnchor="text" w:hAnchor="margin" w:y="248"/>
            </w:pPr>
            <w:r/>
            <w:r/>
          </w:p>
        </w:tc>
      </w:tr>
      <w:tr>
        <w:tblPrEx/>
        <w:trPr>
          <w:trHeight w:val="360"/>
        </w:trPr>
        <w:tc>
          <w:tcPr>
            <w:tcBorders>
              <w:top w:val="single" w:color="008444" w:sz="12" w:space="0"/>
            </w:tcBorders>
            <w:tcW w:w="5000" w:type="pct"/>
            <w:vAlign w:val="center"/>
            <w:textDirection w:val="lrTb"/>
            <w:noWrap w:val="false"/>
          </w:tcPr>
          <w:p>
            <w:pPr>
              <w:pStyle w:val="960"/>
              <w:jc w:val="center"/>
              <w:rPr>
                <w:b/>
                <w:bCs/>
              </w:rPr>
              <w:framePr w:hSpace="180" w:wrap="around" w:vAnchor="text" w:hAnchor="margin" w:y="248"/>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60"/>
              <w:jc w:val="center"/>
              <w:rPr>
                <w:bCs/>
                <w:sz w:val="28"/>
                <w:szCs w:val="28"/>
                <w:lang w:val="en-US"/>
              </w:rPr>
              <w:framePr w:hSpace="180" w:wrap="around" w:vAnchor="text" w:hAnchor="margin" w:y="248"/>
            </w:pPr>
            <w:r>
              <w:rPr>
                <w:rFonts w:cs="Calibri"/>
                <w:color w:val="000000"/>
                <w:sz w:val="32"/>
                <w:szCs w:val="32"/>
              </w:rPr>
              <w:t xml:space="preserve">действуют</w:t>
            </w:r>
            <w:r>
              <w:rPr>
                <w:rFonts w:cs="Calibri"/>
                <w:color w:val="000000"/>
                <w:sz w:val="32"/>
                <w:szCs w:val="32"/>
              </w:rPr>
              <w:t xml:space="preserve"> </w:t>
            </w:r>
            <w:r>
              <w:rPr>
                <w:rFonts w:cs="Calibri"/>
                <w:color w:val="000000"/>
                <w:sz w:val="32"/>
                <w:szCs w:val="32"/>
              </w:rPr>
              <w:t xml:space="preserve">с</w:t>
            </w:r>
            <w:r>
              <w:rPr>
                <w:rFonts w:cs="Calibri"/>
                <w:color w:val="000000"/>
                <w:sz w:val="32"/>
                <w:szCs w:val="32"/>
              </w:rPr>
              <w:t xml:space="preserve"> 26</w:t>
            </w:r>
            <w:r>
              <w:rPr>
                <w:rFonts w:cs="Calibri"/>
                <w:sz w:val="32"/>
                <w:szCs w:val="32"/>
              </w:rPr>
              <w:t xml:space="preserve">.</w:t>
            </w:r>
            <w:r>
              <w:rPr>
                <w:rFonts w:cs="Calibri"/>
                <w:sz w:val="32"/>
                <w:szCs w:val="32"/>
              </w:rPr>
              <w:t xml:space="preserve">11</w:t>
            </w:r>
            <w:r>
              <w:rPr>
                <w:rFonts w:cs="Calibri"/>
                <w:sz w:val="32"/>
                <w:szCs w:val="32"/>
              </w:rPr>
              <w:t xml:space="preserve">.202</w:t>
            </w:r>
            <w:r>
              <w:rPr>
                <w:rFonts w:cs="Calibri"/>
                <w:sz w:val="32"/>
                <w:szCs w:val="32"/>
              </w:rPr>
              <w:t xml:space="preserve">5</w:t>
            </w:r>
            <w:r>
              <w:rPr>
                <w:bCs/>
                <w:sz w:val="28"/>
                <w:szCs w:val="28"/>
                <w:lang w:val="en-US"/>
              </w:rPr>
            </w:r>
            <w:r>
              <w:rPr>
                <w:bCs/>
                <w:sz w:val="28"/>
                <w:szCs w:val="28"/>
                <w:lang w:val="en-US"/>
              </w:rPr>
            </w:r>
          </w:p>
        </w:tc>
      </w:tr>
    </w:tbl>
    <w:p>
      <w:pPr>
        <w:pStyle w:val="930"/>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30"/>
              <w:rPr>
                <w:rFonts w:eastAsia="Calibri"/>
                <w:b/>
                <w:color w:val="000000"/>
                <w:szCs w:val="24"/>
              </w:rPr>
            </w:pPr>
            <w:r>
              <w:rPr>
                <w:rFonts w:eastAsia="Calibri"/>
                <w:b/>
                <w:color w:val="000000"/>
                <w:szCs w:val="24"/>
              </w:rPr>
            </w:r>
            <w:r>
              <w:rPr>
                <w:rFonts w:eastAsia="Calibri"/>
                <w:b/>
                <w:color w:val="000000"/>
                <w:szCs w:val="24"/>
              </w:rPr>
            </w:r>
            <w:r>
              <w:rPr>
                <w:rFonts w:eastAsia="Calibri"/>
                <w:b/>
                <w:color w:val="000000"/>
                <w:szCs w:val="24"/>
              </w:rPr>
            </w:r>
          </w:p>
          <w:p>
            <w:pPr>
              <w:pStyle w:val="930"/>
              <w:rPr>
                <w:rFonts w:eastAsia="Calibri"/>
                <w:b/>
                <w:color w:val="000000"/>
                <w:szCs w:val="24"/>
              </w:rPr>
            </w:pPr>
            <w:r>
              <w:rPr>
                <w:rFonts w:eastAsia="Calibri"/>
                <w:b/>
                <w:color w:val="000000"/>
                <w:szCs w:val="24"/>
              </w:rPr>
              <w:t xml:space="preserve">ССП-владелец НД:</w:t>
            </w:r>
            <w:r>
              <w:rPr>
                <w:rFonts w:eastAsia="Calibri"/>
                <w:b/>
                <w:color w:val="000000"/>
                <w:szCs w:val="24"/>
              </w:rPr>
            </w:r>
            <w:r>
              <w:rPr>
                <w:rFonts w:eastAsia="Calibri"/>
                <w:b/>
                <w:color w:val="000000"/>
                <w:szCs w:val="24"/>
              </w:rPr>
            </w:r>
          </w:p>
          <w:p>
            <w:pPr>
              <w:pStyle w:val="930"/>
              <w:jc w:val="both"/>
              <w:spacing w:before="40"/>
              <w:tabs>
                <w:tab w:val="left" w:pos="1134" w:leader="none"/>
              </w:tabs>
              <w:rPr>
                <w:szCs w:val="24"/>
              </w:rPr>
            </w:pPr>
            <w:r>
              <w:rPr>
                <w:szCs w:val="24"/>
              </w:rPr>
            </w:r>
            <w:r>
              <w:rPr>
                <w:szCs w:val="24"/>
              </w:rPr>
            </w:r>
            <w:r>
              <w:rPr>
                <w:szCs w:val="24"/>
              </w:rPr>
            </w:r>
          </w:p>
        </w:tc>
        <w:tc>
          <w:tcPr>
            <w:tcW w:w="2931" w:type="pct"/>
            <w:vAlign w:val="top"/>
            <w:textDirection w:val="lrTb"/>
            <w:noWrap w:val="false"/>
          </w:tcPr>
          <w:p>
            <w:pPr>
              <w:pStyle w:val="930"/>
              <w:jc w:val="both"/>
              <w:spacing w:before="40"/>
              <w:tabs>
                <w:tab w:val="left" w:pos="1134" w:leader="none"/>
              </w:tabs>
              <w:rPr>
                <w:szCs w:val="24"/>
              </w:rPr>
            </w:pPr>
            <w:r>
              <w:t xml:space="preserve">Департамент финансовых институтов и международных расчетов (ДФИиМР)</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30"/>
              <w:rPr>
                <w:rFonts w:eastAsia="Calibri"/>
                <w:b/>
                <w:color w:val="000000"/>
                <w:szCs w:val="24"/>
              </w:rPr>
            </w:pPr>
            <w:r>
              <w:rPr>
                <w:rFonts w:eastAsia="Calibri"/>
                <w:b/>
                <w:color w:val="000000"/>
                <w:szCs w:val="24"/>
              </w:rPr>
            </w:r>
            <w:r>
              <w:rPr>
                <w:rFonts w:eastAsia="Calibri"/>
                <w:b/>
                <w:color w:val="000000"/>
                <w:szCs w:val="24"/>
              </w:rPr>
            </w:r>
            <w:r>
              <w:rPr>
                <w:rFonts w:eastAsia="Calibri"/>
                <w:b/>
                <w:color w:val="000000"/>
                <w:szCs w:val="24"/>
              </w:rPr>
            </w:r>
          </w:p>
          <w:p>
            <w:pPr>
              <w:pStyle w:val="930"/>
              <w:rPr>
                <w:rFonts w:eastAsia="Calibri"/>
                <w:b/>
                <w:color w:val="000000"/>
                <w:szCs w:val="24"/>
              </w:rPr>
            </w:pPr>
            <w:r>
              <w:rPr>
                <w:rFonts w:eastAsia="Calibri"/>
                <w:b/>
                <w:color w:val="000000"/>
                <w:szCs w:val="24"/>
              </w:rPr>
              <w:t xml:space="preserve">Код и наименование процесса(ов):</w:t>
            </w:r>
            <w:r>
              <w:rPr>
                <w:rFonts w:eastAsia="Calibri"/>
                <w:b/>
                <w:color w:val="000000"/>
                <w:szCs w:val="24"/>
              </w:rPr>
            </w:r>
            <w:r>
              <w:rPr>
                <w:rFonts w:eastAsia="Calibri"/>
                <w:b/>
                <w:color w:val="000000"/>
                <w:szCs w:val="24"/>
              </w:rPr>
            </w:r>
          </w:p>
          <w:p>
            <w:pPr>
              <w:pStyle w:val="930"/>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30"/>
              <w:jc w:val="both"/>
              <w:spacing w:before="40"/>
              <w:tabs>
                <w:tab w:val="left" w:pos="1134" w:leader="none"/>
              </w:tabs>
              <w:rPr>
                <w:szCs w:val="24"/>
              </w:rPr>
            </w:pPr>
            <w:r>
              <w:rPr>
                <w:szCs w:val="24"/>
              </w:rPr>
              <w:t xml:space="preserve">1.03.09.00.01 Открытие, закрытие и ведение корреспондентских счетов ЛОРО</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30"/>
              <w:rPr>
                <w:rFonts w:eastAsia="Calibri"/>
                <w:b/>
                <w:color w:val="000000"/>
                <w:szCs w:val="24"/>
              </w:rPr>
            </w:pPr>
            <w:r>
              <w:rPr>
                <w:rFonts w:eastAsia="Calibri"/>
                <w:b/>
                <w:color w:val="000000"/>
                <w:szCs w:val="24"/>
              </w:rPr>
            </w:r>
            <w:r>
              <w:rPr>
                <w:rFonts w:eastAsia="Calibri"/>
                <w:b/>
                <w:color w:val="000000"/>
                <w:szCs w:val="24"/>
              </w:rPr>
            </w:r>
            <w:r>
              <w:rPr>
                <w:rFonts w:eastAsia="Calibri"/>
                <w:b/>
                <w:color w:val="000000"/>
                <w:szCs w:val="24"/>
              </w:rPr>
            </w:r>
          </w:p>
          <w:p>
            <w:pPr>
              <w:pStyle w:val="930"/>
              <w:rPr>
                <w:rFonts w:eastAsia="Calibri"/>
                <w:b/>
                <w:color w:val="000000"/>
                <w:szCs w:val="24"/>
              </w:rPr>
            </w:pPr>
            <w:r>
              <w:rPr>
                <w:rFonts w:eastAsia="Calibri"/>
                <w:b/>
                <w:color w:val="000000"/>
                <w:szCs w:val="24"/>
              </w:rPr>
              <w:t xml:space="preserve">Код нормативного документа:</w:t>
            </w:r>
            <w:r>
              <w:rPr>
                <w:rFonts w:eastAsia="Calibri"/>
                <w:b/>
                <w:color w:val="000000"/>
                <w:szCs w:val="24"/>
              </w:rPr>
            </w:r>
            <w:r>
              <w:rPr>
                <w:rFonts w:eastAsia="Calibri"/>
                <w:b/>
                <w:color w:val="000000"/>
                <w:szCs w:val="24"/>
              </w:rPr>
            </w:r>
          </w:p>
          <w:p>
            <w:pPr>
              <w:pStyle w:val="930"/>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30"/>
              <w:jc w:val="both"/>
              <w:spacing w:before="40"/>
              <w:tabs>
                <w:tab w:val="left" w:pos="1134" w:leader="none"/>
              </w:tabs>
              <w:rPr>
                <w:szCs w:val="24"/>
              </w:rPr>
            </w:pPr>
            <w:r>
              <w:rPr>
                <w:szCs w:val="24"/>
              </w:rPr>
              <w:t xml:space="preserve">1-13/04</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30"/>
              <w:rPr>
                <w:rFonts w:eastAsia="Calibri"/>
                <w:b/>
                <w:color w:val="000000"/>
                <w:szCs w:val="24"/>
              </w:rPr>
            </w:pPr>
            <w:r>
              <w:rPr>
                <w:rFonts w:eastAsia="Calibri"/>
                <w:b/>
                <w:color w:val="000000"/>
                <w:szCs w:val="24"/>
              </w:rPr>
            </w:r>
            <w:r>
              <w:rPr>
                <w:rFonts w:eastAsia="Calibri"/>
                <w:b/>
                <w:color w:val="000000"/>
                <w:szCs w:val="24"/>
              </w:rPr>
            </w:r>
            <w:r>
              <w:rPr>
                <w:rFonts w:eastAsia="Calibri"/>
                <w:b/>
                <w:color w:val="000000"/>
                <w:szCs w:val="24"/>
              </w:rPr>
            </w:r>
          </w:p>
          <w:p>
            <w:pPr>
              <w:pStyle w:val="930"/>
              <w:rPr>
                <w:rFonts w:eastAsia="Calibri"/>
                <w:b/>
                <w:color w:val="000000"/>
                <w:szCs w:val="24"/>
              </w:rPr>
            </w:pPr>
            <w:r>
              <w:rPr>
                <w:rFonts w:eastAsia="Calibri"/>
                <w:b/>
                <w:color w:val="000000"/>
                <w:szCs w:val="24"/>
              </w:rPr>
              <w:t xml:space="preserve">Номер версии:</w:t>
            </w:r>
            <w:r>
              <w:rPr>
                <w:rFonts w:eastAsia="Calibri"/>
                <w:b/>
                <w:color w:val="000000"/>
                <w:szCs w:val="24"/>
              </w:rPr>
            </w:r>
            <w:r>
              <w:rPr>
                <w:rFonts w:eastAsia="Calibri"/>
                <w:b/>
                <w:color w:val="000000"/>
                <w:szCs w:val="24"/>
              </w:rPr>
            </w:r>
          </w:p>
          <w:p>
            <w:pPr>
              <w:pStyle w:val="930"/>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30"/>
              <w:jc w:val="both"/>
              <w:spacing w:before="40"/>
              <w:tabs>
                <w:tab w:val="left" w:pos="1134" w:leader="none"/>
              </w:tabs>
              <w:rPr>
                <w:szCs w:val="24"/>
              </w:rPr>
            </w:pPr>
            <w:r>
              <w:rPr>
                <w:szCs w:val="24"/>
              </w:rPr>
              <w:t xml:space="preserve">01</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30"/>
              <w:rPr>
                <w:rFonts w:eastAsia="Calibri"/>
                <w:b/>
                <w:color w:val="000000"/>
                <w:szCs w:val="24"/>
              </w:rPr>
            </w:pPr>
            <w:r>
              <w:rPr>
                <w:rFonts w:eastAsia="Calibri"/>
                <w:b/>
                <w:color w:val="000000"/>
                <w:szCs w:val="24"/>
              </w:rPr>
            </w:r>
            <w:r>
              <w:rPr>
                <w:rFonts w:eastAsia="Calibri"/>
                <w:b/>
                <w:color w:val="000000"/>
                <w:szCs w:val="24"/>
              </w:rPr>
            </w:r>
            <w:r>
              <w:rPr>
                <w:rFonts w:eastAsia="Calibri"/>
                <w:b/>
                <w:color w:val="000000"/>
                <w:szCs w:val="24"/>
              </w:rPr>
            </w:r>
          </w:p>
          <w:p>
            <w:pPr>
              <w:pStyle w:val="930"/>
              <w:rPr>
                <w:rFonts w:eastAsia="Calibri"/>
                <w:b/>
                <w:color w:val="000000"/>
                <w:szCs w:val="24"/>
              </w:rPr>
            </w:pPr>
            <w:r>
              <w:rPr>
                <w:rFonts w:eastAsia="Calibri"/>
                <w:b/>
                <w:color w:val="000000"/>
                <w:szCs w:val="24"/>
              </w:rPr>
              <w:t xml:space="preserve">Область применения:</w:t>
            </w:r>
            <w:r>
              <w:rPr>
                <w:rFonts w:eastAsia="Calibri"/>
                <w:b/>
                <w:color w:val="000000"/>
                <w:szCs w:val="24"/>
              </w:rPr>
            </w:r>
            <w:r>
              <w:rPr>
                <w:rFonts w:eastAsia="Calibri"/>
                <w:b/>
                <w:color w:val="000000"/>
                <w:szCs w:val="24"/>
              </w:rPr>
            </w:r>
          </w:p>
          <w:p>
            <w:pPr>
              <w:pStyle w:val="930"/>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30"/>
              <w:jc w:val="both"/>
              <w:spacing w:before="40"/>
              <w:tabs>
                <w:tab w:val="left" w:pos="1134" w:leader="none"/>
              </w:tabs>
              <w:rPr>
                <w:szCs w:val="24"/>
              </w:rPr>
            </w:pPr>
            <w:r>
              <w:rPr>
                <w:szCs w:val="24"/>
              </w:rPr>
              <w:t xml:space="preserve">ГО/РФ</w:t>
            </w:r>
            <w:r>
              <w:rPr>
                <w:szCs w:val="24"/>
              </w:rPr>
            </w:r>
            <w:r>
              <w:rPr>
                <w:szCs w:val="24"/>
              </w:rPr>
            </w:r>
          </w:p>
        </w:tc>
      </w:tr>
    </w:tbl>
    <w:p>
      <w:pPr>
        <w:pStyle w:val="930"/>
      </w:pPr>
      <w:r/>
      <w:r/>
    </w:p>
    <w:p>
      <w:pPr>
        <w:pStyle w:val="930"/>
      </w:pPr>
      <w:r/>
      <w:r/>
    </w:p>
    <w:p>
      <w:pPr>
        <w:pStyle w:val="930"/>
      </w:pPr>
      <w:r/>
      <w:r/>
    </w:p>
    <w:p>
      <w:pPr>
        <w:pStyle w:val="930"/>
      </w:pPr>
      <w:r/>
      <w:r/>
    </w:p>
    <w:p>
      <w:pPr>
        <w:pStyle w:val="932"/>
        <w:spacing w:before="120"/>
        <w:rPr>
          <w:sz w:val="24"/>
          <w:szCs w:val="24"/>
        </w:rP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rPr>
          <w:sz w:val="24"/>
          <w:szCs w:val="24"/>
        </w:rPr>
      </w:r>
      <w:r>
        <w:rPr>
          <w:sz w:val="24"/>
          <w:szCs w:val="24"/>
        </w:rPr>
      </w:r>
    </w:p>
    <w:p>
      <w:pPr>
        <w:pStyle w:val="930"/>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930"/>
        <w:rPr>
          <w:b/>
          <w:caps/>
          <w:sz w:val="22"/>
          <w:szCs w:val="22"/>
        </w:rPr>
      </w:pPr>
      <w:r>
        <w:rPr>
          <w:b/>
          <w:caps/>
          <w:sz w:val="22"/>
          <w:szCs w:val="22"/>
        </w:rPr>
      </w:r>
      <w:r>
        <w:rPr>
          <w:b/>
          <w:caps/>
          <w:sz w:val="22"/>
          <w:szCs w:val="22"/>
        </w:rPr>
      </w:r>
      <w:r>
        <w:rPr>
          <w:b/>
          <w:caps/>
          <w:sz w:val="22"/>
          <w:szCs w:val="22"/>
        </w:rPr>
      </w:r>
    </w:p>
    <w:p>
      <w:pPr>
        <w:pStyle w:val="963"/>
        <w:rPr>
          <w:rFonts w:ascii="Calibri" w:hAnsi="Calibri"/>
          <w:sz w:val="22"/>
          <w:szCs w:val="22"/>
        </w:rPr>
      </w:pPr>
      <w:r>
        <w:fldChar w:fldCharType="begin"/>
      </w:r>
      <w:r>
        <w:instrText xml:space="preserve"> TOC \h \z \u \t "Заголовок 4;1" </w:instrText>
      </w:r>
      <w:r>
        <w:fldChar w:fldCharType="separate"/>
      </w:r>
      <w:r>
        <w:rPr>
          <w:rStyle w:val="964"/>
        </w:rPr>
        <w:fldChar w:fldCharType="begin"/>
      </w:r>
      <w:r>
        <w:rPr>
          <w:rStyle w:val="964"/>
        </w:rPr>
        <w:instrText xml:space="preserve"> </w:instrText>
      </w:r>
      <w:r>
        <w:instrText xml:space="preserve">HYPERLINK \l "_Toc432588637"</w:instrText>
      </w:r>
      <w:r>
        <w:rPr>
          <w:rStyle w:val="964"/>
        </w:rPr>
        <w:instrText xml:space="preserve"> </w:instrText>
      </w:r>
      <w:r>
        <w:rPr>
          <w:rStyle w:val="964"/>
        </w:rPr>
        <w:fldChar w:fldCharType="separate"/>
      </w:r>
      <w:r>
        <w:rPr>
          <w:rStyle w:val="964"/>
        </w:rPr>
        <w:t xml:space="preserve">Общие положения</w:t>
      </w:r>
      <w:r>
        <w:tab/>
      </w:r>
      <w:r>
        <w:fldChar w:fldCharType="begin"/>
      </w:r>
      <w:r>
        <w:instrText xml:space="preserve"> PAGEREF _Toc432588637 \h </w:instrText>
      </w:r>
      <w:r>
        <w:fldChar w:fldCharType="separate"/>
      </w:r>
      <w:r>
        <w:t xml:space="preserve">3</w:t>
      </w:r>
      <w:r>
        <w:fldChar w:fldCharType="end"/>
      </w:r>
      <w:r>
        <w:rPr>
          <w:rStyle w:val="964"/>
        </w:rPr>
        <w:fldChar w:fldCharType="end"/>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rPr>
        <w:fldChar w:fldCharType="begin"/>
      </w:r>
      <w:r>
        <w:rPr>
          <w:rStyle w:val="964"/>
        </w:rPr>
        <w:instrText xml:space="preserve"> </w:instrText>
      </w:r>
      <w:r>
        <w:instrText xml:space="preserve">HYPERLINK \l "_Toc432588638"</w:instrText>
      </w:r>
      <w:r>
        <w:rPr>
          <w:rStyle w:val="964"/>
        </w:rPr>
        <w:instrText xml:space="preserve"> </w:instrText>
      </w:r>
      <w:r>
        <w:rPr>
          <w:rStyle w:val="964"/>
        </w:rPr>
        <w:fldChar w:fldCharType="separate"/>
      </w:r>
      <w:r>
        <w:rPr>
          <w:rStyle w:val="964"/>
        </w:rPr>
        <w:t xml:space="preserve">1. Ведение корреспондентских счетов (для респондентов)</w:t>
      </w:r>
      <w:r>
        <w:tab/>
      </w:r>
      <w:r>
        <w:fldChar w:fldCharType="begin"/>
      </w:r>
      <w:r>
        <w:instrText xml:space="preserve"> PAGEREF _Toc432588638 \h </w:instrText>
      </w:r>
      <w:r>
        <w:fldChar w:fldCharType="separate"/>
      </w:r>
      <w:r>
        <w:t xml:space="preserve">4</w:t>
      </w:r>
      <w:r>
        <w:fldChar w:fldCharType="end"/>
      </w:r>
      <w:r>
        <w:rPr>
          <w:rStyle w:val="964"/>
        </w:rPr>
        <w:fldChar w:fldCharType="end"/>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u w:val="none"/>
        </w:rPr>
        <w:fldChar w:fldCharType="begin"/>
      </w:r>
      <w:r>
        <w:rPr>
          <w:rStyle w:val="964"/>
          <w:u w:val="none"/>
        </w:rPr>
        <w:instrText xml:space="preserve"> </w:instrText>
      </w:r>
      <w:r>
        <w:instrText xml:space="preserve">HYPERLINK \l "_Toc432588639"</w:instrText>
      </w:r>
      <w:r>
        <w:rPr>
          <w:rStyle w:val="964"/>
          <w:u w:val="none"/>
        </w:rPr>
        <w:instrText xml:space="preserve"> </w:instrText>
      </w:r>
      <w:r>
        <w:rPr>
          <w:rStyle w:val="964"/>
          <w:u w:val="none"/>
        </w:rPr>
        <w:fldChar w:fldCharType="separate"/>
      </w:r>
      <w:r>
        <w:rPr>
          <w:rStyle w:val="964"/>
          <w:u w:val="none"/>
        </w:rPr>
        <w:t xml:space="preserve">2. Расчетное обслуживание (для респондентов)</w:t>
      </w:r>
      <w:r>
        <w:rPr>
          <w:rStyle w:val="964"/>
          <w:u w:val="none"/>
        </w:rPr>
        <w:fldChar w:fldCharType="end"/>
      </w:r>
      <w:r>
        <w:rPr>
          <w:rStyle w:val="964"/>
          <w:color w:val="000000"/>
          <w:u w:val="none"/>
        </w:rPr>
        <w:t xml:space="preserve">..................................................................................5</w:t>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rPr>
        <w:fldChar w:fldCharType="begin"/>
      </w:r>
      <w:r>
        <w:rPr>
          <w:rStyle w:val="964"/>
        </w:rPr>
        <w:instrText xml:space="preserve"> </w:instrText>
      </w:r>
      <w:r>
        <w:instrText xml:space="preserve">HYPERLINK \l "_Toc432588640"</w:instrText>
      </w:r>
      <w:r>
        <w:rPr>
          <w:rStyle w:val="964"/>
        </w:rPr>
        <w:instrText xml:space="preserve"> </w:instrText>
      </w:r>
      <w:r>
        <w:rPr>
          <w:rStyle w:val="964"/>
        </w:rPr>
        <w:fldChar w:fldCharType="separate"/>
      </w:r>
      <w:r>
        <w:rPr>
          <w:rStyle w:val="964"/>
        </w:rPr>
        <w:t xml:space="preserve">3. Конверсионные операции (для респондентов)</w:t>
      </w:r>
      <w:bookmarkStart w:id="0" w:name="_Hlt21605179"/>
      <w:r/>
      <w:bookmarkStart w:id="1" w:name="_Hlt21605180"/>
      <w:r>
        <w:rPr>
          <w:rStyle w:val="964"/>
        </w:rPr>
        <w:t xml:space="preserve">…………………………………………</w:t>
      </w:r>
      <w:r>
        <w:rPr>
          <w:rStyle w:val="964"/>
        </w:rPr>
        <w:t xml:space="preserve">…</w:t>
      </w:r>
      <w:r>
        <w:rPr>
          <w:rStyle w:val="964"/>
        </w:rPr>
        <w:t xml:space="preserve">……</w:t>
      </w:r>
      <w:r>
        <w:rPr>
          <w:rStyle w:val="964"/>
        </w:rPr>
        <w:t xml:space="preserve">..</w:t>
      </w:r>
      <w:r>
        <w:rPr>
          <w:rStyle w:val="964"/>
        </w:rPr>
        <w:t xml:space="preserve">  </w:t>
      </w:r>
      <w:bookmarkEnd w:id="0"/>
      <w:r/>
      <w:bookmarkEnd w:id="1"/>
      <w:r/>
      <w:bookmarkStart w:id="2" w:name="_Hlt91756061"/>
      <w:r/>
      <w:bookmarkStart w:id="3" w:name="_Hlt91756062"/>
      <w:r>
        <w:fldChar w:fldCharType="begin"/>
      </w:r>
      <w:r>
        <w:instrText xml:space="preserve"> PAGEREF _Toc432588640 \h </w:instrText>
      </w:r>
      <w:r>
        <w:fldChar w:fldCharType="separate"/>
        <w:t xml:space="preserve">8</w:t>
      </w:r>
      <w:r>
        <w:fldChar w:fldCharType="end"/>
      </w:r>
      <w:bookmarkEnd w:id="2"/>
      <w:r/>
      <w:bookmarkEnd w:id="3"/>
      <w:r>
        <w:rPr>
          <w:rStyle w:val="964"/>
        </w:rPr>
        <w:fldChar w:fldCharType="end"/>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color w:val="000000"/>
        </w:rPr>
        <w:fldChar w:fldCharType="begin"/>
      </w:r>
      <w:r>
        <w:rPr>
          <w:rStyle w:val="964"/>
          <w:color w:val="000000"/>
        </w:rPr>
        <w:instrText xml:space="preserve"> </w:instrText>
      </w:r>
      <w:r>
        <w:instrText xml:space="preserve">HYPERLINK \l "_Toc432588641"</w:instrText>
      </w:r>
      <w:r>
        <w:rPr>
          <w:rStyle w:val="964"/>
          <w:color w:val="000000"/>
        </w:rPr>
        <w:instrText xml:space="preserve"> </w:instrText>
      </w:r>
      <w:r>
        <w:rPr>
          <w:rStyle w:val="964"/>
          <w:color w:val="000000"/>
        </w:rPr>
        <w:fldChar w:fldCharType="separate"/>
      </w:r>
      <w:r>
        <w:rPr>
          <w:rStyle w:val="964"/>
          <w:color w:val="000000"/>
        </w:rPr>
        <w:t xml:space="preserve">4. Документарные </w:t>
      </w:r>
      <w:r>
        <w:rPr>
          <w:rStyle w:val="964"/>
          <w:color w:val="000000"/>
          <w:u w:val="none"/>
        </w:rPr>
        <w:t xml:space="preserve">аккредитивы</w:t>
      </w:r>
      <w:bookmarkStart w:id="4" w:name="_Hlt152316201"/>
      <w:r/>
      <w:bookmarkEnd w:id="4"/>
      <w:r>
        <w:rPr>
          <w:rStyle w:val="964"/>
          <w:color w:val="000000"/>
          <w:u w:val="none"/>
        </w:rPr>
        <w:fldChar w:fldCharType="end"/>
      </w:r>
      <w:r>
        <w:rPr>
          <w:rStyle w:val="964"/>
          <w:color w:val="000000"/>
          <w:u w:val="none"/>
        </w:rPr>
        <w:t xml:space="preserve"> </w:t>
      </w:r>
      <w:r>
        <w:rPr>
          <w:rStyle w:val="964"/>
          <w:color w:val="000000"/>
          <w:u w:val="none"/>
        </w:rPr>
        <w:t xml:space="preserve">……………………………………………………………………..</w:t>
      </w:r>
      <w:r>
        <w:rPr>
          <w:rStyle w:val="964"/>
          <w:color w:val="000000"/>
          <w:u w:val="none"/>
          <w:lang w:val="en-US"/>
        </w:rPr>
        <w:t xml:space="preserve">.</w:t>
      </w:r>
      <w:r>
        <w:rPr>
          <w:rStyle w:val="964"/>
          <w:color w:val="000000"/>
          <w:u w:val="none"/>
          <w:lang w:val="en-US"/>
        </w:rPr>
        <w:t xml:space="preserve">8</w:t>
      </w:r>
      <w:r>
        <w:rPr>
          <w:rFonts w:ascii="Calibri" w:hAnsi="Calibri"/>
          <w:sz w:val="22"/>
          <w:szCs w:val="22"/>
        </w:rPr>
      </w:r>
    </w:p>
    <w:p>
      <w:pPr>
        <w:pStyle w:val="963"/>
        <w:rPr>
          <w:rFonts w:ascii="Calibri" w:hAnsi="Calibri"/>
          <w:sz w:val="22"/>
          <w:szCs w:val="22"/>
        </w:rPr>
      </w:pPr>
      <w:r>
        <w:rPr>
          <w:rStyle w:val="964"/>
          <w:color w:val="000000"/>
        </w:rPr>
        <w:fldChar w:fldCharType="begin"/>
      </w:r>
      <w:r>
        <w:rPr>
          <w:rStyle w:val="964"/>
          <w:color w:val="000000"/>
        </w:rPr>
        <w:instrText xml:space="preserve"> </w:instrText>
      </w:r>
      <w:r>
        <w:instrText xml:space="preserve">HYPERLINK \l "_Toc432588642"</w:instrText>
      </w:r>
      <w:r>
        <w:rPr>
          <w:rStyle w:val="964"/>
          <w:color w:val="000000"/>
        </w:rPr>
        <w:instrText xml:space="preserve"> </w:instrText>
      </w:r>
      <w:r>
        <w:rPr>
          <w:rStyle w:val="964"/>
          <w:color w:val="000000"/>
        </w:rPr>
        <w:fldChar w:fldCharType="separate"/>
      </w:r>
      <w:r>
        <w:rPr>
          <w:rStyle w:val="964"/>
          <w:color w:val="000000"/>
        </w:rPr>
        <w:t xml:space="preserve">5. Инкассовые операции</w:t>
      </w:r>
      <w:r>
        <w:tab/>
      </w:r>
      <w:r>
        <w:rPr>
          <w:rStyle w:val="964"/>
          <w:color w:val="000000"/>
        </w:rPr>
        <w:fldChar w:fldCharType="end"/>
      </w:r>
      <w:r>
        <w:rPr>
          <w:rStyle w:val="964"/>
          <w:color w:val="000000"/>
          <w:u w:val="none"/>
        </w:rPr>
        <w:t xml:space="preserve">10</w:t>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color w:val="000000"/>
        </w:rPr>
        <w:fldChar w:fldCharType="begin"/>
      </w:r>
      <w:r>
        <w:rPr>
          <w:rStyle w:val="964"/>
          <w:color w:val="000000"/>
        </w:rPr>
        <w:instrText xml:space="preserve"> </w:instrText>
      </w:r>
      <w:r>
        <w:instrText xml:space="preserve">HYPERLINK \l "_Toc432588643"</w:instrText>
      </w:r>
      <w:r>
        <w:rPr>
          <w:rStyle w:val="964"/>
          <w:color w:val="000000"/>
        </w:rPr>
        <w:instrText xml:space="preserve"> </w:instrText>
      </w:r>
      <w:r>
        <w:rPr>
          <w:rStyle w:val="964"/>
          <w:color w:val="000000"/>
        </w:rPr>
        <w:fldChar w:fldCharType="separate"/>
      </w:r>
      <w:r>
        <w:rPr>
          <w:rStyle w:val="964"/>
          <w:color w:val="000000"/>
        </w:rPr>
        <w:t xml:space="preserve">6. Гарантийные операции</w:t>
      </w:r>
      <w:bookmarkStart w:id="5" w:name="_Hlt152315970"/>
      <w:r/>
      <w:bookmarkEnd w:id="5"/>
      <w:r/>
      <w:bookmarkStart w:id="6" w:name="_Hlt152315971"/>
      <w:r/>
      <w:bookmarkEnd w:id="6"/>
      <w:r>
        <w:rPr>
          <w:rStyle w:val="964"/>
          <w:color w:val="000000"/>
        </w:rPr>
        <w:fldChar w:fldCharType="end"/>
      </w:r>
      <w:r>
        <w:rPr>
          <w:rStyle w:val="964"/>
          <w:color w:val="000000"/>
          <w:u w:val="none"/>
        </w:rPr>
        <w:t xml:space="preserve"> …………………………………………………………………………</w:t>
      </w:r>
      <w:r>
        <w:rPr>
          <w:rStyle w:val="964"/>
          <w:color w:val="000000"/>
          <w:u w:val="none"/>
          <w:lang w:val="en-US"/>
        </w:rPr>
        <w:t xml:space="preserve">…</w:t>
      </w:r>
      <w:r>
        <w:rPr>
          <w:rStyle w:val="964"/>
          <w:color w:val="000000"/>
          <w:u w:val="none"/>
        </w:rPr>
        <w:t xml:space="preserve">11</w:t>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color w:val="000000"/>
        </w:rPr>
        <w:fldChar w:fldCharType="begin"/>
      </w:r>
      <w:r>
        <w:rPr>
          <w:rStyle w:val="964"/>
          <w:color w:val="000000"/>
        </w:rPr>
        <w:instrText xml:space="preserve"> </w:instrText>
      </w:r>
      <w:r>
        <w:instrText xml:space="preserve">HYPERLINK \l "_Toc432588644"</w:instrText>
      </w:r>
      <w:r>
        <w:rPr>
          <w:rStyle w:val="964"/>
          <w:color w:val="000000"/>
        </w:rPr>
        <w:instrText xml:space="preserve"> </w:instrText>
      </w:r>
      <w:r>
        <w:rPr>
          <w:rStyle w:val="964"/>
          <w:color w:val="000000"/>
        </w:rPr>
        <w:fldChar w:fldCharType="separate"/>
      </w:r>
      <w:r>
        <w:rPr>
          <w:rStyle w:val="964"/>
          <w:color w:val="000000"/>
        </w:rPr>
        <w:t xml:space="preserve">7. Операции с наличной валютой</w:t>
      </w:r>
      <w:r>
        <w:tab/>
      </w:r>
      <w:r>
        <w:fldChar w:fldCharType="begin"/>
      </w:r>
      <w:r>
        <w:instrText xml:space="preserve"> PAGEREF _Toc432588644 \h </w:instrText>
      </w:r>
      <w:r>
        <w:fldChar w:fldCharType="separate"/>
      </w:r>
      <w:r>
        <w:t xml:space="preserve">12</w:t>
      </w:r>
      <w:r>
        <w:fldChar w:fldCharType="end"/>
      </w:r>
      <w:r>
        <w:rPr>
          <w:rStyle w:val="964"/>
          <w:color w:val="000000"/>
        </w:rPr>
        <w:fldChar w:fldCharType="end"/>
      </w:r>
      <w:r>
        <w:rPr>
          <w:rFonts w:ascii="Calibri" w:hAnsi="Calibri"/>
          <w:sz w:val="22"/>
          <w:szCs w:val="22"/>
        </w:rPr>
      </w:r>
      <w:r>
        <w:rPr>
          <w:rFonts w:ascii="Calibri" w:hAnsi="Calibri"/>
          <w:sz w:val="22"/>
          <w:szCs w:val="22"/>
        </w:rPr>
      </w:r>
    </w:p>
    <w:p>
      <w:pPr>
        <w:pStyle w:val="963"/>
        <w:rPr>
          <w:rFonts w:ascii="Calibri" w:hAnsi="Calibri"/>
          <w:sz w:val="22"/>
          <w:szCs w:val="22"/>
        </w:rPr>
      </w:pPr>
      <w:r>
        <w:rPr>
          <w:rStyle w:val="964"/>
        </w:rPr>
        <w:fldChar w:fldCharType="begin"/>
      </w:r>
      <w:r>
        <w:rPr>
          <w:rStyle w:val="964"/>
        </w:rPr>
        <w:instrText xml:space="preserve"> </w:instrText>
      </w:r>
      <w:r>
        <w:instrText xml:space="preserve">HYPERLINK \l "_Toc432588645"</w:instrText>
      </w:r>
      <w:r>
        <w:rPr>
          <w:rStyle w:val="964"/>
        </w:rPr>
        <w:instrText xml:space="preserve"> </w:instrText>
      </w:r>
      <w:r>
        <w:rPr>
          <w:rStyle w:val="964"/>
        </w:rPr>
        <w:fldChar w:fldCharType="separate"/>
      </w:r>
      <w:r>
        <w:rPr>
          <w:rStyle w:val="964"/>
        </w:rPr>
        <w:t xml:space="preserve">8. Операции с ценными бумагами</w:t>
      </w:r>
      <w:r>
        <w:tab/>
      </w:r>
      <w:r>
        <w:fldChar w:fldCharType="begin"/>
      </w:r>
      <w:r>
        <w:instrText xml:space="preserve"> PAGEREF _Toc432588645 \h </w:instrText>
      </w:r>
      <w:r>
        <w:fldChar w:fldCharType="separate"/>
      </w:r>
      <w:r>
        <w:t xml:space="preserve">13</w:t>
      </w:r>
      <w:r>
        <w:fldChar w:fldCharType="end"/>
      </w:r>
      <w:r>
        <w:rPr>
          <w:rStyle w:val="964"/>
        </w:rPr>
        <w:fldChar w:fldCharType="end"/>
      </w:r>
      <w:r>
        <w:rPr>
          <w:rFonts w:ascii="Calibri" w:hAnsi="Calibri"/>
          <w:sz w:val="22"/>
          <w:szCs w:val="22"/>
        </w:rPr>
      </w:r>
      <w:r>
        <w:rPr>
          <w:rFonts w:ascii="Calibri" w:hAnsi="Calibri"/>
          <w:sz w:val="22"/>
          <w:szCs w:val="22"/>
        </w:rPr>
      </w:r>
    </w:p>
    <w:p>
      <w:pPr>
        <w:pStyle w:val="963"/>
        <w:rPr>
          <w:rFonts w:ascii="Calibri" w:hAnsi="Calibri"/>
          <w:color w:val="000000"/>
          <w:sz w:val="22"/>
          <w:szCs w:val="22"/>
        </w:rPr>
      </w:pPr>
      <w:r>
        <w:rPr>
          <w:rStyle w:val="964"/>
        </w:rPr>
        <w:fldChar w:fldCharType="begin"/>
      </w:r>
      <w:r>
        <w:rPr>
          <w:rStyle w:val="964"/>
        </w:rPr>
        <w:instrText xml:space="preserve"> </w:instrText>
      </w:r>
      <w:r>
        <w:instrText xml:space="preserve">HYPERLINK \l "_Toc432588646"</w:instrText>
      </w:r>
      <w:r>
        <w:rPr>
          <w:rStyle w:val="964"/>
        </w:rPr>
        <w:instrText xml:space="preserve"> </w:instrText>
      </w:r>
      <w:r>
        <w:rPr>
          <w:rStyle w:val="964"/>
        </w:rPr>
        <w:fldChar w:fldCharType="separate"/>
      </w:r>
      <w:r>
        <w:rPr>
          <w:rStyle w:val="964"/>
        </w:rPr>
        <w:t xml:space="preserve">9. Депозитарные услуги</w:t>
      </w:r>
      <w:r>
        <w:tab/>
      </w:r>
      <w:r>
        <w:fldChar w:fldCharType="begin"/>
      </w:r>
      <w:r>
        <w:instrText xml:space="preserve"> PAGEREF _Toc432588646 \h </w:instrText>
      </w:r>
      <w:r>
        <w:fldChar w:fldCharType="separate"/>
      </w:r>
      <w:r>
        <w:t xml:space="preserve">13</w:t>
      </w:r>
      <w:bookmarkStart w:id="7" w:name="_Hlt13127586"/>
      <w:r/>
      <w:bookmarkEnd w:id="7"/>
      <w:r/>
      <w:bookmarkStart w:id="8" w:name="_Hlt13127587"/>
      <w:r/>
      <w:bookmarkEnd w:id="8"/>
      <w:r>
        <w:fldChar w:fldCharType="end"/>
      </w:r>
      <w:r>
        <w:rPr>
          <w:rStyle w:val="964"/>
        </w:rPr>
        <w:fldChar w:fldCharType="end"/>
      </w:r>
      <w:r>
        <w:rPr>
          <w:rFonts w:ascii="Calibri" w:hAnsi="Calibri"/>
          <w:color w:val="000000"/>
          <w:sz w:val="22"/>
          <w:szCs w:val="22"/>
        </w:rPr>
      </w:r>
      <w:r>
        <w:rPr>
          <w:rFonts w:ascii="Calibri" w:hAnsi="Calibri"/>
          <w:color w:val="000000"/>
          <w:sz w:val="22"/>
          <w:szCs w:val="22"/>
        </w:rPr>
      </w:r>
    </w:p>
    <w:p>
      <w:pPr>
        <w:pStyle w:val="963"/>
        <w:rPr>
          <w:rFonts w:ascii="Calibri" w:hAnsi="Calibri"/>
          <w:sz w:val="22"/>
          <w:szCs w:val="22"/>
        </w:rPr>
      </w:pPr>
      <w:r>
        <w:rPr>
          <w:rStyle w:val="964"/>
          <w:color w:val="000000"/>
        </w:rPr>
        <w:fldChar w:fldCharType="begin"/>
      </w:r>
      <w:r>
        <w:rPr>
          <w:rStyle w:val="964"/>
          <w:color w:val="000000"/>
        </w:rPr>
        <w:instrText xml:space="preserve"> </w:instrText>
      </w:r>
      <w:r>
        <w:instrText xml:space="preserve">HYPERLINK \l "_Toc432588647"</w:instrText>
      </w:r>
      <w:r>
        <w:rPr>
          <w:rStyle w:val="964"/>
          <w:color w:val="000000"/>
        </w:rPr>
        <w:instrText xml:space="preserve"> </w:instrText>
      </w:r>
      <w:r>
        <w:rPr>
          <w:rStyle w:val="964"/>
          <w:color w:val="000000"/>
        </w:rPr>
        <w:fldChar w:fldCharType="separate"/>
      </w:r>
      <w:r>
        <w:rPr>
          <w:rStyle w:val="964"/>
          <w:color w:val="000000"/>
        </w:rPr>
        <w:t xml:space="preserve">10. Услуги платежного агента (при обслуживании эмитентов облигаций)</w:t>
      </w:r>
      <w:r>
        <w:tab/>
      </w:r>
      <w:r>
        <w:fldChar w:fldCharType="begin"/>
      </w:r>
      <w:r>
        <w:instrText xml:space="preserve"> PAGEREF _Toc432588647 \h </w:instrText>
      </w:r>
      <w:r>
        <w:fldChar w:fldCharType="separate"/>
      </w:r>
      <w:r>
        <w:t xml:space="preserve">18</w:t>
      </w:r>
      <w:r>
        <w:fldChar w:fldCharType="end"/>
      </w:r>
      <w:r>
        <w:rPr>
          <w:rStyle w:val="964"/>
          <w:color w:val="000000"/>
          <w:u w:val="none"/>
        </w:rPr>
        <w:fldChar w:fldCharType="end"/>
      </w:r>
      <w:r>
        <w:rPr>
          <w:rFonts w:ascii="Calibri" w:hAnsi="Calibri"/>
          <w:sz w:val="22"/>
          <w:szCs w:val="22"/>
        </w:rPr>
      </w:r>
      <w:r>
        <w:rPr>
          <w:rFonts w:ascii="Calibri" w:hAnsi="Calibri"/>
          <w:sz w:val="22"/>
          <w:szCs w:val="22"/>
        </w:rPr>
      </w:r>
    </w:p>
    <w:p>
      <w:pPr>
        <w:pStyle w:val="963"/>
        <w:rPr>
          <w:rStyle w:val="964"/>
          <w:u w:val="none"/>
        </w:rPr>
      </w:pPr>
      <w:r>
        <w:rPr>
          <w:rStyle w:val="964"/>
        </w:rPr>
        <w:fldChar w:fldCharType="begin"/>
      </w:r>
      <w:r>
        <w:rPr>
          <w:rStyle w:val="964"/>
        </w:rPr>
        <w:instrText xml:space="preserve"> </w:instrText>
      </w:r>
      <w:r>
        <w:instrText xml:space="preserve">HYPERLINK \l "_Toc432588648"</w:instrText>
      </w:r>
      <w:r>
        <w:rPr>
          <w:rStyle w:val="964"/>
        </w:rPr>
        <w:instrText xml:space="preserve"> </w:instrText>
      </w:r>
      <w:r>
        <w:rPr>
          <w:rStyle w:val="964"/>
        </w:rPr>
        <w:fldChar w:fldCharType="separate"/>
      </w:r>
      <w:r>
        <w:rPr>
          <w:rStyle w:val="964"/>
        </w:rPr>
        <w:t xml:space="preserve">11. Операции с монетами из драгоценных металлов</w:t>
      </w:r>
      <w:r>
        <w:tab/>
      </w:r>
      <w:r>
        <w:fldChar w:fldCharType="begin"/>
      </w:r>
      <w:r>
        <w:instrText xml:space="preserve"> PAGEREF _Toc432588648 \h </w:instrText>
      </w:r>
      <w:r>
        <w:fldChar w:fldCharType="separate"/>
      </w:r>
      <w:r>
        <w:t xml:space="preserve">18</w:t>
      </w:r>
      <w:r>
        <w:fldChar w:fldCharType="end"/>
      </w:r>
      <w:r>
        <w:rPr>
          <w:rStyle w:val="964"/>
          <w:u w:val="none"/>
        </w:rPr>
        <w:fldChar w:fldCharType="end"/>
      </w:r>
      <w:r>
        <w:rPr>
          <w:rStyle w:val="964"/>
          <w:u w:val="none"/>
        </w:rPr>
      </w:r>
      <w:r>
        <w:rPr>
          <w:rStyle w:val="964"/>
          <w:u w:val="none"/>
        </w:rPr>
      </w:r>
    </w:p>
    <w:p>
      <w:pPr>
        <w:pStyle w:val="963"/>
      </w:pPr>
      <w:r>
        <w:rPr>
          <w:rStyle w:val="964"/>
          <w:color w:val="000000"/>
        </w:rPr>
        <w:fldChar w:fldCharType="begin"/>
      </w:r>
      <w:r>
        <w:rPr>
          <w:rStyle w:val="964"/>
          <w:color w:val="000000"/>
        </w:rPr>
        <w:instrText xml:space="preserve"> </w:instrText>
      </w:r>
      <w:r>
        <w:instrText xml:space="preserve">HYPERLINK \l "_Toc432588648"</w:instrText>
      </w:r>
      <w:r>
        <w:rPr>
          <w:rStyle w:val="964"/>
          <w:color w:val="000000"/>
        </w:rPr>
        <w:instrText xml:space="preserve"> </w:instrText>
      </w:r>
      <w:r>
        <w:rPr>
          <w:rStyle w:val="964"/>
          <w:color w:val="000000"/>
        </w:rPr>
        <w:fldChar w:fldCharType="separate"/>
      </w:r>
      <w:r>
        <w:rPr>
          <w:rStyle w:val="964"/>
          <w:color w:val="000000"/>
        </w:rPr>
        <w:t xml:space="preserve">12. </w:t>
      </w:r>
      <w:r>
        <w:rPr>
          <w:rStyle w:val="964"/>
          <w:color w:val="000000"/>
        </w:rPr>
        <w:t xml:space="preserve">Услуги перевозки денежной наличности, других ценностей и обслуживания банкоматов, информационно – платежных терминалов</w:t>
      </w:r>
      <w:r>
        <w:rPr>
          <w:rStyle w:val="964"/>
          <w:color w:val="000000"/>
        </w:rPr>
        <w:t xml:space="preserve">                                                                                         19</w:t>
      </w:r>
      <w:r>
        <w:rPr>
          <w:rStyle w:val="964"/>
          <w:color w:val="000000"/>
          <w:u w:val="none"/>
        </w:rPr>
        <w:fldChar w:fldCharType="end"/>
      </w:r>
      <w:r>
        <w:fldChar w:fldCharType="end"/>
      </w:r>
      <w:r/>
      <w:r/>
    </w:p>
    <w:p>
      <w:pPr>
        <w:pStyle w:val="963"/>
        <w:rPr>
          <w:b/>
          <w:bCs/>
          <w:caps/>
          <w:sz w:val="22"/>
          <w:szCs w:val="22"/>
        </w:rPr>
      </w:pPr>
      <w:r>
        <w:t xml:space="preserve">1</w:t>
      </w:r>
      <w:r>
        <w:t xml:space="preserve">3</w:t>
      </w:r>
      <w:r>
        <w:t xml:space="preserve">. Сделки на Монетной площадке Банка России </w:t>
        <w:tab/>
      </w:r>
      <w:r>
        <w:t xml:space="preserve">20</w:t>
      </w:r>
      <w:r>
        <w:rPr>
          <w:b/>
          <w:caps/>
          <w:sz w:val="22"/>
          <w:szCs w:val="22"/>
        </w:rPr>
      </w:r>
      <w:r/>
    </w:p>
    <w:p>
      <w:pPr>
        <w:pStyle w:val="963"/>
      </w:pPr>
      <w:r>
        <w:rPr>
          <w:b/>
          <w:caps/>
          <w:sz w:val="22"/>
          <w:szCs w:val="22"/>
        </w:rPr>
        <w:br w:type="page" w:clear="all"/>
      </w:r>
      <w:r/>
      <w:r/>
    </w:p>
    <w:p>
      <w:pPr>
        <w:pStyle w:val="934"/>
        <w:jc w:val="left"/>
      </w:pPr>
      <w:r>
        <w:t xml:space="preserve">                                                        </w:t>
      </w:r>
      <w:bookmarkStart w:id="9" w:name="_Toc432588637"/>
      <w:r>
        <w:t xml:space="preserve">Общие</w:t>
      </w:r>
      <w:r>
        <w:t xml:space="preserve"> </w:t>
      </w:r>
      <w:r>
        <w:t xml:space="preserve">положения</w:t>
      </w:r>
      <w:bookmarkEnd w:id="9"/>
      <w:r/>
      <w:r/>
    </w:p>
    <w:p>
      <w:pPr>
        <w:pStyle w:val="930"/>
      </w:pPr>
      <w:r/>
      <w:r/>
    </w:p>
    <w:p>
      <w:pPr>
        <w:pStyle w:val="958"/>
        <w:rPr>
          <w:sz w:val="23"/>
          <w:szCs w:val="23"/>
        </w:rPr>
      </w:pPr>
      <w:r>
        <w:rPr>
          <w:sz w:val="23"/>
          <w:szCs w:val="23"/>
        </w:rPr>
        <w:t xml:space="preserve">1. Акционерное общество «Российский Сельскохозяйственный банк» (далее - Банк) применяет Тарифы комиссионного вознаграждения на услуги, предоставляемые кредитным организациям (далее – Тари</w:t>
      </w:r>
      <w:r>
        <w:rPr>
          <w:sz w:val="23"/>
          <w:szCs w:val="23"/>
        </w:rPr>
        <w:t xml:space="preserve">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 Открытие корреспондентских счетов осуществляется только в головном офисе Банка. </w:t>
      </w:r>
      <w:r>
        <w:rPr>
          <w:sz w:val="23"/>
          <w:szCs w:val="23"/>
        </w:rPr>
      </w:r>
      <w:r>
        <w:rPr>
          <w:sz w:val="23"/>
          <w:szCs w:val="23"/>
        </w:rPr>
      </w:r>
    </w:p>
    <w:p>
      <w:pPr>
        <w:pStyle w:val="958"/>
        <w:rPr>
          <w:sz w:val="23"/>
          <w:szCs w:val="23"/>
        </w:rPr>
      </w:pPr>
      <w:r>
        <w:rPr>
          <w:sz w:val="23"/>
          <w:szCs w:val="23"/>
        </w:rPr>
        <w:t xml:space="preserve">2. Установление размера комиссионного вознагражде</w:t>
      </w:r>
      <w:r>
        <w:rPr>
          <w:sz w:val="23"/>
          <w:szCs w:val="23"/>
        </w:rPr>
        <w:t xml:space="preserve">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 </w:t>
      </w:r>
      <w:r>
        <w:rPr>
          <w:sz w:val="23"/>
          <w:szCs w:val="23"/>
        </w:rPr>
      </w:r>
      <w:r>
        <w:rPr>
          <w:sz w:val="23"/>
          <w:szCs w:val="23"/>
        </w:rPr>
      </w:r>
    </w:p>
    <w:p>
      <w:pPr>
        <w:pStyle w:val="958"/>
        <w:rPr>
          <w:sz w:val="23"/>
          <w:szCs w:val="23"/>
        </w:rPr>
      </w:pPr>
      <w:r>
        <w:rPr>
          <w:sz w:val="23"/>
          <w:szCs w:val="23"/>
        </w:rPr>
        <w:t xml:space="preserve">3. Внесение дополнений и изменений в настоящие Тарифы произ</w:t>
      </w:r>
      <w:r>
        <w:rPr>
          <w:sz w:val="23"/>
          <w:szCs w:val="23"/>
        </w:rPr>
        <w:t xml:space="preserve">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 либо путем размещения действующей редакции Тарифов на официальном интернет-сайте АО «Россельхозбанк». </w:t>
      </w:r>
      <w:r>
        <w:rPr>
          <w:sz w:val="23"/>
          <w:szCs w:val="23"/>
        </w:rPr>
      </w:r>
      <w:r>
        <w:rPr>
          <w:sz w:val="23"/>
          <w:szCs w:val="23"/>
        </w:rPr>
      </w:r>
    </w:p>
    <w:p>
      <w:pPr>
        <w:pStyle w:val="958"/>
        <w:rPr>
          <w:sz w:val="23"/>
          <w:szCs w:val="23"/>
        </w:rPr>
      </w:pPr>
      <w:r>
        <w:rPr>
          <w:sz w:val="23"/>
          <w:szCs w:val="23"/>
        </w:rPr>
        <w:t xml:space="preserve">4. 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 </w:t>
      </w:r>
      <w:r>
        <w:rPr>
          <w:sz w:val="23"/>
          <w:szCs w:val="23"/>
        </w:rPr>
      </w:r>
      <w:r>
        <w:rPr>
          <w:sz w:val="23"/>
          <w:szCs w:val="23"/>
        </w:rPr>
      </w:r>
    </w:p>
    <w:p>
      <w:pPr>
        <w:pStyle w:val="958"/>
        <w:rPr>
          <w:sz w:val="23"/>
          <w:szCs w:val="23"/>
        </w:rPr>
      </w:pPr>
      <w:r>
        <w:rPr>
          <w:sz w:val="23"/>
          <w:szCs w:val="23"/>
        </w:rPr>
        <w:t xml:space="preserve">5. 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эквивалентно</w:t>
      </w:r>
      <w:r>
        <w:rPr>
          <w:sz w:val="23"/>
          <w:szCs w:val="23"/>
        </w:rPr>
        <w:t xml:space="preserve">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комиссионно</w:t>
      </w:r>
      <w:r>
        <w:rPr>
          <w:sz w:val="23"/>
          <w:szCs w:val="23"/>
        </w:rPr>
        <w:t xml:space="preserve">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 </w:t>
      </w:r>
      <w:r>
        <w:rPr>
          <w:sz w:val="23"/>
          <w:szCs w:val="23"/>
        </w:rPr>
      </w:r>
      <w:r>
        <w:rPr>
          <w:sz w:val="23"/>
          <w:szCs w:val="23"/>
        </w:rPr>
      </w:r>
    </w:p>
    <w:p>
      <w:pPr>
        <w:pStyle w:val="958"/>
        <w:rPr>
          <w:sz w:val="23"/>
          <w:szCs w:val="23"/>
        </w:rPr>
      </w:pPr>
      <w:r>
        <w:rPr>
          <w:sz w:val="23"/>
          <w:szCs w:val="23"/>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 </w:t>
      </w:r>
      <w:r>
        <w:rPr>
          <w:sz w:val="23"/>
          <w:szCs w:val="23"/>
        </w:rPr>
      </w:r>
      <w:r>
        <w:rPr>
          <w:sz w:val="23"/>
          <w:szCs w:val="23"/>
        </w:rPr>
      </w:r>
    </w:p>
    <w:p>
      <w:pPr>
        <w:pStyle w:val="958"/>
        <w:rPr>
          <w:sz w:val="23"/>
          <w:szCs w:val="23"/>
        </w:rPr>
      </w:pPr>
      <w:r>
        <w:rPr>
          <w:sz w:val="23"/>
          <w:szCs w:val="23"/>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 </w:t>
      </w:r>
      <w:r>
        <w:rPr>
          <w:sz w:val="23"/>
          <w:szCs w:val="23"/>
        </w:rPr>
        <w:t xml:space="preserve">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применен</w:t>
      </w:r>
      <w:r>
        <w:rPr>
          <w:sz w:val="23"/>
          <w:szCs w:val="23"/>
        </w:rPr>
        <w:t xml:space="preserve">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 </w:t>
      </w:r>
      <w:r>
        <w:rPr>
          <w:sz w:val="23"/>
          <w:szCs w:val="23"/>
        </w:rPr>
      </w:r>
      <w:r>
        <w:rPr>
          <w:sz w:val="23"/>
          <w:szCs w:val="23"/>
        </w:rPr>
      </w:r>
    </w:p>
    <w:p>
      <w:pPr>
        <w:pStyle w:val="958"/>
        <w:rPr>
          <w:sz w:val="23"/>
          <w:szCs w:val="23"/>
        </w:rPr>
      </w:pPr>
      <w:r>
        <w:rPr>
          <w:sz w:val="23"/>
          <w:szCs w:val="23"/>
        </w:rPr>
        <w:t xml:space="preserve">Если остаток средств на счетах респондента не позволит осу</w:t>
      </w:r>
      <w:r>
        <w:rPr>
          <w:sz w:val="23"/>
          <w:szCs w:val="23"/>
        </w:rPr>
        <w:t xml:space="preserve">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 </w:t>
      </w:r>
      <w:r>
        <w:rPr>
          <w:sz w:val="23"/>
          <w:szCs w:val="23"/>
        </w:rPr>
      </w:r>
      <w:r>
        <w:rPr>
          <w:sz w:val="23"/>
          <w:szCs w:val="23"/>
        </w:rPr>
      </w:r>
    </w:p>
    <w:p>
      <w:pPr>
        <w:pStyle w:val="958"/>
        <w:rPr>
          <w:sz w:val="23"/>
          <w:szCs w:val="23"/>
        </w:rPr>
      </w:pPr>
      <w:r>
        <w:rPr>
          <w:sz w:val="23"/>
          <w:szCs w:val="23"/>
        </w:rPr>
        <w:t xml:space="preserve">Кредитные организации, не имеющие корреспондентского счета ЛОРО в Банке, осуществляют уп</w:t>
      </w:r>
      <w:r>
        <w:rPr>
          <w:sz w:val="23"/>
          <w:szCs w:val="23"/>
        </w:rPr>
        <w:t xml:space="preserve">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 </w:t>
      </w:r>
      <w:r>
        <w:rPr>
          <w:sz w:val="23"/>
          <w:szCs w:val="23"/>
        </w:rPr>
      </w:r>
      <w:r>
        <w:rPr>
          <w:sz w:val="23"/>
          <w:szCs w:val="23"/>
        </w:rPr>
      </w:r>
    </w:p>
    <w:p>
      <w:pPr>
        <w:pStyle w:val="958"/>
        <w:rPr>
          <w:sz w:val="23"/>
          <w:szCs w:val="23"/>
        </w:rPr>
      </w:pPr>
      <w:r>
        <w:rPr>
          <w:sz w:val="23"/>
          <w:szCs w:val="23"/>
        </w:rPr>
        <w:t xml:space="preserve">6. 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 </w:t>
      </w:r>
      <w:r>
        <w:rPr>
          <w:sz w:val="23"/>
          <w:szCs w:val="23"/>
        </w:rPr>
      </w:r>
      <w:r>
        <w:rPr>
          <w:sz w:val="23"/>
          <w:szCs w:val="23"/>
        </w:rPr>
      </w:r>
    </w:p>
    <w:p>
      <w:pPr>
        <w:pStyle w:val="958"/>
        <w:rPr>
          <w:color w:val="000000"/>
          <w:sz w:val="23"/>
          <w:szCs w:val="23"/>
        </w:rPr>
      </w:pPr>
      <w:r>
        <w:rPr>
          <w:color w:val="000000"/>
          <w:sz w:val="23"/>
          <w:szCs w:val="23"/>
        </w:rPr>
        <w:t xml:space="preserve">7. Возмещение почтовых и других расходов Банка, а также комиссий и расходов третьих банков (банков-посредников) по документарным операциям, если таковые возникают, осуществляется банками-контрагентами дополнительно к комиссиям, указанным в Тарифах. </w:t>
      </w:r>
      <w:r>
        <w:rPr>
          <w:color w:val="000000"/>
          <w:sz w:val="23"/>
          <w:szCs w:val="23"/>
        </w:rPr>
      </w:r>
      <w:r>
        <w:rPr>
          <w:color w:val="000000"/>
          <w:sz w:val="23"/>
          <w:szCs w:val="23"/>
        </w:rPr>
      </w:r>
    </w:p>
    <w:p>
      <w:pPr>
        <w:pStyle w:val="930"/>
        <w:jc w:val="both"/>
        <w:rPr>
          <w:color w:val="ff0000"/>
          <w:sz w:val="20"/>
        </w:rPr>
      </w:pPr>
      <w:r>
        <w:rPr>
          <w:sz w:val="23"/>
          <w:szCs w:val="23"/>
        </w:rPr>
        <w:t xml:space="preserve">8. Комиссии, взысканные Банком за оказание услуг (кроме ошибочно удержанных), возврату не подлежат.</w:t>
      </w:r>
      <w:r>
        <w:rPr>
          <w:color w:val="ff0000"/>
          <w:sz w:val="20"/>
        </w:rPr>
      </w:r>
      <w:r>
        <w:rPr>
          <w:color w:val="ff0000"/>
          <w:sz w:val="20"/>
        </w:rPr>
      </w:r>
    </w:p>
    <w:p>
      <w:pPr>
        <w:pStyle w:val="930"/>
        <w:jc w:val="both"/>
        <w:rPr>
          <w:color w:val="ff0000"/>
          <w:sz w:val="20"/>
        </w:rPr>
      </w:pPr>
      <w:r>
        <w:rPr>
          <w:color w:val="ff0000"/>
          <w:sz w:val="20"/>
        </w:rPr>
      </w:r>
      <w:r>
        <w:rPr>
          <w:color w:val="ff0000"/>
          <w:sz w:val="20"/>
        </w:rPr>
      </w:r>
      <w:r>
        <w:rPr>
          <w:color w:val="ff0000"/>
          <w:sz w:val="20"/>
        </w:rPr>
      </w:r>
    </w:p>
    <w:p>
      <w:pPr>
        <w:pStyle w:val="930"/>
        <w:jc w:val="both"/>
        <w:rPr>
          <w:color w:val="ff0000"/>
          <w:sz w:val="20"/>
        </w:rPr>
      </w:pPr>
      <w:r>
        <w:rPr>
          <w:color w:val="ff0000"/>
          <w:sz w:val="20"/>
        </w:rPr>
      </w:r>
      <w:r>
        <w:rPr>
          <w:color w:val="ff0000"/>
          <w:sz w:val="20"/>
        </w:rPr>
      </w:r>
      <w:r>
        <w:rPr>
          <w:color w:val="ff0000"/>
          <w:sz w:val="20"/>
        </w:rPr>
      </w:r>
    </w:p>
    <w:p>
      <w:pPr>
        <w:pStyle w:val="934"/>
      </w:pPr>
      <w:r/>
      <w:bookmarkStart w:id="10" w:name="_Toc432588638"/>
      <w:r/>
      <w:r/>
    </w:p>
    <w:p>
      <w:pPr>
        <w:pStyle w:val="934"/>
      </w:pPr>
      <w:r>
        <w:t xml:space="preserve">1. Ведение корреспондентских счетов (для респондентов)</w:t>
      </w:r>
      <w:bookmarkEnd w:id="10"/>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930"/>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930"/>
              <w:jc w:val="center"/>
              <w:rPr>
                <w:b/>
                <w:sz w:val="20"/>
              </w:rPr>
            </w:pPr>
            <w:r/>
            <w:bookmarkStart w:id="11" w:name="_Toc95617936"/>
            <w:r>
              <w:rPr>
                <w:b/>
                <w:sz w:val="20"/>
              </w:rPr>
              <w:t xml:space="preserve">Тариф</w:t>
            </w:r>
            <w:bookmarkEnd w:id="11"/>
            <w:r>
              <w:rPr>
                <w:b/>
                <w:sz w:val="20"/>
              </w:rPr>
            </w:r>
            <w:r>
              <w:rPr>
                <w:b/>
                <w:sz w:val="20"/>
              </w:rPr>
            </w:r>
          </w:p>
        </w:tc>
        <w:tc>
          <w:tcPr>
            <w:tcW w:w="3544"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1.1.</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sz w:val="20"/>
              </w:rPr>
              <w:t xml:space="preserve">Открытие</w:t>
            </w:r>
            <w:r>
              <w:rPr>
                <w:sz w:val="20"/>
              </w:rPr>
              <w:t xml:space="preserve"> </w:t>
            </w:r>
            <w:r>
              <w:rPr>
                <w:sz w:val="20"/>
              </w:rPr>
              <w:t xml:space="preserve">корреспондентского</w:t>
            </w:r>
            <w:r>
              <w:rPr>
                <w:sz w:val="20"/>
              </w:rPr>
              <w:t xml:space="preserve"> </w:t>
            </w:r>
            <w:r>
              <w:rPr>
                <w:sz w:val="20"/>
              </w:rPr>
              <w:t xml:space="preserve">счета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Комиссия</w:t>
            </w:r>
            <w:r>
              <w:rPr>
                <w:sz w:val="20"/>
              </w:rPr>
              <w:t xml:space="preserve"> </w:t>
            </w:r>
            <w:r>
              <w:rPr>
                <w:sz w:val="20"/>
              </w:rPr>
              <w:t xml:space="preserve">не</w:t>
            </w:r>
            <w:r>
              <w:rPr>
                <w:sz w:val="20"/>
              </w:rPr>
              <w:t xml:space="preserve"> </w:t>
            </w:r>
            <w:r>
              <w:rPr>
                <w:sz w:val="20"/>
              </w:rPr>
              <w:t xml:space="preserve">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color w:val="000000" w:themeColor="text1"/>
                <w:sz w:val="20"/>
              </w:rPr>
            </w:pPr>
            <w:r>
              <w:rPr>
                <w:rFonts w:eastAsia="Arial Unicode MS"/>
                <w:color w:val="000000" w:themeColor="text1"/>
                <w:sz w:val="20"/>
              </w:rPr>
              <w:t xml:space="preserve">Услуга не предоставляется. </w:t>
            </w:r>
            <w:r>
              <w:rPr>
                <w:rFonts w:eastAsia="Arial Unicode MS"/>
                <w:color w:val="000000" w:themeColor="text1"/>
                <w:sz w:val="20"/>
              </w:rPr>
            </w:r>
            <w:r>
              <w:rPr>
                <w:rFonts w:eastAsia="Arial Unicode MS"/>
                <w:color w:val="000000" w:themeColor="text1"/>
                <w:sz w:val="20"/>
              </w:rPr>
            </w:r>
          </w:p>
          <w:p>
            <w:pPr>
              <w:pStyle w:val="930"/>
              <w:rPr>
                <w:rFonts w:eastAsia="Arial Unicode MS"/>
                <w:color w:val="000000" w:themeColor="text1"/>
                <w:sz w:val="20"/>
              </w:rPr>
            </w:pPr>
            <w:r>
              <w:rPr>
                <w:rFonts w:eastAsia="Arial Unicode MS"/>
                <w:color w:val="000000" w:themeColor="text1"/>
                <w:sz w:val="20"/>
              </w:rPr>
              <w:t xml:space="preserve">Открытие корреспондентских счетов осуществляется только в головном офисе Банка.</w:t>
            </w:r>
            <w:r>
              <w:rPr>
                <w:rFonts w:eastAsia="Arial Unicode MS"/>
                <w:color w:val="000000" w:themeColor="text1"/>
                <w:sz w:val="20"/>
              </w:rPr>
            </w:r>
            <w:r>
              <w:rPr>
                <w:rFonts w:eastAsia="Arial Unicode MS"/>
                <w:color w:val="000000" w:themeColor="text1"/>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1.2.</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Открытие корреспондентского счета специального назначения для кредитной организации - участника закупок</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 </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lang w:val="en-US"/>
              </w:rPr>
            </w:pPr>
            <w:r>
              <w:rPr>
                <w:sz w:val="20"/>
              </w:rPr>
              <w:t xml:space="preserve">1.3.</w:t>
            </w:r>
            <w:r>
              <w:rPr>
                <w:sz w:val="20"/>
                <w:lang w:val="en-US"/>
              </w:rPr>
            </w:r>
            <w:r>
              <w:rPr>
                <w:sz w:val="20"/>
                <w:lang w:val="en-US"/>
              </w:rPr>
            </w:r>
          </w:p>
        </w:tc>
        <w:tc>
          <w:tcPr>
            <w:tcW w:w="3969" w:type="dxa"/>
            <w:vAlign w:val="top"/>
            <w:textDirection w:val="lrTb"/>
            <w:noWrap w:val="false"/>
          </w:tcPr>
          <w:p>
            <w:pPr>
              <w:pStyle w:val="958"/>
              <w:spacing w:before="40" w:after="40"/>
              <w:rPr>
                <w:sz w:val="20"/>
                <w:szCs w:val="20"/>
              </w:rPr>
            </w:pPr>
            <w:r>
              <w:rPr>
                <w:sz w:val="20"/>
                <w:szCs w:val="20"/>
              </w:rPr>
              <w:t xml:space="preserve">Открытие корреспондентского счета в драгоценных металлах</w:t>
            </w:r>
            <w:r>
              <w:rPr>
                <w:sz w:val="20"/>
                <w:szCs w:val="20"/>
              </w:rPr>
            </w:r>
            <w:r>
              <w:rPr>
                <w:sz w:val="20"/>
                <w:szCs w:val="20"/>
              </w:rPr>
            </w:r>
          </w:p>
          <w:p>
            <w:pPr>
              <w:pStyle w:val="958"/>
              <w:spacing w:before="40" w:after="40"/>
              <w:rPr>
                <w:sz w:val="20"/>
                <w:szCs w:val="20"/>
              </w:rPr>
            </w:pPr>
            <w:r>
              <w:rPr>
                <w:sz w:val="20"/>
                <w:szCs w:val="20"/>
              </w:rPr>
              <w:t xml:space="preserve">в золоте</w:t>
            </w:r>
            <w:r>
              <w:rPr>
                <w:sz w:val="20"/>
                <w:szCs w:val="20"/>
              </w:rPr>
            </w:r>
            <w:r>
              <w:rPr>
                <w:sz w:val="20"/>
                <w:szCs w:val="20"/>
              </w:rPr>
            </w:r>
          </w:p>
          <w:p>
            <w:pPr>
              <w:pStyle w:val="958"/>
              <w:spacing w:before="40" w:after="40"/>
              <w:rPr>
                <w:sz w:val="20"/>
                <w:szCs w:val="20"/>
              </w:rPr>
            </w:pPr>
            <w:r>
              <w:rPr>
                <w:sz w:val="20"/>
                <w:szCs w:val="20"/>
              </w:rPr>
              <w:t xml:space="preserve">в серебре</w:t>
            </w:r>
            <w:r>
              <w:rPr>
                <w:sz w:val="20"/>
                <w:szCs w:val="20"/>
              </w:rPr>
            </w:r>
            <w:r>
              <w:rPr>
                <w:sz w:val="20"/>
                <w:szCs w:val="20"/>
              </w:rPr>
            </w:r>
          </w:p>
          <w:p>
            <w:pPr>
              <w:pStyle w:val="958"/>
              <w:spacing w:before="40" w:after="40"/>
              <w:rPr>
                <w:sz w:val="20"/>
                <w:szCs w:val="20"/>
              </w:rPr>
            </w:pPr>
            <w:r>
              <w:rPr>
                <w:sz w:val="20"/>
                <w:szCs w:val="20"/>
              </w:rPr>
              <w:t xml:space="preserve">в платине</w:t>
            </w:r>
            <w:r>
              <w:rPr>
                <w:sz w:val="20"/>
                <w:szCs w:val="20"/>
              </w:rPr>
            </w:r>
            <w:r>
              <w:rPr>
                <w:sz w:val="20"/>
                <w:szCs w:val="20"/>
              </w:rPr>
            </w:r>
          </w:p>
          <w:p>
            <w:pPr>
              <w:pStyle w:val="958"/>
              <w:spacing w:before="40" w:after="40"/>
              <w:rPr>
                <w:sz w:val="20"/>
                <w:szCs w:val="20"/>
              </w:rPr>
            </w:pPr>
            <w:r>
              <w:rPr>
                <w:sz w:val="20"/>
                <w:szCs w:val="20"/>
              </w:rPr>
              <w:t xml:space="preserve">в палладии</w:t>
            </w:r>
            <w:r>
              <w:rPr>
                <w:sz w:val="20"/>
                <w:szCs w:val="20"/>
              </w:rPr>
            </w:r>
            <w:r>
              <w:rPr>
                <w:sz w:val="20"/>
                <w:szCs w:val="20"/>
              </w:rPr>
            </w:r>
          </w:p>
        </w:tc>
        <w:tc>
          <w:tcPr>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4" w:type="dxa"/>
            <w:vAlign w:val="top"/>
            <w:textDirection w:val="lrTb"/>
            <w:noWrap w:val="false"/>
          </w:tcPr>
          <w:p>
            <w:pPr>
              <w:pStyle w:val="930"/>
              <w:rPr>
                <w:sz w:val="20"/>
              </w:rPr>
            </w:pPr>
            <w:r>
              <w:rPr>
                <w:sz w:val="20"/>
              </w:rPr>
              <w:t xml:space="preserve">При условии открытия/наличия корреспондентского счета в российских рублях</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w:t>
            </w:r>
            <w:r>
              <w:rPr>
                <w:sz w:val="20"/>
              </w:rPr>
            </w:r>
            <w:r>
              <w:rPr>
                <w:sz w:val="20"/>
              </w:rPr>
            </w:r>
          </w:p>
        </w:tc>
        <w:tc>
          <w:tcPr>
            <w:tcW w:w="3969" w:type="dxa"/>
            <w:vAlign w:val="top"/>
            <w:textDirection w:val="lrTb"/>
            <w:noWrap w:val="false"/>
          </w:tcPr>
          <w:p>
            <w:pPr>
              <w:pStyle w:val="958"/>
              <w:spacing w:before="40" w:after="40"/>
              <w:rPr>
                <w:sz w:val="20"/>
                <w:szCs w:val="20"/>
              </w:rPr>
            </w:pPr>
            <w:r>
              <w:rPr>
                <w:sz w:val="20"/>
                <w:szCs w:val="20"/>
              </w:rPr>
              <w:t xml:space="preserve">Ведение корреспондентского счета:</w:t>
            </w:r>
            <w:r>
              <w:rPr>
                <w:sz w:val="20"/>
                <w:szCs w:val="20"/>
              </w:rPr>
            </w:r>
            <w:r>
              <w:rPr>
                <w:sz w:val="20"/>
                <w:szCs w:val="20"/>
              </w:rPr>
            </w:r>
          </w:p>
        </w:tc>
        <w:tc>
          <w:tcPr>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w:t>
            </w:r>
            <w:r>
              <w:rPr>
                <w:sz w:val="20"/>
              </w:rPr>
              <w:t xml:space="preserve">4</w:t>
            </w:r>
            <w:r>
              <w:rPr>
                <w:sz w:val="20"/>
              </w:rPr>
              <w:t xml:space="preserve">.</w:t>
            </w:r>
            <w:r>
              <w:rPr>
                <w:sz w:val="20"/>
              </w:rPr>
              <w:t xml:space="preserve">1.</w:t>
            </w:r>
            <w:r>
              <w:rPr>
                <w:sz w:val="20"/>
              </w:rPr>
            </w:r>
            <w:r>
              <w:rPr>
                <w:sz w:val="20"/>
              </w:rPr>
            </w:r>
          </w:p>
        </w:tc>
        <w:tc>
          <w:tcPr>
            <w:tcW w:w="3969" w:type="dxa"/>
            <w:vAlign w:val="top"/>
            <w:textDirection w:val="lrTb"/>
            <w:noWrap w:val="false"/>
          </w:tcPr>
          <w:p>
            <w:pPr>
              <w:pStyle w:val="930"/>
              <w:rPr>
                <w:sz w:val="20"/>
              </w:rPr>
            </w:pPr>
            <w:r>
              <w:rPr>
                <w:sz w:val="20"/>
              </w:rPr>
              <w:t xml:space="preserve">в российских рублях</w:t>
            </w:r>
            <w:r>
              <w:rPr>
                <w:sz w:val="20"/>
              </w:rPr>
            </w:r>
            <w:r>
              <w:rPr>
                <w:sz w:val="20"/>
              </w:rPr>
            </w:r>
          </w:p>
        </w:tc>
        <w:tc>
          <w:tcPr>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1.4.2.</w:t>
            </w:r>
            <w:r>
              <w:rPr>
                <w:sz w:val="20"/>
              </w:rPr>
            </w:r>
            <w:r>
              <w:rPr>
                <w:sz w:val="20"/>
              </w:rPr>
            </w:r>
          </w:p>
        </w:tc>
        <w:tc>
          <w:tcPr>
            <w:tcW w:w="3969" w:type="dxa"/>
            <w:vAlign w:val="top"/>
            <w:textDirection w:val="lrTb"/>
            <w:noWrap w:val="false"/>
          </w:tcPr>
          <w:p>
            <w:pPr>
              <w:pStyle w:val="930"/>
              <w:rPr>
                <w:sz w:val="20"/>
              </w:rPr>
            </w:pPr>
            <w:r>
              <w:rPr>
                <w:sz w:val="20"/>
              </w:rPr>
              <w:t xml:space="preserve">в иностранной</w:t>
            </w:r>
            <w:r>
              <w:rPr>
                <w:sz w:val="20"/>
              </w:rPr>
            </w:r>
            <w:r>
              <w:rPr>
                <w:sz w:val="20"/>
              </w:rPr>
            </w:r>
          </w:p>
          <w:p>
            <w:pPr>
              <w:pStyle w:val="930"/>
              <w:rPr>
                <w:sz w:val="20"/>
              </w:rPr>
            </w:pPr>
            <w:r>
              <w:rPr>
                <w:sz w:val="20"/>
              </w:rPr>
              <w:t xml:space="preserve">валюте, кроме евро </w:t>
            </w:r>
            <w:r>
              <w:rPr>
                <w:sz w:val="20"/>
              </w:rPr>
            </w:r>
            <w:r>
              <w:rPr>
                <w:sz w:val="20"/>
              </w:rPr>
            </w:r>
          </w:p>
          <w:p>
            <w:pPr>
              <w:pStyle w:val="930"/>
              <w:rPr>
                <w:sz w:val="20"/>
              </w:rPr>
            </w:pPr>
            <w:r>
              <w:rPr>
                <w:sz w:val="20"/>
              </w:rPr>
            </w:r>
            <w:r>
              <w:rPr>
                <w:sz w:val="20"/>
              </w:rPr>
            </w:r>
            <w:r>
              <w:rPr>
                <w:sz w:val="20"/>
              </w:rPr>
            </w:r>
          </w:p>
        </w:tc>
        <w:tc>
          <w:tcPr>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4" w:type="dxa"/>
            <w:vAlign w:val="top"/>
            <w:textDirection w:val="lrTb"/>
            <w:noWrap w:val="false"/>
          </w:tcPr>
          <w:p>
            <w:pPr>
              <w:pStyle w:val="930"/>
              <w:rPr>
                <w:sz w:val="20"/>
              </w:rPr>
            </w:pPr>
            <w:r>
              <w:rPr>
                <w:sz w:val="20"/>
              </w:rPr>
              <w:t xml:space="preserve">Открытие счета осуществляется по согласованию с </w:t>
            </w:r>
            <w:r>
              <w:rPr>
                <w:sz w:val="20"/>
              </w:rPr>
            </w:r>
            <w:r>
              <w:rPr>
                <w:sz w:val="20"/>
              </w:rPr>
            </w:r>
          </w:p>
          <w:p>
            <w:pPr>
              <w:pStyle w:val="930"/>
              <w:rPr>
                <w:sz w:val="20"/>
              </w:rPr>
            </w:pPr>
            <w:r>
              <w:rPr>
                <w:sz w:val="20"/>
              </w:rPr>
              <w:t xml:space="preserve">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1.4.3</w:t>
            </w:r>
            <w:r>
              <w:rPr>
                <w:sz w:val="20"/>
              </w:rPr>
              <w:t xml:space="preserve">.</w:t>
            </w:r>
            <w:r>
              <w:rPr>
                <w:sz w:val="20"/>
              </w:rPr>
            </w:r>
            <w:r>
              <w:rPr>
                <w:sz w:val="20"/>
              </w:rPr>
            </w:r>
          </w:p>
        </w:tc>
        <w:tc>
          <w:tcPr>
            <w:tcW w:w="3969" w:type="dxa"/>
            <w:vAlign w:val="top"/>
            <w:textDirection w:val="lrTb"/>
            <w:noWrap w:val="false"/>
          </w:tcPr>
          <w:p>
            <w:pPr>
              <w:pStyle w:val="930"/>
              <w:rPr>
                <w:sz w:val="20"/>
              </w:rPr>
            </w:pPr>
            <w:r>
              <w:rPr>
                <w:sz w:val="20"/>
              </w:rPr>
              <w:t xml:space="preserve">в евро:</w:t>
            </w:r>
            <w:r>
              <w:rPr>
                <w:sz w:val="20"/>
              </w:rPr>
            </w:r>
            <w:r>
              <w:rPr>
                <w:sz w:val="20"/>
              </w:rPr>
            </w:r>
          </w:p>
        </w:tc>
        <w:tc>
          <w:tcPr>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textDirection w:val="lrTb"/>
            <w:noWrap w:val="false"/>
          </w:tcPr>
          <w:p>
            <w:pPr>
              <w:pStyle w:val="93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1.4.3.1</w:t>
            </w:r>
            <w:r>
              <w:rPr>
                <w:sz w:val="20"/>
              </w:rPr>
            </w:r>
            <w:r>
              <w:rPr>
                <w:sz w:val="20"/>
              </w:rPr>
            </w:r>
          </w:p>
        </w:tc>
        <w:tc>
          <w:tcPr>
            <w:tcW w:w="3969" w:type="dxa"/>
            <w:vAlign w:val="top"/>
            <w:textDirection w:val="lrTb"/>
            <w:noWrap w:val="false"/>
          </w:tcPr>
          <w:p>
            <w:pPr>
              <w:pStyle w:val="930"/>
              <w:rPr>
                <w:rFonts w:eastAsia="Arial Unicode MS"/>
                <w:sz w:val="20"/>
              </w:rPr>
            </w:pPr>
            <w:r>
              <w:rPr>
                <w:bCs/>
                <w:sz w:val="20"/>
              </w:rPr>
              <w:t xml:space="preserve">Для кредитных организаций – резидентов Российской Федерации (</w:t>
            </w:r>
            <w:r>
              <w:rPr>
                <w:sz w:val="20"/>
              </w:rPr>
              <w:t xml:space="preserve">кредитных организаций, созданных в соответствии с законодательством Российской Федерации</w:t>
            </w:r>
            <w:r>
              <w:rPr>
                <w:bCs/>
                <w:sz w:val="20"/>
              </w:rPr>
              <w:t xml:space="preserve">)</w:t>
            </w:r>
            <w:r>
              <w:rPr>
                <w:rFonts w:eastAsia="Arial Unicode MS"/>
                <w:sz w:val="20"/>
              </w:rPr>
            </w:r>
            <w:r>
              <w:rPr>
                <w:rFonts w:eastAsia="Arial Unicode MS"/>
                <w:sz w:val="20"/>
              </w:rPr>
            </w:r>
          </w:p>
        </w:tc>
        <w:tc>
          <w:tcPr>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При сумме остатка до </w:t>
            </w:r>
            <w:r>
              <w:rPr>
                <w:bCs/>
                <w:sz w:val="20"/>
              </w:rPr>
            </w:r>
            <w:r>
              <w:rPr>
                <w:bCs/>
                <w:sz w:val="20"/>
              </w:rPr>
            </w:r>
          </w:p>
          <w:p>
            <w:pPr>
              <w:pStyle w:val="930"/>
              <w:tabs>
                <w:tab w:val="left" w:pos="709" w:leader="none"/>
              </w:tabs>
              <w:rPr>
                <w:sz w:val="20"/>
              </w:rPr>
            </w:pPr>
            <w:r>
              <w:rPr>
                <w:bCs/>
                <w:sz w:val="20"/>
              </w:rPr>
              <w:t xml:space="preserve">10 000 000.00 евро (включительно)</w:t>
            </w:r>
            <w:r>
              <w:rPr>
                <w:sz w:val="20"/>
              </w:rPr>
            </w:r>
            <w:r>
              <w:rPr>
                <w:sz w:val="20"/>
              </w:rPr>
            </w:r>
          </w:p>
        </w:tc>
        <w:tc>
          <w:tcPr>
            <w:tcW w:w="1985" w:type="dxa"/>
            <w:vAlign w:val="top"/>
            <w:textDirection w:val="lrTb"/>
            <w:noWrap w:val="false"/>
          </w:tcPr>
          <w:p>
            <w:pPr>
              <w:pStyle w:val="930"/>
              <w:jc w:val="center"/>
              <w:rPr>
                <w:sz w:val="20"/>
              </w:rPr>
            </w:pPr>
            <w:r>
              <w:rPr>
                <w:sz w:val="20"/>
              </w:rPr>
              <w:t xml:space="preserve">Комиссия не взимается,                 кроме случаев, указанных в  п. 1.4.3.3</w:t>
            </w:r>
            <w:r>
              <w:rPr>
                <w:sz w:val="20"/>
              </w:rPr>
            </w:r>
            <w:r>
              <w:rPr>
                <w:sz w:val="20"/>
              </w:rPr>
            </w:r>
          </w:p>
        </w:tc>
        <w:tc>
          <w:tcPr>
            <w:tcW w:w="3544" w:type="dxa"/>
            <w:vAlign w:val="top"/>
            <w:vMerge w:val="restart"/>
            <w:textDirection w:val="lrTb"/>
            <w:noWrap w:val="false"/>
          </w:tcPr>
          <w:p>
            <w:pPr>
              <w:pStyle w:val="930"/>
              <w:tabs>
                <w:tab w:val="left" w:pos="709" w:leader="none"/>
              </w:tabs>
              <w:rPr>
                <w:iCs/>
                <w:sz w:val="20"/>
              </w:rPr>
            </w:pPr>
            <w:r>
              <w:rPr>
                <w:iCs/>
                <w:sz w:val="20"/>
              </w:rPr>
              <w:t xml:space="preserve">Комиссия рассчитывается исходя из фактического входящего остатка на счете за каждый день </w:t>
              <w:br w:type="textWrapping" w:clear="all"/>
              <w:t xml:space="preserve">в течение календарного месяца, включая выходные и праздничные нерабочие дни Российской Федерации.</w:t>
            </w:r>
            <w:r>
              <w:rPr>
                <w:iCs/>
                <w:sz w:val="20"/>
              </w:rPr>
            </w:r>
            <w:r>
              <w:rPr>
                <w:iCs/>
                <w:sz w:val="20"/>
              </w:rPr>
            </w:r>
          </w:p>
          <w:p>
            <w:pPr>
              <w:pStyle w:val="930"/>
              <w:rPr>
                <w:rFonts w:eastAsia="Arial Unicode MS"/>
                <w:sz w:val="20"/>
              </w:rPr>
            </w:pPr>
            <w:r>
              <w:rPr>
                <w:iCs/>
                <w:sz w:val="20"/>
              </w:rPr>
              <w:t xml:space="preserve">Комиссия взимается ежемесячно не позднее 5-го рабочего дня месяца, следующего за отчетным месяцем</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При сумме остатка свыше </w:t>
            </w:r>
            <w:r>
              <w:rPr>
                <w:bCs/>
                <w:sz w:val="20"/>
              </w:rPr>
            </w:r>
            <w:r>
              <w:rPr>
                <w:bCs/>
                <w:sz w:val="20"/>
              </w:rPr>
            </w:r>
          </w:p>
          <w:p>
            <w:pPr>
              <w:pStyle w:val="930"/>
              <w:rPr>
                <w:rFonts w:eastAsia="Arial Unicode MS"/>
                <w:sz w:val="20"/>
              </w:rPr>
            </w:pPr>
            <w:r>
              <w:rPr>
                <w:bCs/>
                <w:sz w:val="20"/>
              </w:rPr>
              <w:t xml:space="preserve">10 000 000.00 евро</w:t>
            </w:r>
            <w:r>
              <w:rPr>
                <w:rFonts w:eastAsia="Arial Unicode MS"/>
                <w:sz w:val="20"/>
              </w:rPr>
            </w:r>
            <w:r>
              <w:rPr>
                <w:rFonts w:eastAsia="Arial Unicode MS"/>
                <w:sz w:val="20"/>
              </w:rPr>
            </w:r>
          </w:p>
        </w:tc>
        <w:tc>
          <w:tcPr>
            <w:tcW w:w="1985" w:type="dxa"/>
            <w:vAlign w:val="top"/>
            <w:textDirection w:val="lrTb"/>
            <w:noWrap w:val="false"/>
          </w:tcPr>
          <w:p>
            <w:pPr>
              <w:pStyle w:val="930"/>
              <w:jc w:val="center"/>
              <w:rPr>
                <w:sz w:val="20"/>
              </w:rPr>
            </w:pPr>
            <w:r>
              <w:rPr>
                <w:sz w:val="20"/>
              </w:rPr>
              <w:t xml:space="preserve">65 евро в день + 65 евро в день за каждые 3 млн. евро, превышающие остаток в размере 10 млн. евро.</w:t>
            </w:r>
            <w:r>
              <w:rPr>
                <w:sz w:val="20"/>
              </w:rPr>
            </w:r>
            <w:r>
              <w:rPr>
                <w:sz w:val="20"/>
              </w:rPr>
            </w:r>
          </w:p>
          <w:p>
            <w:pPr>
              <w:pStyle w:val="930"/>
              <w:jc w:val="center"/>
              <w:rPr>
                <w:sz w:val="20"/>
              </w:rPr>
            </w:pPr>
            <w:r>
              <w:rPr>
                <w:sz w:val="20"/>
              </w:rPr>
              <w:t xml:space="preserve">Дополнительно взимается комиссия в случаях, указанных в п. 1.4.3.3</w:t>
            </w:r>
            <w:r>
              <w:rPr>
                <w:sz w:val="20"/>
              </w:rPr>
            </w:r>
            <w:r>
              <w:rPr>
                <w:sz w:val="20"/>
              </w:rPr>
            </w:r>
          </w:p>
        </w:tc>
        <w:tc>
          <w:tcPr>
            <w:tcW w:w="3544"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1.4.3.2</w:t>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Для кредитных организаций – нерезидентов (</w:t>
            </w:r>
            <w:r>
              <w:rPr>
                <w:sz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Cs/>
                <w:sz w:val="20"/>
              </w:rPr>
            </w:r>
            <w:r>
              <w:rPr>
                <w:bCs/>
                <w:sz w:val="20"/>
              </w:rPr>
            </w:r>
          </w:p>
        </w:tc>
        <w:tc>
          <w:tcPr>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При сумме остатка до </w:t>
            </w:r>
            <w:r>
              <w:rPr>
                <w:bCs/>
                <w:sz w:val="20"/>
              </w:rPr>
            </w:r>
            <w:r>
              <w:rPr>
                <w:bCs/>
                <w:sz w:val="20"/>
              </w:rPr>
            </w:r>
          </w:p>
          <w:p>
            <w:pPr>
              <w:pStyle w:val="930"/>
              <w:tabs>
                <w:tab w:val="left" w:pos="709" w:leader="none"/>
              </w:tabs>
              <w:rPr>
                <w:bCs/>
                <w:sz w:val="20"/>
              </w:rPr>
            </w:pPr>
            <w:r>
              <w:rPr>
                <w:bCs/>
                <w:sz w:val="20"/>
              </w:rPr>
              <w:t xml:space="preserve">3 000 000.00 евро (включительно)</w:t>
            </w:r>
            <w:r>
              <w:rPr>
                <w:bCs/>
                <w:sz w:val="20"/>
              </w:rPr>
            </w:r>
            <w:r>
              <w:rPr>
                <w:bCs/>
                <w:sz w:val="20"/>
              </w:rPr>
            </w:r>
          </w:p>
        </w:tc>
        <w:tc>
          <w:tcPr>
            <w:tcW w:w="1985" w:type="dxa"/>
            <w:vAlign w:val="top"/>
            <w:textDirection w:val="lrTb"/>
            <w:noWrap w:val="false"/>
          </w:tcPr>
          <w:p>
            <w:pPr>
              <w:pStyle w:val="930"/>
              <w:jc w:val="center"/>
              <w:rPr>
                <w:sz w:val="20"/>
              </w:rPr>
            </w:pPr>
            <w:r>
              <w:rPr>
                <w:bCs/>
                <w:sz w:val="20"/>
              </w:rPr>
              <w:t xml:space="preserve">Комиссия не взимается,                  кроме случаев, указанных      в п. 1.4.3.3</w:t>
            </w:r>
            <w:r>
              <w:rPr>
                <w:sz w:val="20"/>
              </w:rPr>
            </w:r>
            <w:r>
              <w:rPr>
                <w:sz w:val="20"/>
              </w:rPr>
            </w:r>
          </w:p>
        </w:tc>
        <w:tc>
          <w:tcPr>
            <w:tcW w:w="3544" w:type="dxa"/>
            <w:vAlign w:val="top"/>
            <w:vMerge w:val="restart"/>
            <w:textDirection w:val="lrTb"/>
            <w:noWrap w:val="false"/>
          </w:tcPr>
          <w:p>
            <w:pPr>
              <w:pStyle w:val="930"/>
              <w:rPr>
                <w:bCs/>
                <w:sz w:val="20"/>
              </w:rPr>
            </w:pPr>
            <w:r>
              <w:rPr>
                <w:bCs/>
                <w:sz w:val="20"/>
              </w:rPr>
              <w:t xml:space="preserve">Комиссия рассчитывается исходя из фактического входящего остатка на счете за каждый день </w:t>
            </w:r>
            <w:r>
              <w:rPr>
                <w:bCs/>
                <w:sz w:val="20"/>
              </w:rPr>
              <w:t xml:space="preserve">в течение календарного месяца, включая выходные и праздничные нерабочие дни Российской Федерации.</w:t>
            </w:r>
            <w:r>
              <w:rPr>
                <w:bCs/>
                <w:sz w:val="20"/>
              </w:rPr>
            </w:r>
            <w:r>
              <w:rPr>
                <w:bCs/>
                <w:sz w:val="20"/>
              </w:rPr>
            </w:r>
          </w:p>
          <w:p>
            <w:pPr>
              <w:pStyle w:val="930"/>
              <w:rPr>
                <w:rFonts w:eastAsia="Arial Unicode MS"/>
                <w:sz w:val="20"/>
              </w:rPr>
            </w:pPr>
            <w:r>
              <w:rPr>
                <w:bCs/>
                <w:sz w:val="20"/>
              </w:rPr>
              <w:t xml:space="preserve">Комиссия взимается ежемесячно не позднее 5-го рабочего дня месяца, следующего за отчетным месяцем</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При сумме остатка свыше </w:t>
            </w:r>
            <w:r>
              <w:rPr>
                <w:bCs/>
                <w:sz w:val="20"/>
              </w:rPr>
            </w:r>
            <w:r>
              <w:rPr>
                <w:bCs/>
                <w:sz w:val="20"/>
              </w:rPr>
            </w:r>
          </w:p>
          <w:p>
            <w:pPr>
              <w:pStyle w:val="930"/>
              <w:rPr>
                <w:rFonts w:eastAsia="Arial Unicode MS"/>
                <w:sz w:val="20"/>
              </w:rPr>
            </w:pPr>
            <w:r>
              <w:rPr>
                <w:bCs/>
                <w:sz w:val="20"/>
              </w:rPr>
              <w:t xml:space="preserve">3 000 000.00 евро</w:t>
            </w:r>
            <w:r>
              <w:rPr>
                <w:rFonts w:eastAsia="Arial Unicode MS"/>
                <w:sz w:val="20"/>
              </w:rPr>
            </w:r>
            <w:r>
              <w:rPr>
                <w:rFonts w:eastAsia="Arial Unicode MS"/>
                <w:sz w:val="20"/>
              </w:rPr>
            </w:r>
          </w:p>
        </w:tc>
        <w:tc>
          <w:tcPr>
            <w:tcW w:w="1985" w:type="dxa"/>
            <w:vAlign w:val="top"/>
            <w:textDirection w:val="lrTb"/>
            <w:noWrap w:val="false"/>
          </w:tcPr>
          <w:p>
            <w:pPr>
              <w:pStyle w:val="930"/>
              <w:jc w:val="center"/>
              <w:rPr>
                <w:bCs/>
                <w:sz w:val="20"/>
              </w:rPr>
            </w:pPr>
            <w:r>
              <w:rPr>
                <w:bCs/>
                <w:sz w:val="20"/>
              </w:rPr>
              <w:t xml:space="preserve">65 евро в день + 65 евро в день за каждые 3 млн. евро, превышающие остаток в размере 3 млн. евро.</w:t>
            </w:r>
            <w:r>
              <w:rPr>
                <w:bCs/>
                <w:sz w:val="20"/>
              </w:rPr>
            </w:r>
            <w:r>
              <w:rPr>
                <w:bCs/>
                <w:sz w:val="20"/>
              </w:rPr>
            </w:r>
          </w:p>
          <w:p>
            <w:pPr>
              <w:pStyle w:val="930"/>
              <w:jc w:val="center"/>
              <w:rPr>
                <w:sz w:val="20"/>
              </w:rPr>
            </w:pPr>
            <w:r>
              <w:rPr>
                <w:sz w:val="20"/>
              </w:rPr>
              <w:t xml:space="preserve">Дополнительно взимается комиссия в случаях, указанных в п. 1.4.3.3</w:t>
            </w:r>
            <w:r>
              <w:rPr>
                <w:sz w:val="20"/>
              </w:rPr>
            </w:r>
            <w:r>
              <w:rPr>
                <w:sz w:val="20"/>
              </w:rPr>
            </w:r>
          </w:p>
        </w:tc>
        <w:tc>
          <w:tcPr>
            <w:tcW w:w="3544"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1.4.3.3</w:t>
            </w:r>
            <w:r>
              <w:rPr>
                <w:sz w:val="20"/>
              </w:rPr>
            </w:r>
            <w:r>
              <w:rPr>
                <w:sz w:val="20"/>
              </w:rPr>
            </w:r>
          </w:p>
        </w:tc>
        <w:tc>
          <w:tcPr>
            <w:tcW w:w="3969" w:type="dxa"/>
            <w:vAlign w:val="top"/>
            <w:textDirection w:val="lrTb"/>
            <w:noWrap w:val="false"/>
          </w:tcPr>
          <w:p>
            <w:pPr>
              <w:pStyle w:val="930"/>
              <w:rPr>
                <w:rFonts w:eastAsia="Arial Unicode MS"/>
                <w:sz w:val="20"/>
              </w:rPr>
            </w:pPr>
            <w:r>
              <w:rPr>
                <w:bCs/>
                <w:sz w:val="20"/>
              </w:rPr>
              <w:t xml:space="preserve">Для кредитных организаций – резидентов Российской Федерации и нерезидентов Российской Федерации</w:t>
            </w:r>
            <w:r>
              <w:rPr>
                <w:rFonts w:eastAsia="Arial Unicode MS"/>
                <w:sz w:val="20"/>
              </w:rPr>
            </w:r>
            <w:r>
              <w:rPr>
                <w:rFonts w:eastAsia="Arial Unicode MS"/>
                <w:sz w:val="20"/>
              </w:rPr>
            </w:r>
          </w:p>
        </w:tc>
        <w:tc>
          <w:tcPr>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tabs>
                <w:tab w:val="left" w:pos="709" w:leader="none"/>
              </w:tabs>
              <w:rPr>
                <w:bCs/>
                <w:sz w:val="20"/>
              </w:rPr>
            </w:pPr>
            <w:r>
              <w:rPr>
                <w:bCs/>
                <w:sz w:val="20"/>
              </w:rPr>
              <w:t xml:space="preserve">При сумме остатка свыше </w:t>
            </w:r>
            <w:r>
              <w:rPr>
                <w:bCs/>
                <w:sz w:val="20"/>
              </w:rPr>
            </w:r>
            <w:r>
              <w:rPr>
                <w:bCs/>
                <w:sz w:val="20"/>
              </w:rPr>
            </w:r>
          </w:p>
          <w:p>
            <w:pPr>
              <w:pStyle w:val="930"/>
              <w:rPr>
                <w:bCs/>
                <w:sz w:val="20"/>
              </w:rPr>
            </w:pPr>
            <w:r>
              <w:rPr>
                <w:bCs/>
                <w:sz w:val="20"/>
              </w:rPr>
              <w:t xml:space="preserve">3 000 000.00 евро по состоянию на                   01 января (ежегодно)</w:t>
            </w:r>
            <w:r>
              <w:rPr>
                <w:bCs/>
                <w:sz w:val="20"/>
              </w:rPr>
            </w:r>
            <w:r>
              <w:rPr>
                <w:bCs/>
                <w:sz w:val="20"/>
              </w:rPr>
            </w:r>
          </w:p>
        </w:tc>
        <w:tc>
          <w:tcPr>
            <w:tcW w:w="1985" w:type="dxa"/>
            <w:vAlign w:val="top"/>
            <w:textDirection w:val="lrTb"/>
            <w:noWrap w:val="false"/>
          </w:tcPr>
          <w:p>
            <w:pPr>
              <w:pStyle w:val="930"/>
              <w:jc w:val="center"/>
              <w:rPr>
                <w:sz w:val="20"/>
              </w:rPr>
            </w:pPr>
            <w:r>
              <w:rPr>
                <w:bCs/>
                <w:sz w:val="20"/>
              </w:rPr>
              <w:t xml:space="preserve">Дополнительная комиссия 0,2% от суммы, превышающей остаток в размере 3 млн. евро по состоянию на 01 января (ежегодно)</w:t>
            </w:r>
            <w:r>
              <w:rPr>
                <w:sz w:val="20"/>
              </w:rPr>
            </w:r>
            <w:r>
              <w:rPr>
                <w:sz w:val="20"/>
              </w:rPr>
            </w:r>
          </w:p>
        </w:tc>
        <w:tc>
          <w:tcPr>
            <w:tcW w:w="3544" w:type="dxa"/>
            <w:vAlign w:val="top"/>
            <w:textDirection w:val="lrTb"/>
            <w:noWrap w:val="false"/>
          </w:tcPr>
          <w:p>
            <w:pPr>
              <w:pStyle w:val="930"/>
              <w:rPr>
                <w:rFonts w:eastAsia="Arial Unicode MS"/>
                <w:sz w:val="20"/>
              </w:rPr>
            </w:pPr>
            <w:r>
              <w:rPr>
                <w:bCs/>
                <w:sz w:val="20"/>
              </w:rPr>
              <w:t xml:space="preserve">Комиссия взимается не позднее                  20 января (ежегодно) дополнительно к ко</w:t>
            </w:r>
            <w:r>
              <w:rPr>
                <w:bCs/>
                <w:sz w:val="20"/>
              </w:rPr>
              <w:t xml:space="preserve">миссиям, указанным в п. 1.4.3.1 и 1.4.3.2.</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1.4.</w:t>
            </w:r>
            <w:r>
              <w:rPr>
                <w:sz w:val="20"/>
              </w:rPr>
              <w:t xml:space="preserve">4.</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Ведение корреспондентского счета специального назначения для кредитной организации - участника закупок</w:t>
              <w:tab/>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1.4.5</w:t>
            </w:r>
            <w:r>
              <w:rPr>
                <w:sz w:val="20"/>
              </w:rPr>
              <w:t xml:space="preserve">.</w:t>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Ведение корреспондентского счета в драгоценных металлах</w:t>
            </w:r>
            <w:r>
              <w:rPr>
                <w:rFonts w:eastAsia="Arial Unicode MS"/>
                <w:sz w:val="20"/>
              </w:rPr>
            </w:r>
            <w:r>
              <w:rPr>
                <w:rFonts w:eastAsia="Arial Unicode MS"/>
                <w:sz w:val="20"/>
              </w:rPr>
            </w:r>
          </w:p>
        </w:tc>
        <w:tc>
          <w:tcPr>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1.5.</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Закрытие корреспондентского счета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w:t>
            </w:r>
            <w:r>
              <w:rPr>
                <w:sz w:val="20"/>
              </w:rPr>
              <w:t xml:space="preserve">5</w:t>
            </w:r>
            <w:r>
              <w:rPr>
                <w:sz w:val="20"/>
              </w:rPr>
              <w:t xml:space="preserve">.1.</w:t>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Закрытие корреспондентского счета специального назначения для кредитной организации - участника закупок</w:t>
              <w:tab/>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1.5.</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Закрытие корреспондентского счета в драгоценных металлах</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rFonts w:eastAsia="Arial Unicode MS"/>
                <w:sz w:val="20"/>
              </w:rPr>
            </w:pPr>
            <w:r>
              <w:rPr>
                <w:sz w:val="20"/>
              </w:rPr>
              <w:t xml:space="preserve">1.6.</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Направление выписок, дебетовых и кредитовых авизо по системам SWIFT, TELEX, Системе передачи финансовых сообщений Банка России</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1.7.</w:t>
            </w:r>
            <w:r>
              <w:rPr>
                <w:sz w:val="20"/>
              </w:rPr>
            </w:r>
            <w:r>
              <w:rPr>
                <w:sz w:val="20"/>
              </w:rPr>
            </w:r>
          </w:p>
        </w:tc>
        <w:tc>
          <w:tcPr>
            <w:tcBorders>
              <w:bottom w:val="singl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Направление выписок, дебетовых и кредитовых авизо по почте, по факсу и электронной почте по запросу респондента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15 долларов США за каждый документ</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1.</w:t>
            </w:r>
            <w:r>
              <w:rPr>
                <w:sz w:val="20"/>
              </w:rPr>
              <w:t xml:space="preserve">8</w:t>
            </w:r>
            <w:r>
              <w:rPr>
                <w:sz w:val="20"/>
              </w:rPr>
              <w:t xml:space="preserve">.</w:t>
            </w:r>
            <w:r>
              <w:rPr>
                <w:sz w:val="20"/>
              </w:rPr>
            </w:r>
            <w:r>
              <w:rPr>
                <w:sz w:val="20"/>
              </w:rPr>
            </w:r>
          </w:p>
        </w:tc>
        <w:tc>
          <w:tcPr>
            <w:tcBorders>
              <w:bottom w:val="singl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Направление дубликатов выписок, дебетовых и кредитовых авизо по запросу респондента</w:t>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50 долларов США за каждый документ</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0"/>
        </w:trPr>
        <w:tc>
          <w:tcPr>
            <w:tcBorders>
              <w:bottom w:val="single" w:color="000000" w:sz="4" w:space="0"/>
            </w:tcBorders>
            <w:tcW w:w="850" w:type="dxa"/>
            <w:vAlign w:val="top"/>
            <w:textDirection w:val="lrTb"/>
            <w:noWrap w:val="false"/>
          </w:tcPr>
          <w:p>
            <w:pPr>
              <w:pStyle w:val="930"/>
              <w:jc w:val="center"/>
              <w:rPr>
                <w:rFonts w:eastAsia="Arial Unicode MS"/>
                <w:sz w:val="20"/>
              </w:rPr>
            </w:pPr>
            <w:r>
              <w:rPr>
                <w:sz w:val="20"/>
              </w:rPr>
              <w:t xml:space="preserve">1.</w:t>
            </w:r>
            <w:r>
              <w:rPr>
                <w:sz w:val="20"/>
              </w:rPr>
              <w:t xml:space="preserve">9</w:t>
            </w:r>
            <w:r>
              <w:rPr>
                <w:sz w:val="20"/>
              </w:rPr>
              <w:t xml:space="preserve">.</w:t>
            </w:r>
            <w:r>
              <w:rPr>
                <w:rFonts w:eastAsia="Arial Unicode MS"/>
                <w:sz w:val="20"/>
              </w:rPr>
            </w:r>
            <w:r>
              <w:rPr>
                <w:rFonts w:eastAsia="Arial Unicode MS"/>
                <w:sz w:val="20"/>
              </w:rPr>
            </w:r>
          </w:p>
        </w:tc>
        <w:tc>
          <w:tcPr>
            <w:tcBorders>
              <w:bottom w:val="single" w:color="000000" w:sz="4" w:space="0"/>
              <w:right w:val="single" w:color="000000" w:sz="4" w:space="0"/>
            </w:tcBorders>
            <w:tcW w:w="3969" w:type="dxa"/>
            <w:vAlign w:val="top"/>
            <w:textDirection w:val="lrTb"/>
            <w:noWrap w:val="false"/>
          </w:tcPr>
          <w:p>
            <w:pPr>
              <w:pStyle w:val="930"/>
              <w:tabs>
                <w:tab w:val="left" w:pos="709" w:leader="none"/>
              </w:tabs>
              <w:rPr>
                <w:sz w:val="20"/>
              </w:rPr>
            </w:pPr>
            <w:r>
              <w:rPr>
                <w:bCs/>
                <w:sz w:val="20"/>
              </w:rPr>
              <w:t xml:space="preserve">Начисление процентов</w:t>
            </w:r>
            <w:r>
              <w:rPr>
                <w:rStyle w:val="953"/>
                <w:bCs/>
                <w:sz w:val="20"/>
              </w:rPr>
              <w:footnoteReference w:id="2"/>
            </w:r>
            <w:r>
              <w:rPr>
                <w:sz w:val="20"/>
              </w:rPr>
              <w:t xml:space="preserve">:</w:t>
            </w:r>
            <w:r>
              <w:rPr>
                <w:sz w:val="20"/>
              </w:rPr>
            </w:r>
            <w:r>
              <w:rPr>
                <w:sz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В соответствии с решением головного офиса Банка (уполномоченного органа либо </w:t>
            </w:r>
            <w:r>
              <w:rPr>
                <w:rFonts w:eastAsia="Arial Unicode MS"/>
                <w:sz w:val="20"/>
              </w:rPr>
            </w:r>
            <w:r>
              <w:rPr>
                <w:rFonts w:eastAsia="Arial Unicode MS"/>
                <w:sz w:val="20"/>
              </w:rPr>
            </w:r>
          </w:p>
        </w:tc>
        <w:tc>
          <w:tcPr>
            <w:tcBorders>
              <w:top w:val="single" w:color="000000" w:sz="4" w:space="0"/>
              <w:left w:val="single" w:color="000000" w:sz="4" w:space="0"/>
            </w:tcBorders>
            <w:tcW w:w="3544" w:type="dxa"/>
            <w:vAlign w:val="top"/>
            <w:textDirection w:val="lrTb"/>
            <w:noWrap w:val="false"/>
          </w:tcPr>
          <w:p>
            <w:pPr>
              <w:pStyle w:val="930"/>
              <w:rPr>
                <w:rFonts w:eastAsia="Arial Unicode MS"/>
                <w:sz w:val="20"/>
              </w:rPr>
            </w:pPr>
            <w:r>
              <w:rPr>
                <w:rFonts w:eastAsia="Arial Unicode MS"/>
                <w:sz w:val="20"/>
              </w:rPr>
              <w:t xml:space="preserve">по отдельному соглашению</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right w:val="singl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w:t>
              <w:tab/>
              <w:t xml:space="preserve">на кредитовый остаток</w:t>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930"/>
              <w:jc w:val="center"/>
              <w:rPr>
                <w:rFonts w:eastAsia="Arial Unicode MS"/>
                <w:sz w:val="20"/>
              </w:rPr>
            </w:pPr>
            <w:r>
              <w:rPr>
                <w:rFonts w:eastAsia="Arial Unicode MS"/>
                <w:sz w:val="20"/>
              </w:rPr>
              <w:t xml:space="preserve">уполномоченного лица в пределах установленных полномочий)</w:t>
            </w:r>
            <w:r>
              <w:rPr>
                <w:rFonts w:eastAsia="Arial Unicode MS"/>
                <w:sz w:val="20"/>
              </w:rPr>
            </w:r>
            <w:r>
              <w:rPr>
                <w:rFonts w:eastAsia="Arial Unicode MS"/>
                <w:sz w:val="20"/>
              </w:rPr>
            </w:r>
          </w:p>
        </w:tc>
        <w:tc>
          <w:tcPr>
            <w:tcBorders>
              <w:left w:val="single" w:color="000000" w:sz="4" w:space="0"/>
              <w:bottom w:val="none" w:color="000000" w:sz="4" w:space="0"/>
            </w:tcBorders>
            <w:tcW w:w="3544" w:type="dxa"/>
            <w:vAlign w:val="top"/>
            <w:textDirection w:val="lrTb"/>
            <w:noWrap w:val="false"/>
          </w:tcPr>
          <w:p>
            <w:pPr>
              <w:pStyle w:val="930"/>
              <w:rPr>
                <w:rFonts w:eastAsia="Arial Unicode MS"/>
                <w:sz w:val="20"/>
              </w:rPr>
            </w:pPr>
            <w:r>
              <w:rPr>
                <w:rFonts w:eastAsia="Arial Unicode MS"/>
                <w:sz w:val="20"/>
              </w:rPr>
              <w:t xml:space="preserve">по отдельному соглашению</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right w:val="singl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w:t>
              <w:tab/>
              <w:t xml:space="preserve">за овердрафт</w:t>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left w:val="single" w:color="000000" w:sz="4" w:space="0"/>
              <w:bottom w:val="none" w:color="000000" w:sz="4" w:space="0"/>
            </w:tcBorders>
            <w:tcW w:w="3544" w:type="dxa"/>
            <w:vAlign w:val="top"/>
            <w:textDirection w:val="lrTb"/>
            <w:noWrap w:val="false"/>
          </w:tcPr>
          <w:p>
            <w:pPr>
              <w:pStyle w:val="930"/>
              <w:rPr>
                <w:rFonts w:eastAsia="Arial Unicode MS"/>
                <w:sz w:val="20"/>
              </w:rPr>
            </w:pPr>
            <w:r>
              <w:rPr>
                <w:rFonts w:eastAsia="Arial Unicode MS"/>
                <w:sz w:val="20"/>
              </w:rPr>
              <w:t xml:space="preserve">по отдельному соглашению</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trPr>
        <w:tc>
          <w:tcPr>
            <w:tcBorders>
              <w:top w:val="none" w:color="000000" w:sz="4" w:space="0"/>
              <w:bottom w:val="singl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single" w:color="000000" w:sz="4" w:space="0"/>
              <w:right w:val="single" w:color="000000" w:sz="4" w:space="0"/>
            </w:tcBorders>
            <w:tcW w:w="3969"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left w:val="single" w:color="000000" w:sz="4" w:space="0"/>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bl>
    <w:p>
      <w:pPr>
        <w:pStyle w:val="930"/>
      </w:pPr>
      <w:r/>
      <w:r/>
    </w:p>
    <w:p>
      <w:pPr>
        <w:pStyle w:val="934"/>
      </w:pPr>
      <w:r/>
      <w:bookmarkStart w:id="12" w:name="_Toc95617938"/>
      <w:r/>
      <w:bookmarkStart w:id="13" w:name="_Toc432588639"/>
      <w:r>
        <w:t xml:space="preserve">2. </w:t>
      </w:r>
      <w:bookmarkEnd w:id="12"/>
      <w:r>
        <w:t xml:space="preserve">Расчетное обслуживание (для респондентов)</w:t>
      </w:r>
      <w:bookmarkEnd w:id="13"/>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930"/>
              <w:jc w:val="center"/>
              <w:rPr>
                <w:rFonts w:eastAsia="Arial Unicode MS"/>
                <w:sz w:val="20"/>
              </w:rPr>
            </w:pPr>
            <w:r>
              <w:rPr>
                <w:sz w:val="20"/>
              </w:rPr>
              <w:t xml:space="preserve">2.1.</w:t>
            </w:r>
            <w:r>
              <w:rPr>
                <w:rFonts w:eastAsia="Arial Unicode MS"/>
                <w:sz w:val="20"/>
              </w:rPr>
              <w:t xml:space="preserve"> </w:t>
            </w:r>
            <w:r>
              <w:rPr>
                <w:sz w:val="20"/>
              </w:rPr>
              <w:t xml:space="preserve">Переводы в валюте Российской Федерации: </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rFonts w:eastAsia="Arial Unicode MS"/>
                <w:sz w:val="20"/>
              </w:rPr>
            </w:pPr>
            <w:r>
              <w:rPr>
                <w:sz w:val="20"/>
              </w:rPr>
              <w:t xml:space="preserve">2.1.</w:t>
            </w:r>
            <w:r>
              <w:rPr>
                <w:sz w:val="20"/>
                <w:lang w:val="en-US"/>
              </w:rPr>
              <w:t xml:space="preserve">1</w:t>
            </w:r>
            <w:r>
              <w:rPr>
                <w:sz w:val="20"/>
              </w:rPr>
              <w:t xml:space="preserve">.</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30"/>
              <w:rPr>
                <w:rFonts w:eastAsia="Arial Unicode MS"/>
                <w:sz w:val="20"/>
              </w:rPr>
            </w:pPr>
            <w:r>
              <w:rPr>
                <w:sz w:val="20"/>
              </w:rPr>
              <w:t xml:space="preserve">Зачисление средств на корреспондентский счет</w:t>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2.1.2.</w:t>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Списание средств с корреспондентского счета:</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w:t>
              <w:tab/>
              <w:t xml:space="preserve">переводы внутри Банка</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w:t>
              <w:tab/>
              <w:t xml:space="preserve">переводы через платежную систему Банка России:</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23 рубля за одно платежное поручение</w:t>
            </w:r>
            <w:r>
              <w:rPr>
                <w:sz w:val="20"/>
              </w:rPr>
            </w:r>
            <w:r>
              <w:rPr>
                <w:sz w:val="20"/>
              </w:rPr>
            </w:r>
          </w:p>
        </w:tc>
        <w:tc>
          <w:tcPr>
            <w:tcW w:w="3544" w:type="dxa"/>
            <w:vAlign w:val="top"/>
            <w:vMerge w:val="restart"/>
            <w:textDirection w:val="lrTb"/>
            <w:noWrap w:val="false"/>
          </w:tcPr>
          <w:p>
            <w:pPr>
              <w:pStyle w:val="930"/>
              <w:rPr>
                <w:sz w:val="20"/>
                <w:lang w:val="en-US"/>
              </w:rPr>
            </w:pPr>
            <w:r>
              <w:rPr>
                <w:sz w:val="20"/>
                <w:lang w:val="en-US"/>
              </w:rPr>
            </w:r>
            <w:r>
              <w:rPr>
                <w:sz w:val="20"/>
                <w:lang w:val="en-US"/>
              </w:rPr>
            </w:r>
            <w:r>
              <w:rPr>
                <w:sz w:val="20"/>
                <w:lang w:val="en-US"/>
              </w:rPr>
            </w:r>
          </w:p>
          <w:p>
            <w:pPr>
              <w:pStyle w:val="930"/>
              <w:rPr>
                <w:sz w:val="20"/>
                <w:lang w:val="en-US"/>
              </w:rPr>
            </w:pPr>
            <w:r>
              <w:rPr>
                <w:sz w:val="20"/>
                <w:lang w:val="en-US"/>
              </w:rPr>
            </w:r>
            <w:r>
              <w:rPr>
                <w:sz w:val="20"/>
                <w:lang w:val="en-US"/>
              </w:rPr>
            </w:r>
            <w:r>
              <w:rPr>
                <w:sz w:val="20"/>
                <w:lang w:val="en-US"/>
              </w:rPr>
            </w:r>
          </w:p>
          <w:p>
            <w:pPr>
              <w:pStyle w:val="930"/>
              <w:rPr>
                <w:sz w:val="20"/>
              </w:rPr>
            </w:pPr>
            <w:r>
              <w:rPr>
                <w:sz w:val="20"/>
              </w:rPr>
              <w:t xml:space="preserve">Тариф ЦБ РФ за телеграфный перевод оплачивается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30 рублей </w:t>
            </w:r>
            <w:r>
              <w:rPr>
                <w:sz w:val="20"/>
              </w:rPr>
            </w:r>
            <w:r>
              <w:rPr>
                <w:sz w:val="20"/>
              </w:rPr>
            </w:r>
          </w:p>
          <w:p>
            <w:pPr>
              <w:pStyle w:val="930"/>
              <w:jc w:val="center"/>
              <w:rPr>
                <w:sz w:val="20"/>
              </w:rPr>
            </w:pPr>
            <w:r>
              <w:rPr>
                <w:sz w:val="20"/>
              </w:rPr>
              <w:t xml:space="preserve">за одно платежное поручение</w:t>
            </w:r>
            <w:r>
              <w:rPr>
                <w:sz w:val="20"/>
              </w:rPr>
            </w:r>
            <w:r>
              <w:rPr>
                <w:sz w:val="20"/>
              </w:rPr>
            </w:r>
          </w:p>
        </w:tc>
        <w:tc>
          <w:tcPr>
            <w:tcW w:w="3544"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 переводы по распоряжениям, принятым после установленного времени, указанного в договоре (при наличии возможности)</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sz w:val="20"/>
              </w:rPr>
            </w:pPr>
            <w:r>
              <w:rPr>
                <w:sz w:val="20"/>
              </w:rPr>
              <w:t xml:space="preserve">300 рублей </w:t>
            </w:r>
            <w:r>
              <w:rPr>
                <w:sz w:val="20"/>
              </w:rPr>
            </w:r>
            <w:r>
              <w:rPr>
                <w:sz w:val="20"/>
              </w:rPr>
            </w:r>
          </w:p>
          <w:p>
            <w:pPr>
              <w:pStyle w:val="930"/>
              <w:jc w:val="center"/>
              <w:rPr>
                <w:sz w:val="20"/>
              </w:rPr>
            </w:pPr>
            <w:r>
              <w:rPr>
                <w:sz w:val="20"/>
              </w:rPr>
              <w:t xml:space="preserve">за одно платежное поручение</w:t>
            </w:r>
            <w:r>
              <w:rPr>
                <w:sz w:val="20"/>
              </w:rPr>
            </w:r>
            <w:r>
              <w:rPr>
                <w:sz w:val="20"/>
              </w:rPr>
            </w:r>
          </w:p>
        </w:tc>
        <w:tc>
          <w:tcPr>
            <w:tcW w:w="3544"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bottom w:val="none" w:color="000000" w:sz="4" w:space="0"/>
            </w:tcBorders>
            <w:tcW w:w="850" w:type="dxa"/>
            <w:vAlign w:val="top"/>
            <w:vMerge w:val="restart"/>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W w:w="3544"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4"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4" w:type="dxa"/>
            <w:vAlign w:val="top"/>
            <w:vMerge w:val="restart"/>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4"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2.1.</w:t>
            </w:r>
            <w:r>
              <w:rPr>
                <w:sz w:val="20"/>
              </w:rPr>
              <w:t xml:space="preserve">3</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sz w:val="20"/>
              </w:rP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500 рублей за каждый перевод</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930"/>
              <w:jc w:val="center"/>
              <w:pageBreakBefore/>
              <w:rPr>
                <w:rFonts w:eastAsia="Arial Unicode MS"/>
                <w:sz w:val="20"/>
              </w:rPr>
            </w:pPr>
            <w:r>
              <w:rPr>
                <w:sz w:val="20"/>
              </w:rPr>
              <w:t xml:space="preserve">2.2.</w:t>
            </w:r>
            <w:r>
              <w:rPr>
                <w:rFonts w:eastAsia="Arial Unicode MS"/>
                <w:sz w:val="20"/>
              </w:rPr>
              <w:t xml:space="preserve"> </w:t>
            </w:r>
            <w:r>
              <w:rPr>
                <w:sz w:val="20"/>
              </w:rPr>
              <w:t xml:space="preserve">Переводы в иностранной валюте:</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rFonts w:eastAsia="Arial Unicode MS"/>
                <w:sz w:val="20"/>
              </w:rPr>
            </w:pPr>
            <w:r>
              <w:rPr>
                <w:sz w:val="20"/>
              </w:rPr>
              <w:t xml:space="preserve">2.2.1.</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30"/>
              <w:rPr>
                <w:rFonts w:eastAsia="Arial Unicode MS"/>
                <w:sz w:val="20"/>
              </w:rPr>
            </w:pPr>
            <w:r>
              <w:rPr>
                <w:sz w:val="20"/>
              </w:rPr>
              <w:t xml:space="preserve">Зачисление средств на корреспондентский счет</w:t>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2.2.2.</w:t>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Списание средств с корреспондентского счета:</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w:t>
              <w:tab/>
              <w:t xml:space="preserve">Переводы в пользу бенефициара-клиента Банка</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w:t>
              <w:tab/>
              <w:t xml:space="preserve">Переводы с использованием корреспондентской сети ЛОРО АО «Россельхозбанк»</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w:t>
              <w:tab/>
              <w:t xml:space="preserve">Переводы в пользу бенефициара-клиента другого банка с использованием счетов НОСТРО </w:t>
            </w:r>
            <w:r>
              <w:rPr>
                <w:sz w:val="20"/>
              </w:rPr>
            </w:r>
            <w:r>
              <w:rPr>
                <w:sz w:val="20"/>
              </w:rPr>
            </w:r>
          </w:p>
          <w:p>
            <w:pPr>
              <w:pStyle w:val="930"/>
              <w:rPr>
                <w:sz w:val="20"/>
              </w:rPr>
            </w:pPr>
            <w:r>
              <w:rPr>
                <w:sz w:val="20"/>
              </w:rPr>
              <w:t xml:space="preserve">АО «Россельхозбанк»:</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w:t>
            </w:r>
            <w:r>
              <w:rPr>
                <w:rFonts w:eastAsia="Arial Unicode MS"/>
                <w:sz w:val="20"/>
              </w:rPr>
              <w:t xml:space="preserve">BEN» - все расходы относятся на счет бенефициара</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sz w:val="20"/>
              </w:rPr>
            </w:pPr>
            <w:r>
              <w:rPr>
                <w:sz w:val="20"/>
              </w:rPr>
              <w:t xml:space="preserve">12 долларов США</w:t>
            </w:r>
            <w:r>
              <w:rPr>
                <w:sz w:val="20"/>
              </w:rPr>
            </w:r>
            <w:r>
              <w:rPr>
                <w:sz w:val="20"/>
              </w:rPr>
            </w:r>
          </w:p>
        </w:tc>
        <w:tc>
          <w:tcPr>
            <w:tcBorders>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«OUR» - все расходы относятся на счет отправителя</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sz w:val="20"/>
              </w:rPr>
            </w:pPr>
            <w:r>
              <w:rPr>
                <w:sz w:val="20"/>
              </w:rPr>
              <w:t xml:space="preserve">12 долларов США</w:t>
            </w:r>
            <w:r>
              <w:rPr>
                <w:sz w:val="20"/>
              </w:rPr>
            </w:r>
            <w:r>
              <w:rPr>
                <w:sz w:val="20"/>
              </w:rPr>
            </w:r>
          </w:p>
        </w:tc>
        <w:tc>
          <w:tcPr>
            <w:tcBorders>
              <w:bottom w:val="none" w:color="000000" w:sz="4" w:space="0"/>
            </w:tcBorders>
            <w:tcW w:w="3544" w:type="dxa"/>
            <w:vAlign w:val="top"/>
            <w:textDirection w:val="lrTb"/>
            <w:noWrap w:val="false"/>
          </w:tcPr>
          <w:p>
            <w:pPr>
              <w:pStyle w:val="930"/>
              <w:rPr>
                <w:sz w:val="20"/>
              </w:rPr>
            </w:pPr>
            <w:r>
              <w:rPr>
                <w:sz w:val="20"/>
              </w:rPr>
              <w:t xml:space="preserve">Комиссии третьих банков взимаются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«SHA» - все расходы на стороне отправителя относятся на счет отправителя</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4" w:type="dxa"/>
            <w:vAlign w:val="top"/>
            <w:textDirection w:val="lrTb"/>
            <w:noWrap w:val="false"/>
          </w:tcPr>
          <w:p>
            <w:pPr>
              <w:pStyle w:val="930"/>
              <w:rPr>
                <w:sz w:val="20"/>
              </w:rPr>
            </w:pPr>
            <w:r>
              <w:rPr>
                <w:sz w:val="20"/>
              </w:rPr>
              <w:t xml:space="preserve">Комиссия, взимаемая остальными участниками перевода, взимается за счет бенефициара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12 долларов США</w:t>
            </w:r>
            <w:r>
              <w:rPr>
                <w:rFonts w:eastAsia="Arial Unicode MS"/>
                <w:sz w:val="20"/>
              </w:rPr>
            </w:r>
            <w:r>
              <w:rPr>
                <w:rFonts w:eastAsia="Arial Unicode MS"/>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
        </w:trPr>
        <w:tc>
          <w:tcPr>
            <w:tcBorders>
              <w:top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969" w:type="dxa"/>
            <w:vAlign w:val="top"/>
            <w:textDirection w:val="lrTb"/>
            <w:noWrap w:val="false"/>
          </w:tcPr>
          <w:p>
            <w:pPr>
              <w:pStyle w:val="930"/>
              <w:rPr>
                <w:sz w:val="20"/>
              </w:rPr>
            </w:pPr>
            <w:r>
              <w:rPr>
                <w:sz w:val="20"/>
              </w:rPr>
            </w:r>
            <w:r>
              <w:rPr>
                <w:sz w:val="20"/>
              </w:rPr>
            </w:r>
            <w:r>
              <w:rPr>
                <w:sz w:val="20"/>
              </w:rPr>
            </w:r>
          </w:p>
        </w:tc>
        <w:tc>
          <w:tcPr>
            <w:tcBorders>
              <w:top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2.2.3.</w:t>
            </w:r>
            <w:r>
              <w:rPr>
                <w:sz w:val="20"/>
              </w:rPr>
            </w:r>
            <w:r>
              <w:rPr>
                <w:sz w:val="20"/>
              </w:rPr>
            </w:r>
          </w:p>
        </w:tc>
        <w:tc>
          <w:tcPr>
            <w:tcW w:w="3969" w:type="dxa"/>
            <w:vAlign w:val="top"/>
            <w:textDirection w:val="lrTb"/>
            <w:noWrap w:val="false"/>
          </w:tcPr>
          <w:p>
            <w:pPr>
              <w:pStyle w:val="930"/>
              <w:rPr>
                <w:sz w:val="20"/>
              </w:rPr>
            </w:pPr>
            <w:r>
              <w:rPr>
                <w:sz w:val="20"/>
              </w:rPr>
              <w:t xml:space="preserve">Межбанковские переводы</w:t>
            </w:r>
            <w:r>
              <w:rPr>
                <w:sz w:val="20"/>
              </w:rPr>
            </w:r>
            <w:r>
              <w:rPr>
                <w:sz w:val="20"/>
              </w:rPr>
            </w:r>
          </w:p>
        </w:tc>
        <w:tc>
          <w:tcPr>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4" w:type="dxa"/>
            <w:vAlign w:val="top"/>
            <w:textDirection w:val="lrTb"/>
            <w:noWrap w:val="false"/>
          </w:tcPr>
          <w:p>
            <w:pPr>
              <w:pStyle w:val="930"/>
              <w:rPr>
                <w:sz w:val="20"/>
              </w:rPr>
            </w:pPr>
            <w:r>
              <w:rPr>
                <w:sz w:val="20"/>
              </w:rPr>
              <w:t xml:space="preserve">Взимаются только комиссии третьих банков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2.2.4.</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50 долларов США</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Комиссии третьих банков взимаются дополнительно</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2.2.5.</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sz w:val="20"/>
              </w:rPr>
              <w:t xml:space="preserve">Изменение реквизитов переводов, возврат/аннуляция распоряжения о переводе, запрос о дате кредитования счета бенефициара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50 долларов США за каждый перевод</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Комиссии третьих банков взимаются дополнительно</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2.2.6.</w:t>
            </w:r>
            <w:r>
              <w:rPr>
                <w:sz w:val="20"/>
              </w:rPr>
            </w:r>
            <w:r>
              <w:rPr>
                <w:sz w:val="20"/>
              </w:rPr>
            </w:r>
          </w:p>
        </w:tc>
        <w:tc>
          <w:tcPr>
            <w:tcW w:w="3969" w:type="dxa"/>
            <w:vAlign w:val="top"/>
            <w:textDirection w:val="lrTb"/>
            <w:noWrap w:val="false"/>
          </w:tcPr>
          <w:p>
            <w:pPr>
              <w:pStyle w:val="930"/>
              <w:rPr>
                <w:sz w:val="20"/>
              </w:rPr>
            </w:pPr>
            <w:r>
              <w:rPr>
                <w:sz w:val="20"/>
              </w:rPr>
              <w:t xml:space="preserve">Возврат переводоотправителю поступившего в Банк перевода ввиду невозможности исполнения</w:t>
            </w:r>
            <w:r>
              <w:rPr>
                <w:sz w:val="20"/>
              </w:rPr>
            </w:r>
            <w:r>
              <w:rPr>
                <w:sz w:val="20"/>
              </w:rPr>
            </w:r>
          </w:p>
        </w:tc>
        <w:tc>
          <w:tcPr>
            <w:tcW w:w="1985" w:type="dxa"/>
            <w:vAlign w:val="top"/>
            <w:textDirection w:val="lrTb"/>
            <w:noWrap w:val="false"/>
          </w:tcPr>
          <w:p>
            <w:pPr>
              <w:pStyle w:val="930"/>
              <w:jc w:val="center"/>
              <w:rPr>
                <w:sz w:val="20"/>
              </w:rPr>
            </w:pPr>
            <w:r>
              <w:rPr>
                <w:sz w:val="20"/>
              </w:rPr>
              <w:t xml:space="preserve">25 долларов США за каждый перевод на сумму свыше 1000 долларов США</w:t>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2.3.</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Зачисление драгоценного металла на счет:</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внесенного респондентом в виде слитков в хранилище ценностей</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По соглашению сторон</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поступившего с иного корреспондентского счета в драгоценных металлах</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w:t>
            </w:r>
            <w:r>
              <w:rPr>
                <w:rFonts w:eastAsia="Arial Unicode MS"/>
                <w:sz w:val="20"/>
              </w:rPr>
            </w:r>
            <w:r>
              <w:rPr>
                <w:rFonts w:eastAsia="Arial Unicode MS"/>
                <w:sz w:val="20"/>
              </w:rPr>
            </w:r>
          </w:p>
          <w:p>
            <w:pPr>
              <w:pStyle w:val="930"/>
              <w:jc w:val="center"/>
              <w:rPr>
                <w:rFonts w:eastAsia="Arial Unicode MS"/>
                <w:sz w:val="20"/>
              </w:rPr>
            </w:pPr>
            <w:r>
              <w:rPr>
                <w:rFonts w:eastAsia="Arial Unicode MS"/>
                <w:sz w:val="20"/>
              </w:rPr>
              <w:t xml:space="preserve">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поступившего от Банка по сделкам с драгоценным металлом</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w:t>
            </w:r>
            <w:r>
              <w:rPr>
                <w:rFonts w:eastAsia="Arial Unicode MS"/>
                <w:sz w:val="20"/>
              </w:rPr>
            </w:r>
            <w:r>
              <w:rPr>
                <w:rFonts w:eastAsia="Arial Unicode MS"/>
                <w:sz w:val="20"/>
              </w:rPr>
            </w:r>
          </w:p>
          <w:p>
            <w:pPr>
              <w:pStyle w:val="930"/>
              <w:jc w:val="center"/>
              <w:rPr>
                <w:rFonts w:eastAsia="Arial Unicode MS"/>
                <w:sz w:val="20"/>
              </w:rPr>
            </w:pPr>
            <w:r>
              <w:rPr>
                <w:rFonts w:eastAsia="Arial Unicode MS"/>
                <w:sz w:val="20"/>
              </w:rPr>
              <w:t xml:space="preserve">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2.</w:t>
            </w:r>
            <w:r>
              <w:rPr>
                <w:sz w:val="20"/>
              </w:rPr>
              <w:t xml:space="preserve">3</w:t>
            </w:r>
            <w:r>
              <w:rPr>
                <w:sz w:val="20"/>
              </w:rPr>
              <w:t xml:space="preserve">.</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Списание драгоценного металла со счета: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с последующей выдачей слитков респонденту в хранилище ценностей</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По соглашению сторон</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для зачисления на иной корреспондентский счет в драгоценных металлах</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w:t>
            </w:r>
            <w:r>
              <w:rPr>
                <w:rFonts w:eastAsia="Arial Unicode MS"/>
                <w:sz w:val="20"/>
              </w:rPr>
            </w:r>
            <w:r>
              <w:rPr>
                <w:rFonts w:eastAsia="Arial Unicode MS"/>
                <w:sz w:val="20"/>
              </w:rPr>
            </w:r>
          </w:p>
          <w:p>
            <w:pPr>
              <w:pStyle w:val="930"/>
              <w:jc w:val="center"/>
              <w:rPr>
                <w:rFonts w:eastAsia="Arial Unicode MS"/>
                <w:sz w:val="20"/>
              </w:rPr>
            </w:pPr>
            <w:r>
              <w:rPr>
                <w:rFonts w:eastAsia="Arial Unicode MS"/>
                <w:sz w:val="20"/>
              </w:rPr>
              <w:t xml:space="preserve">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t xml:space="preserve">Комиссии третьих банков взимаются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w:t>
              <w:tab/>
              <w:t xml:space="preserve">в пользу Банка от респондента по сделкам с драгоценным металлом</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Комиссия</w:t>
            </w:r>
            <w:r>
              <w:rPr>
                <w:rFonts w:eastAsia="Arial Unicode MS"/>
                <w:sz w:val="20"/>
              </w:rPr>
            </w:r>
            <w:r>
              <w:rPr>
                <w:rFonts w:eastAsia="Arial Unicode MS"/>
                <w:sz w:val="20"/>
              </w:rPr>
            </w:r>
          </w:p>
          <w:p>
            <w:pPr>
              <w:pStyle w:val="930"/>
              <w:jc w:val="center"/>
              <w:rPr>
                <w:rFonts w:eastAsia="Arial Unicode MS"/>
                <w:sz w:val="20"/>
              </w:rPr>
            </w:pPr>
            <w:r>
              <w:rPr>
                <w:rFonts w:eastAsia="Arial Unicode MS"/>
                <w:sz w:val="20"/>
              </w:rPr>
              <w:t xml:space="preserve">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2.3.</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930"/>
              <w:rPr>
                <w:rFonts w:eastAsia="Arial Unicode MS"/>
                <w:sz w:val="20"/>
              </w:rPr>
            </w:pPr>
            <w:r>
              <w:rPr>
                <w:rFonts w:eastAsia="Arial Unicode MS"/>
                <w:sz w:val="20"/>
              </w:rPr>
              <w:t xml:space="preserve">Иные операции с драгоценным металлом, предусмотренные законодательством Российской Федерации и нормативными актами Банка России</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t xml:space="preserve">По соглашению сторон</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t xml:space="preserve">По отдельному соглашению</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lang w:val="en-US"/>
              </w:rPr>
            </w:pPr>
            <w:r>
              <w:rPr>
                <w:sz w:val="20"/>
              </w:rPr>
              <w:t xml:space="preserve">2.4.</w:t>
            </w:r>
            <w:r>
              <w:rPr>
                <w:sz w:val="20"/>
                <w:lang w:val="en-US"/>
              </w:rPr>
            </w:r>
            <w:r>
              <w:rPr>
                <w:sz w:val="20"/>
                <w:lang w:val="en-US"/>
              </w:rPr>
            </w:r>
          </w:p>
        </w:tc>
        <w:tc>
          <w:tcPr>
            <w:tcBorders>
              <w:bottom w:val="single" w:color="000000" w:sz="4" w:space="0"/>
            </w:tcBorders>
            <w:tcW w:w="3969" w:type="dxa"/>
            <w:vAlign w:val="top"/>
            <w:textDirection w:val="lrTb"/>
            <w:noWrap w:val="false"/>
          </w:tcPr>
          <w:p>
            <w:pPr>
              <w:pStyle w:val="930"/>
              <w:rPr>
                <w:sz w:val="20"/>
              </w:rPr>
            </w:pPr>
            <w:r>
              <w:rPr>
                <w:sz w:val="20"/>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sz w:val="20"/>
              </w:rPr>
            </w:r>
            <w:r>
              <w:rPr>
                <w:sz w:val="20"/>
              </w:rPr>
            </w:r>
          </w:p>
        </w:tc>
        <w:tc>
          <w:tcPr>
            <w:tcBorders>
              <w:bottom w:val="singl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20 долларов США за каждое распоряжение</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2.</w:t>
            </w:r>
            <w:r>
              <w:rPr>
                <w:sz w:val="20"/>
              </w:rPr>
              <w:t xml:space="preserve">5</w:t>
            </w:r>
            <w:r>
              <w:rPr>
                <w:sz w:val="20"/>
              </w:rPr>
              <w:t xml:space="preserve">.</w:t>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sz w:val="20"/>
              </w:rPr>
            </w:r>
            <w:r>
              <w:rPr>
                <w:sz w:val="20"/>
              </w:rPr>
            </w:r>
          </w:p>
        </w:tc>
        <w:tc>
          <w:tcPr>
            <w:tcBorders>
              <w:bottom w:val="singl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lang w:val="en-US"/>
              </w:rPr>
            </w:pPr>
            <w:r>
              <w:rPr>
                <w:sz w:val="20"/>
              </w:rPr>
              <w:t xml:space="preserve">2.</w:t>
            </w:r>
            <w:r>
              <w:rPr>
                <w:sz w:val="20"/>
              </w:rPr>
              <w:t xml:space="preserve">5</w:t>
            </w:r>
            <w:r>
              <w:rPr>
                <w:sz w:val="20"/>
              </w:rPr>
              <w:t xml:space="preserve">.</w:t>
            </w:r>
            <w:r>
              <w:rPr>
                <w:sz w:val="20"/>
                <w:lang w:val="en-US"/>
              </w:rPr>
              <w:t xml:space="preserve">1.</w:t>
            </w:r>
            <w:r>
              <w:rPr>
                <w:sz w:val="20"/>
                <w:lang w:val="en-US"/>
              </w:rPr>
            </w:r>
            <w:r>
              <w:rPr>
                <w:sz w:val="20"/>
                <w:lang w:val="en-US"/>
              </w:rPr>
            </w:r>
          </w:p>
        </w:tc>
        <w:tc>
          <w:tcPr>
            <w:tcBorders>
              <w:bottom w:val="single" w:color="000000" w:sz="4" w:space="0"/>
            </w:tcBorders>
            <w:tcW w:w="3969" w:type="dxa"/>
            <w:vAlign w:val="top"/>
            <w:textDirection w:val="lrTb"/>
            <w:noWrap w:val="false"/>
          </w:tcPr>
          <w:p>
            <w:pPr>
              <w:pStyle w:val="930"/>
              <w:rPr>
                <w:sz w:val="20"/>
              </w:rPr>
            </w:pPr>
            <w:r>
              <w:rPr>
                <w:sz w:val="20"/>
              </w:rPr>
              <w:t xml:space="preserve">Для кредитных организаций – резидентов Российской Федерации (кредитных организаций, созданных в соответствии с законодательством Российской Федерации)</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20 долларов США за каждое распоряжение</w:t>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2.</w:t>
            </w:r>
            <w:r>
              <w:rPr>
                <w:sz w:val="20"/>
              </w:rPr>
              <w:t xml:space="preserve">5</w:t>
            </w:r>
            <w:r>
              <w:rPr>
                <w:sz w:val="20"/>
              </w:rPr>
              <w:t xml:space="preserve">.</w:t>
            </w:r>
            <w:r>
              <w:rPr>
                <w:sz w:val="20"/>
                <w:lang w:val="en-US"/>
              </w:rPr>
              <w:t xml:space="preserve">2</w:t>
            </w:r>
            <w:r>
              <w:rPr>
                <w:sz w:val="20"/>
              </w:rPr>
              <w:t xml:space="preserve">.</w:t>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Для кредитных организаций – нерезидентов (кредитных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rFonts w:eastAsia="Arial Unicode MS"/>
                <w:sz w:val="20"/>
              </w:rPr>
            </w:pPr>
            <w:r>
              <w:rPr>
                <w:sz w:val="20"/>
              </w:rPr>
              <w:t xml:space="preserve">2.</w:t>
            </w:r>
            <w:r>
              <w:rPr>
                <w:sz w:val="20"/>
              </w:rPr>
              <w:t xml:space="preserve">6</w:t>
            </w:r>
            <w:r>
              <w:rPr>
                <w:sz w:val="20"/>
              </w:rPr>
              <w:t xml:space="preserve">.</w:t>
            </w:r>
            <w:r>
              <w:rPr>
                <w:rFonts w:eastAsia="Arial Unicode MS"/>
                <w:sz w:val="20"/>
              </w:rPr>
            </w:r>
            <w:r>
              <w:rPr>
                <w:rFonts w:eastAsia="Arial Unicode MS"/>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до трех календарных месяцев</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20 долларов США за каждый счет</w:t>
            </w:r>
            <w:r>
              <w:rPr>
                <w:rFonts w:eastAsia="Arial Unicode MS"/>
                <w:sz w:val="20"/>
              </w:rPr>
            </w:r>
            <w:r>
              <w:rPr>
                <w:rFonts w:eastAsia="Arial Unicode MS"/>
                <w:sz w:val="20"/>
              </w:rPr>
            </w:r>
          </w:p>
        </w:tc>
        <w:tc>
          <w:tcPr>
            <w:tcBorders>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t xml:space="preserve">свыше трех календарных месяцев</w:t>
            </w:r>
            <w:r>
              <w:rPr>
                <w:rFonts w:eastAsia="Arial Unicode MS"/>
                <w:sz w:val="20"/>
              </w:rPr>
            </w:r>
            <w:r>
              <w:rPr>
                <w:rFonts w:eastAsia="Arial Unicode MS"/>
                <w:sz w:val="20"/>
              </w:rPr>
            </w:r>
          </w:p>
        </w:tc>
        <w:tc>
          <w:tcPr>
            <w:tcBorders>
              <w:bottom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t xml:space="preserve">30 долларов США за каждый счет</w:t>
            </w:r>
            <w:r>
              <w:rPr>
                <w:rFonts w:eastAsia="Arial Unicode MS"/>
                <w:sz w:val="20"/>
              </w:rPr>
            </w:r>
            <w:r>
              <w:rPr>
                <w:rFonts w:eastAsia="Arial Unicode MS"/>
                <w:sz w:val="20"/>
              </w:rPr>
            </w:r>
          </w:p>
        </w:tc>
        <w:tc>
          <w:tcPr>
            <w:tcBorders>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969"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2.</w:t>
            </w:r>
            <w:r>
              <w:rPr>
                <w:sz w:val="20"/>
              </w:rPr>
              <w:t xml:space="preserve">7</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sz w:val="20"/>
              </w:rPr>
              <w:t xml:space="preserve">Предоставление информации по счетам Респондента для Аудиторской компании на основании письменного запроса Респондента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60 долларов США за каждый счет</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2.8</w:t>
            </w:r>
            <w:r>
              <w:rPr>
                <w:sz w:val="20"/>
              </w:rPr>
              <w:t xml:space="preserve">.</w:t>
            </w:r>
            <w:r>
              <w:rPr>
                <w:sz w:val="20"/>
              </w:rPr>
            </w:r>
            <w:r>
              <w:rPr>
                <w:sz w:val="20"/>
              </w:rPr>
            </w:r>
          </w:p>
        </w:tc>
        <w:tc>
          <w:tcPr>
            <w:tcW w:w="3969" w:type="dxa"/>
            <w:vAlign w:val="top"/>
            <w:textDirection w:val="lrTb"/>
            <w:noWrap w:val="false"/>
          </w:tcPr>
          <w:p>
            <w:pPr>
              <w:pStyle w:val="930"/>
              <w:rPr>
                <w:sz w:val="20"/>
              </w:rPr>
            </w:pPr>
            <w:r>
              <w:rPr>
                <w:sz w:val="20"/>
              </w:rPr>
              <w:t xml:space="preserve">Проведение расследований перед зачислением</w:t>
            </w:r>
            <w:r>
              <w:rPr>
                <w:sz w:val="20"/>
              </w:rPr>
            </w:r>
            <w:r>
              <w:rPr>
                <w:sz w:val="20"/>
              </w:rPr>
            </w:r>
          </w:p>
        </w:tc>
        <w:tc>
          <w:tcPr>
            <w:tcW w:w="1985" w:type="dxa"/>
            <w:vAlign w:val="top"/>
            <w:textDirection w:val="lrTb"/>
            <w:noWrap w:val="false"/>
          </w:tcPr>
          <w:p>
            <w:pPr>
              <w:pStyle w:val="930"/>
              <w:jc w:val="center"/>
              <w:rPr>
                <w:sz w:val="20"/>
              </w:rPr>
            </w:pPr>
            <w:r>
              <w:rPr>
                <w:sz w:val="20"/>
              </w:rPr>
              <w:t xml:space="preserve">25 долларов США за каждый перевод на сумму свыше 1000 долларов США</w:t>
            </w:r>
            <w:r>
              <w:rPr>
                <w:sz w:val="20"/>
              </w:rPr>
            </w:r>
            <w:r>
              <w:rPr>
                <w:sz w:val="20"/>
              </w:rPr>
            </w:r>
          </w:p>
        </w:tc>
        <w:tc>
          <w:tcPr>
            <w:tcW w:w="3544"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bl>
    <w:p>
      <w:pPr>
        <w:pStyle w:val="930"/>
      </w:pPr>
      <w:r/>
      <w:r/>
    </w:p>
    <w:p>
      <w:pPr>
        <w:pStyle w:val="930"/>
      </w:pPr>
      <w:r>
        <w:br w:type="page" w:clear="all"/>
      </w:r>
      <w:r/>
    </w:p>
    <w:p>
      <w:pPr>
        <w:pStyle w:val="934"/>
      </w:pPr>
      <w:r/>
      <w:bookmarkStart w:id="14" w:name="_Toc432588640"/>
      <w:r>
        <w:t xml:space="preserve">3. Конверсионные операции (для респондентов)</w:t>
      </w:r>
      <w:bookmarkEnd w:id="14"/>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sz w:val="20"/>
              </w:rPr>
            </w:pPr>
            <w:r>
              <w:rPr>
                <w:sz w:val="20"/>
              </w:rPr>
              <w:t xml:space="preserve">3.1.</w:t>
            </w:r>
            <w:r>
              <w:rPr>
                <w:sz w:val="20"/>
              </w:rPr>
            </w:r>
            <w:r>
              <w:rPr>
                <w:sz w:val="20"/>
              </w:rPr>
            </w:r>
          </w:p>
        </w:tc>
        <w:tc>
          <w:tcPr>
            <w:tcW w:w="3969" w:type="dxa"/>
            <w:vAlign w:val="top"/>
            <w:textDirection w:val="lrTb"/>
            <w:noWrap w:val="false"/>
          </w:tcPr>
          <w:p>
            <w:pPr>
              <w:pStyle w:val="930"/>
              <w:rPr>
                <w:sz w:val="20"/>
              </w:rPr>
            </w:pPr>
            <w:r>
              <w:rPr>
                <w:sz w:val="20"/>
              </w:rPr>
              <w:t xml:space="preserve">Покупка/продажа безналичной иностранной валюты за безналичные российские рубли</w:t>
            </w:r>
            <w:r>
              <w:rPr>
                <w:sz w:val="20"/>
              </w:rPr>
            </w:r>
            <w:r>
              <w:rPr>
                <w:sz w:val="20"/>
              </w:rPr>
            </w:r>
          </w:p>
        </w:tc>
        <w:tc>
          <w:tcPr>
            <w:tcW w:w="1985" w:type="dxa"/>
            <w:vAlign w:val="top"/>
            <w:textDirection w:val="lrTb"/>
            <w:noWrap w:val="false"/>
          </w:tcPr>
          <w:p>
            <w:pPr>
              <w:pStyle w:val="930"/>
              <w:jc w:val="center"/>
              <w:rPr>
                <w:sz w:val="20"/>
              </w:rPr>
            </w:pPr>
            <w:r>
              <w:rPr>
                <w:sz w:val="20"/>
              </w:rPr>
              <w:t xml:space="preserve">По курсу Банка</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sz w:val="20"/>
              </w:rPr>
            </w:pPr>
            <w:r>
              <w:rPr>
                <w:sz w:val="20"/>
              </w:rPr>
              <w:t xml:space="preserve">3.2.</w:t>
            </w:r>
            <w:r>
              <w:rPr>
                <w:sz w:val="20"/>
              </w:rPr>
            </w:r>
            <w:r>
              <w:rPr>
                <w:sz w:val="20"/>
              </w:rPr>
            </w:r>
          </w:p>
        </w:tc>
        <w:tc>
          <w:tcPr>
            <w:tcW w:w="3969" w:type="dxa"/>
            <w:vAlign w:val="top"/>
            <w:textDirection w:val="lrTb"/>
            <w:noWrap w:val="false"/>
          </w:tcPr>
          <w:p>
            <w:pPr>
              <w:pStyle w:val="930"/>
              <w:rPr>
                <w:sz w:val="20"/>
              </w:rPr>
            </w:pPr>
            <w:r>
              <w:rPr>
                <w:sz w:val="20"/>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sz w:val="20"/>
              </w:rPr>
            </w:r>
            <w:r>
              <w:rPr>
                <w:sz w:val="20"/>
              </w:rPr>
            </w:r>
          </w:p>
        </w:tc>
        <w:tc>
          <w:tcPr>
            <w:tcW w:w="1985" w:type="dxa"/>
            <w:vAlign w:val="top"/>
            <w:textDirection w:val="lrTb"/>
            <w:noWrap w:val="false"/>
          </w:tcPr>
          <w:p>
            <w:pPr>
              <w:pStyle w:val="930"/>
              <w:jc w:val="center"/>
              <w:rPr>
                <w:sz w:val="20"/>
              </w:rPr>
            </w:pPr>
            <w:r>
              <w:rPr>
                <w:sz w:val="20"/>
              </w:rPr>
              <w:t xml:space="preserve">По курсу Банка</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bl>
    <w:p>
      <w:pPr>
        <w:pStyle w:val="930"/>
      </w:pPr>
      <w:r/>
      <w:r/>
    </w:p>
    <w:tbl>
      <w:tblPr>
        <w:tblW w:w="10348"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3827"/>
        <w:gridCol w:w="2410"/>
        <w:gridCol w:w="3260"/>
      </w:tblGrid>
      <w:tr>
        <w:tblPrEx/>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930"/>
              <w:ind w:right="-17"/>
              <w:jc w:val="center"/>
              <w:spacing w:before="120" w:after="120"/>
              <w:tabs>
                <w:tab w:val="left" w:pos="4464" w:leader="none"/>
                <w:tab w:val="left" w:pos="5760" w:leader="none"/>
              </w:tabs>
              <w:rPr>
                <w:sz w:val="22"/>
                <w:szCs w:val="22"/>
              </w:rPr>
            </w:pPr>
            <w:r>
              <w:rPr>
                <w:b/>
                <w:bCs/>
                <w:sz w:val="22"/>
                <w:szCs w:val="22"/>
              </w:rPr>
              <w:t xml:space="preserve">4. Документарные аккредитивы</w:t>
            </w:r>
            <w:r>
              <w:rPr>
                <w:sz w:val="22"/>
                <w:szCs w:val="22"/>
              </w:rPr>
            </w:r>
            <w:r>
              <w:rPr>
                <w:sz w:val="22"/>
                <w:szCs w:val="22"/>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30"/>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930"/>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sz w:val="20"/>
              </w:rPr>
            </w:pPr>
            <w:r>
              <w:rPr>
                <w:b/>
                <w:bCs/>
                <w:sz w:val="20"/>
              </w:rPr>
              <w:t xml:space="preserve">4.1.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30"/>
              <w:spacing w:before="40" w:after="40"/>
              <w:rPr>
                <w:b/>
                <w:sz w:val="20"/>
              </w:rPr>
            </w:pPr>
            <w:r>
              <w:rPr>
                <w:b/>
                <w:bCs/>
                <w:sz w:val="20"/>
              </w:rPr>
              <w:t xml:space="preserve">Операции по аккредитивам, открытым другими банками для расчетов по внешнеторговым сделкам </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sz w:val="20"/>
              </w:rPr>
            </w:pPr>
            <w:r>
              <w:rPr>
                <w:sz w:val="20"/>
              </w:rPr>
              <w:t xml:space="preserve">4.1.1.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spacing w:before="40" w:after="40"/>
              <w:rPr>
                <w:sz w:val="20"/>
              </w:rPr>
            </w:pPr>
            <w:r>
              <w:rPr>
                <w:bCs/>
                <w:sz w:val="20"/>
              </w:rPr>
              <w:t xml:space="preserve">Предварительное авизование аккредитива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spacing w:before="40" w:after="40"/>
              <w:rPr>
                <w:sz w:val="20"/>
              </w:rPr>
            </w:pPr>
            <w:r>
              <w:rPr>
                <w:sz w:val="20"/>
              </w:rPr>
              <w:t xml:space="preserve">10 </w:t>
            </w:r>
            <w:r>
              <w:rPr>
                <w:sz w:val="20"/>
                <w:lang w:val="en-US"/>
              </w:rPr>
              <w:t xml:space="preserve">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5"/>
              </w:numPr>
              <w:ind w:left="0" w:firstLine="0"/>
              <w:jc w:val="left"/>
              <w:tabs>
                <w:tab w:val="left" w:pos="177" w:leader="none"/>
              </w:tabs>
              <w:rPr>
                <w:i w:val="0"/>
                <w:iCs w:val="0"/>
                <w:sz w:val="20"/>
              </w:rPr>
            </w:pPr>
            <w:r>
              <w:rPr>
                <w:i w:val="0"/>
                <w:iCs w:val="0"/>
                <w:sz w:val="20"/>
              </w:rPr>
              <w:t xml:space="preserve">Авизование аккредитива </w:t>
            </w:r>
            <w:r>
              <w:rPr>
                <w:i w:val="0"/>
                <w:iCs w:val="0"/>
                <w:sz w:val="20"/>
              </w:rPr>
            </w:r>
            <w:r>
              <w:rPr>
                <w:i w:val="0"/>
                <w:iCs w:val="0"/>
                <w:sz w:val="20"/>
              </w:rPr>
            </w:r>
          </w:p>
          <w:p>
            <w:pPr>
              <w:pStyle w:val="930"/>
              <w:numPr>
                <w:ilvl w:val="0"/>
                <w:numId w:val="15"/>
              </w:numPr>
              <w:ind w:left="0" w:firstLine="0"/>
              <w:tabs>
                <w:tab w:val="left" w:pos="177" w:leader="none"/>
              </w:tabs>
              <w:rPr>
                <w:sz w:val="20"/>
              </w:rPr>
            </w:pPr>
            <w:r>
              <w:rPr>
                <w:bCs/>
                <w:sz w:val="20"/>
              </w:rPr>
              <w:t xml:space="preserve">Авизование изменения условий аккредитива, связанного с увеличением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0,15% от суммы аккредитива </w:t>
            </w:r>
            <w:r>
              <w:rPr>
                <w:bCs/>
                <w:sz w:val="20"/>
              </w:rPr>
              <w:t xml:space="preserve">или увеличения суммы аккредитива</w:t>
            </w:r>
            <w:r>
              <w:rPr>
                <w:sz w:val="20"/>
              </w:rPr>
              <w:t xml:space="preserve">,</w:t>
            </w:r>
            <w:r>
              <w:rPr>
                <w:sz w:val="20"/>
              </w:rPr>
            </w:r>
            <w:r>
              <w:rPr>
                <w:sz w:val="20"/>
              </w:rPr>
            </w:r>
          </w:p>
          <w:p>
            <w:pPr>
              <w:pStyle w:val="930"/>
              <w:jc w:val="center"/>
              <w:rPr>
                <w:sz w:val="20"/>
              </w:rPr>
            </w:pPr>
            <w:r>
              <w:rPr>
                <w:sz w:val="20"/>
              </w:rPr>
              <w:t xml:space="preserve">мин. 1</w:t>
            </w:r>
            <w:r>
              <w:rPr>
                <w:sz w:val="20"/>
                <w:lang w:val="en-US"/>
              </w:rPr>
              <w:t xml:space="preserve">0</w:t>
            </w:r>
            <w:r>
              <w:rPr>
                <w:sz w:val="20"/>
              </w:rPr>
              <w:t xml:space="preserve"> </w:t>
            </w:r>
            <w:r>
              <w:rPr>
                <w:sz w:val="20"/>
                <w:lang w:val="en-US"/>
              </w:rPr>
              <w:t xml:space="preserve">0</w:t>
            </w:r>
            <w:r>
              <w:rPr>
                <w:sz w:val="20"/>
              </w:rPr>
              <w:t xml:space="preserve">00 руб.,</w:t>
            </w:r>
            <w:r>
              <w:rPr>
                <w:sz w:val="20"/>
              </w:rPr>
            </w:r>
            <w:r>
              <w:rPr>
                <w:sz w:val="20"/>
              </w:rPr>
            </w:r>
          </w:p>
          <w:p>
            <w:pPr>
              <w:pStyle w:val="930"/>
              <w:jc w:val="center"/>
              <w:rPr>
                <w:b/>
                <w:bCs/>
                <w:sz w:val="20"/>
              </w:rPr>
            </w:pPr>
            <w:r>
              <w:rPr>
                <w:sz w:val="20"/>
              </w:rPr>
              <w:t xml:space="preserve">макс. 75 000 руб.</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rPr>
                <w:sz w:val="20"/>
              </w:rPr>
            </w:pPr>
            <w:r>
              <w:rPr>
                <w:sz w:val="20"/>
              </w:rPr>
              <w:t xml:space="preserve">4.1.3.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6"/>
              </w:numPr>
              <w:ind w:left="0" w:firstLine="0"/>
              <w:jc w:val="left"/>
              <w:tabs>
                <w:tab w:val="left" w:pos="177" w:leader="none"/>
              </w:tabs>
              <w:rPr>
                <w:i w:val="0"/>
                <w:iCs w:val="0"/>
                <w:sz w:val="20"/>
              </w:rPr>
            </w:pPr>
            <w:r>
              <w:rPr>
                <w:i w:val="0"/>
                <w:iCs w:val="0"/>
                <w:sz w:val="20"/>
              </w:rPr>
              <w:t xml:space="preserve">Подтверждение аккредитива</w:t>
            </w:r>
            <w:r>
              <w:rPr>
                <w:i w:val="0"/>
                <w:iCs w:val="0"/>
                <w:sz w:val="20"/>
              </w:rPr>
            </w:r>
            <w:r>
              <w:rPr>
                <w:i w:val="0"/>
                <w:iCs w:val="0"/>
                <w:sz w:val="20"/>
              </w:rPr>
            </w:r>
          </w:p>
          <w:p>
            <w:pPr>
              <w:pStyle w:val="943"/>
              <w:numPr>
                <w:ilvl w:val="0"/>
                <w:numId w:val="16"/>
              </w:numPr>
              <w:ind w:left="0" w:firstLine="0"/>
              <w:jc w:val="left"/>
              <w:tabs>
                <w:tab w:val="left" w:pos="177" w:leader="none"/>
              </w:tabs>
              <w:rPr>
                <w:i w:val="0"/>
                <w:iCs w:val="0"/>
                <w:sz w:val="20"/>
              </w:rPr>
            </w:pPr>
            <w:r>
              <w:rPr>
                <w:i w:val="0"/>
                <w:iCs w:val="0"/>
                <w:sz w:val="20"/>
              </w:rPr>
              <w:t xml:space="preserve">Подтверждение изменения условий подтвержденного Банком аккредитива, связанного с увеличением суммы:</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jc w:val="left"/>
              <w:rPr>
                <w:i w:val="0"/>
                <w:iCs w:val="0"/>
                <w:sz w:val="20"/>
              </w:rPr>
            </w:pPr>
            <w:r>
              <w:rPr>
                <w:bCs/>
                <w:i w:val="0"/>
                <w:sz w:val="20"/>
              </w:rPr>
              <w:t xml:space="preserve">- при предоставлении банком-эмитентом 100% денежного покрытия</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6"/>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0,80% годовых 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 xml:space="preserve">/от суммы тратты</w:t>
            </w:r>
            <w:r>
              <w:rPr>
                <w:rFonts w:ascii="Times New Roman" w:hAnsi="Times New Roman" w:cs="Times New Roman"/>
                <w:sz w:val="20"/>
                <w:szCs w:val="20"/>
              </w:rPr>
              <w:t xml:space="preserve">, </w:t>
              <w:br w:type="textWrapping" w:clear="all"/>
              <w:t xml:space="preserve">мин. 10 000 руб.</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jc w:val="left"/>
              <w:rPr>
                <w:i w:val="0"/>
                <w:iCs w:val="0"/>
                <w:sz w:val="20"/>
              </w:rPr>
            </w:pPr>
            <w:r>
              <w:rPr>
                <w:i w:val="0"/>
                <w:sz w:val="20"/>
              </w:rPr>
              <w:t xml:space="preserve">- при отсутствии 100% </w:t>
            </w:r>
            <w:r>
              <w:rPr>
                <w:bCs/>
                <w:i w:val="0"/>
                <w:sz w:val="20"/>
              </w:rPr>
              <w:t xml:space="preserve">денежного покрытия </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lang w:val="en-US"/>
              </w:rPr>
            </w:pPr>
            <w:r>
              <w:rPr>
                <w:sz w:val="20"/>
              </w:rPr>
              <w:t xml:space="preserve">По соглашению сторон</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16"/>
              </w:numPr>
              <w:ind w:left="0" w:hanging="42"/>
              <w:tabs>
                <w:tab w:val="left" w:pos="184" w:leader="none"/>
              </w:tabs>
              <w:rPr>
                <w:bCs/>
                <w:sz w:val="20"/>
              </w:rPr>
            </w:pPr>
            <w:r>
              <w:rPr>
                <w:iCs/>
                <w:sz w:val="20"/>
              </w:rPr>
              <w:t xml:space="preserve">Авизование изменения условий</w:t>
            </w:r>
            <w:r>
              <w:rPr>
                <w:bCs/>
                <w:sz w:val="20"/>
              </w:rPr>
              <w:t xml:space="preserve"> аккредитива, не связанного с увеличением суммы </w:t>
            </w:r>
            <w:r>
              <w:rPr>
                <w:bCs/>
                <w:sz w:val="20"/>
              </w:rPr>
            </w:r>
            <w:r>
              <w:rPr>
                <w:bCs/>
                <w:sz w:val="20"/>
              </w:rPr>
            </w:r>
          </w:p>
          <w:p>
            <w:pPr>
              <w:pStyle w:val="930"/>
              <w:numPr>
                <w:ilvl w:val="0"/>
                <w:numId w:val="16"/>
              </w:numPr>
              <w:ind w:left="0" w:hanging="42"/>
              <w:tabs>
                <w:tab w:val="left" w:pos="0" w:leader="none"/>
                <w:tab w:val="left" w:pos="184" w:leader="none"/>
              </w:tabs>
              <w:rPr>
                <w:sz w:val="20"/>
              </w:rPr>
            </w:pPr>
            <w:r>
              <w:rPr>
                <w:sz w:val="20"/>
              </w:rPr>
              <w:t xml:space="preserve">Авизование запроса на аннуляцию аккредитива</w:t>
            </w:r>
            <w:r>
              <w:rPr>
                <w:sz w:val="20"/>
              </w:rPr>
            </w:r>
            <w:r>
              <w:rPr>
                <w:sz w:val="20"/>
              </w:rPr>
            </w:r>
          </w:p>
          <w:p>
            <w:pPr>
              <w:pStyle w:val="930"/>
              <w:numPr>
                <w:ilvl w:val="0"/>
                <w:numId w:val="16"/>
              </w:numPr>
              <w:ind w:left="0" w:hanging="42"/>
              <w:tabs>
                <w:tab w:val="left" w:pos="184" w:leader="none"/>
              </w:tabs>
              <w:rPr>
                <w:i/>
                <w:iCs/>
                <w:sz w:val="20"/>
              </w:rPr>
            </w:pPr>
            <w:r>
              <w:rPr>
                <w:bCs/>
                <w:color w:val="000000"/>
                <w:sz w:val="20"/>
              </w:rPr>
              <w:t xml:space="preserve">Авизование иных сообщений по аккредитиву</w:t>
            </w:r>
            <w:r>
              <w:rPr>
                <w:i/>
                <w:iCs/>
                <w:sz w:val="20"/>
              </w:rPr>
            </w:r>
            <w:r>
              <w:rPr>
                <w:i/>
                <w:i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 3 500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rPr>
                <w:sz w:val="20"/>
              </w:rPr>
            </w:pPr>
            <w:r>
              <w:rPr>
                <w:bCs/>
                <w:sz w:val="20"/>
              </w:rPr>
              <w:t xml:space="preserve">Обработка/проверка документов</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30"/>
              <w:jc w:val="center"/>
              <w:rPr>
                <w:sz w:val="20"/>
              </w:rPr>
            </w:pPr>
            <w:r>
              <w:rPr>
                <w:sz w:val="20"/>
              </w:rPr>
              <w:t xml:space="preserve">мин. 1</w:t>
            </w:r>
            <w:r>
              <w:rPr>
                <w:sz w:val="20"/>
                <w:lang w:val="en-US"/>
              </w:rPr>
              <w:t xml:space="preserve">0</w:t>
            </w:r>
            <w:r>
              <w:rPr>
                <w:sz w:val="20"/>
              </w:rPr>
              <w:t xml:space="preserve"> 000 руб.,</w:t>
            </w:r>
            <w:r>
              <w:rPr>
                <w:sz w:val="20"/>
              </w:rPr>
            </w:r>
            <w:r>
              <w:rPr>
                <w:sz w:val="20"/>
              </w:rPr>
            </w:r>
          </w:p>
          <w:p>
            <w:pPr>
              <w:pStyle w:val="930"/>
              <w:jc w:val="center"/>
              <w:rPr>
                <w:sz w:val="20"/>
              </w:rPr>
            </w:pPr>
            <w:r>
              <w:rPr>
                <w:sz w:val="20"/>
              </w:rPr>
              <w:t xml:space="preserve">макс. 3</w:t>
            </w:r>
            <w:r>
              <w:rPr>
                <w:sz w:val="20"/>
                <w:lang w:val="en-US"/>
              </w:rPr>
              <w:t xml:space="preserve">5</w:t>
            </w:r>
            <w:r>
              <w:rPr>
                <w:sz w:val="20"/>
              </w:rPr>
              <w:t xml:space="preserve">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7"/>
              <w:ind w:left="0"/>
              <w:rPr>
                <w:b w:val="0"/>
                <w:bCs w:val="0"/>
                <w:sz w:val="20"/>
              </w:rPr>
            </w:pPr>
            <w:r>
              <w:rPr>
                <w:b w:val="0"/>
                <w:bCs w:val="0"/>
                <w:sz w:val="20"/>
              </w:rPr>
              <w:t xml:space="preserve">Комиссия за </w:t>
            </w:r>
            <w:r>
              <w:rPr>
                <w:b w:val="0"/>
                <w:sz w:val="20"/>
              </w:rPr>
              <w:t xml:space="preserve">предоставление </w:t>
            </w:r>
            <w:r>
              <w:rPr>
                <w:b w:val="0"/>
                <w:bCs w:val="0"/>
                <w:sz w:val="20"/>
              </w:rPr>
              <w:t xml:space="preserve">отсрочки </w:t>
            </w:r>
            <w:r>
              <w:rPr>
                <w:b w:val="0"/>
                <w:sz w:val="20"/>
              </w:rPr>
              <w:t xml:space="preserve">возмещения</w:t>
            </w:r>
            <w:r>
              <w:rPr>
                <w:b w:val="0"/>
                <w:bCs w:val="0"/>
                <w:sz w:val="2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4.1.7.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7"/>
              <w:ind w:left="0"/>
              <w:rPr>
                <w:b w:val="0"/>
                <w:bCs w:val="0"/>
                <w:sz w:val="20"/>
              </w:rPr>
            </w:pPr>
            <w:r>
              <w:rPr>
                <w:b w:val="0"/>
                <w:bCs w:val="0"/>
                <w:sz w:val="20"/>
              </w:rPr>
              <w:t xml:space="preserve">Запрос по аккредитиву по инициативе клиента/банка-контрагента</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p>
            <w:pPr>
              <w:pStyle w:val="930"/>
              <w:jc w:val="center"/>
              <w:rPr>
                <w:iCs/>
                <w:strike/>
                <w:color w:val="ffffff"/>
                <w:sz w:val="20"/>
              </w:rPr>
            </w:pPr>
            <w:r>
              <w:rPr>
                <w:iCs/>
                <w:strike/>
                <w:color w:val="ffffff"/>
                <w:sz w:val="20"/>
              </w:rPr>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lang w:val="en-US"/>
              </w:rPr>
              <w:t xml:space="preserve">4</w:t>
            </w:r>
            <w:r>
              <w:rPr>
                <w:sz w:val="20"/>
              </w:rPr>
              <w:t xml:space="preserve">.1.8.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7"/>
              <w:ind w:left="0"/>
              <w:rPr>
                <w:b w:val="0"/>
                <w:bCs w:val="0"/>
                <w:sz w:val="20"/>
              </w:rPr>
            </w:pPr>
            <w:r>
              <w:rPr>
                <w:b w:val="0"/>
                <w:bCs w:val="0"/>
                <w:sz w:val="20"/>
              </w:rPr>
              <w:t xml:space="preserve">Проверка правильности телексных ключей</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trike/>
                <w:color w:val="ffffff"/>
                <w:sz w:val="20"/>
              </w:rPr>
            </w:pPr>
            <w:r>
              <w:rPr>
                <w:bCs/>
                <w:sz w:val="20"/>
              </w:rPr>
              <w:t xml:space="preserve">Комиссия включает НДС</w:t>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rPr>
                <w:bCs/>
                <w:sz w:val="20"/>
              </w:rPr>
            </w:pPr>
            <w:r>
              <w:rPr>
                <w:sz w:val="20"/>
                <w:lang w:val="en-US"/>
              </w:rPr>
              <w:t xml:space="preserve">4</w:t>
            </w:r>
            <w:r>
              <w:rPr>
                <w:sz w:val="20"/>
              </w:rPr>
              <w:t xml:space="preserve">.1.9.</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58"/>
              <w:numPr>
                <w:ilvl w:val="0"/>
                <w:numId w:val="17"/>
              </w:numPr>
              <w:ind w:left="0" w:firstLine="0"/>
              <w:tabs>
                <w:tab w:val="left" w:pos="177" w:leader="none"/>
              </w:tabs>
              <w:rPr>
                <w:sz w:val="20"/>
                <w:szCs w:val="20"/>
              </w:rPr>
            </w:pPr>
            <w:r>
              <w:rPr>
                <w:sz w:val="20"/>
                <w:szCs w:val="20"/>
              </w:rPr>
              <w:t xml:space="preserve">Выпуск рамбурсного обязательства</w:t>
            </w:r>
            <w:r>
              <w:rPr>
                <w:sz w:val="20"/>
                <w:szCs w:val="20"/>
              </w:rPr>
            </w:r>
            <w:r>
              <w:rPr>
                <w:sz w:val="20"/>
                <w:szCs w:val="20"/>
              </w:rPr>
            </w:r>
          </w:p>
          <w:p>
            <w:pPr>
              <w:pStyle w:val="930"/>
              <w:numPr>
                <w:ilvl w:val="0"/>
                <w:numId w:val="17"/>
              </w:numPr>
              <w:ind w:left="0" w:firstLine="0"/>
              <w:tabs>
                <w:tab w:val="left" w:pos="184" w:leader="none"/>
              </w:tabs>
              <w:rPr>
                <w:rFonts w:eastAsia="Arial Unicode MS"/>
                <w:bCs/>
                <w:sz w:val="20"/>
              </w:rPr>
            </w:pPr>
            <w:r>
              <w:rPr>
                <w:sz w:val="20"/>
              </w:rPr>
              <w:t xml:space="preserve">Внесение изменений в условия рамбурсного обязательства, связанное с увеличением суммы: </w:t>
            </w:r>
            <w:r>
              <w:rPr>
                <w:rFonts w:eastAsia="Arial Unicode MS"/>
                <w:bCs/>
                <w:sz w:val="20"/>
              </w:rPr>
            </w:r>
            <w:r>
              <w:rPr>
                <w:rFonts w:eastAsia="Arial Unicode MS"/>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5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58"/>
              <w:jc w:val="both"/>
              <w:rPr>
                <w:sz w:val="20"/>
                <w:szCs w:val="20"/>
              </w:rPr>
            </w:pPr>
            <w:r>
              <w:rPr>
                <w:sz w:val="20"/>
                <w:szCs w:val="20"/>
              </w:rPr>
            </w:r>
            <w:r>
              <w:rPr>
                <w:sz w:val="20"/>
                <w:szCs w:val="20"/>
              </w:rPr>
            </w:r>
            <w:r>
              <w:rPr>
                <w:sz w:val="20"/>
                <w:szCs w:val="20"/>
              </w:rPr>
            </w:r>
          </w:p>
          <w:p>
            <w:pPr>
              <w:pStyle w:val="930"/>
              <w:jc w:val="both"/>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58"/>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58"/>
              <w:jc w:val="center"/>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r>
            <w:r>
              <w:rPr>
                <w:sz w:val="20"/>
                <w:szCs w:val="20"/>
              </w:rPr>
            </w:r>
          </w:p>
          <w:p>
            <w:pPr>
              <w:pStyle w:val="958"/>
              <w:jc w:val="center"/>
              <w:rPr>
                <w:sz w:val="20"/>
                <w:szCs w:val="20"/>
              </w:rPr>
            </w:pP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58"/>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58"/>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58"/>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58"/>
              <w:jc w:val="both"/>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bCs/>
                <w:sz w:val="20"/>
              </w:rPr>
            </w:pPr>
            <w:r>
              <w:rPr>
                <w:sz w:val="20"/>
                <w:lang w:val="en-US"/>
              </w:rPr>
              <w:t xml:space="preserve">4</w:t>
            </w:r>
            <w:r>
              <w:rPr>
                <w:sz w:val="20"/>
              </w:rPr>
              <w:t xml:space="preserve">.1.10.</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18"/>
              </w:numPr>
              <w:ind w:left="0" w:firstLine="0"/>
              <w:tabs>
                <w:tab w:val="left" w:pos="177" w:leader="none"/>
              </w:tabs>
              <w:rPr>
                <w:bCs/>
                <w:sz w:val="20"/>
              </w:rPr>
            </w:pPr>
            <w:r>
              <w:rPr>
                <w:bCs/>
                <w:sz w:val="20"/>
              </w:rPr>
              <w:t xml:space="preserve">Изменение условий рамбурсного обязательства, не связанное с увеличением суммы</w:t>
            </w:r>
            <w:r>
              <w:rPr>
                <w:bCs/>
                <w:sz w:val="20"/>
              </w:rPr>
            </w:r>
            <w:r>
              <w:rPr>
                <w:bCs/>
                <w:sz w:val="20"/>
              </w:rPr>
            </w:r>
          </w:p>
          <w:p>
            <w:pPr>
              <w:pStyle w:val="931"/>
              <w:numPr>
                <w:ilvl w:val="0"/>
                <w:numId w:val="18"/>
              </w:numPr>
              <w:ind w:left="0" w:firstLine="0"/>
              <w:jc w:val="left"/>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iCs/>
                <w:sz w:val="20"/>
              </w:rPr>
            </w:pPr>
            <w:r>
              <w:rPr>
                <w:bCs/>
                <w:sz w:val="20"/>
              </w:rPr>
              <w:t xml:space="preserve">1</w:t>
            </w:r>
            <w:r>
              <w:rPr>
                <w:bCs/>
                <w:sz w:val="20"/>
                <w:lang w:val="en-US"/>
              </w:rPr>
              <w:t xml:space="preserve">0 0</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bCs/>
                <w:sz w:val="20"/>
              </w:rPr>
            </w:pPr>
            <w:r>
              <w:rPr>
                <w:sz w:val="20"/>
                <w:lang w:val="en-US"/>
              </w:rPr>
              <w:t xml:space="preserve">4</w:t>
            </w:r>
            <w:r>
              <w:rPr>
                <w:sz w:val="20"/>
              </w:rPr>
              <w:t xml:space="preserve">.1.11.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1"/>
              <w:jc w:val="left"/>
              <w:rPr>
                <w:b w:val="0"/>
                <w:sz w:val="20"/>
                <w:szCs w:val="20"/>
              </w:rPr>
            </w:pPr>
            <w:r>
              <w:rPr>
                <w:b w:val="0"/>
                <w:sz w:val="20"/>
                <w:szCs w:val="20"/>
              </w:rPr>
              <w:t xml:space="preserve">Платеж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iCs/>
                <w:sz w:val="20"/>
              </w:rPr>
            </w:pPr>
            <w:r>
              <w:rPr>
                <w:bCs/>
                <w:sz w:val="20"/>
              </w:rPr>
              <w:t xml:space="preserve">3 </w:t>
            </w:r>
            <w:r>
              <w:rPr>
                <w:bCs/>
                <w:sz w:val="20"/>
                <w:lang w:val="en-US"/>
              </w:rPr>
              <w:t xml:space="preserve">5</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
                <w:sz w:val="20"/>
              </w:rPr>
            </w:pPr>
            <w:r>
              <w:rPr>
                <w:b/>
                <w:bCs/>
                <w:sz w:val="20"/>
              </w:rPr>
              <w:t xml:space="preserve">4.2.</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30"/>
              <w:spacing w:before="40" w:after="40"/>
              <w:rPr>
                <w:b/>
                <w:sz w:val="20"/>
              </w:rPr>
            </w:pPr>
            <w:r>
              <w:rPr>
                <w:b/>
                <w:sz w:val="20"/>
              </w:rPr>
              <w:t xml:space="preserve">Операции по аккредитивам, открытым АО «Россельхозбанк» по запросам банков-контрагентов для расчетов по внешнеторговым сделкам:</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rPr>
                <w:sz w:val="20"/>
              </w:rPr>
            </w:pPr>
            <w:r>
              <w:rPr>
                <w:sz w:val="20"/>
              </w:rPr>
              <w:t xml:space="preserve">4.2.1.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19"/>
              </w:numPr>
              <w:ind w:left="0" w:firstLine="35"/>
              <w:tabs>
                <w:tab w:val="left" w:pos="177" w:leader="none"/>
              </w:tabs>
              <w:rPr>
                <w:iCs/>
                <w:sz w:val="20"/>
              </w:rPr>
            </w:pPr>
            <w:r>
              <w:rPr>
                <w:iCs/>
                <w:sz w:val="20"/>
              </w:rPr>
              <w:t xml:space="preserve">Открытие аккредитива</w:t>
            </w:r>
            <w:r>
              <w:rPr>
                <w:iCs/>
                <w:sz w:val="20"/>
              </w:rPr>
            </w:r>
            <w:r>
              <w:rPr>
                <w:iCs/>
                <w:sz w:val="20"/>
              </w:rPr>
            </w:r>
          </w:p>
          <w:p>
            <w:pPr>
              <w:pStyle w:val="930"/>
              <w:numPr>
                <w:ilvl w:val="0"/>
                <w:numId w:val="19"/>
              </w:numPr>
              <w:ind w:left="0" w:firstLine="35"/>
              <w:tabs>
                <w:tab w:val="left" w:pos="177" w:leader="none"/>
              </w:tabs>
              <w:rPr>
                <w:iCs/>
                <w:sz w:val="20"/>
              </w:rPr>
            </w:pPr>
            <w:r>
              <w:rPr>
                <w:iCs/>
                <w:sz w:val="20"/>
              </w:rPr>
              <w:t xml:space="preserve">Увеличение суммы</w:t>
            </w:r>
            <w:r>
              <w:rPr>
                <w:iCs/>
                <w:sz w:val="20"/>
              </w:rPr>
            </w:r>
            <w:r>
              <w:rPr>
                <w:iCs/>
                <w:sz w:val="20"/>
              </w:rPr>
            </w:r>
          </w:p>
          <w:p>
            <w:pPr>
              <w:pStyle w:val="930"/>
              <w:numPr>
                <w:ilvl w:val="0"/>
                <w:numId w:val="19"/>
              </w:numPr>
              <w:ind w:left="0" w:firstLine="35"/>
              <w:tabs>
                <w:tab w:val="left" w:pos="177" w:leader="none"/>
              </w:tabs>
              <w:rPr>
                <w:sz w:val="20"/>
              </w:rPr>
            </w:pPr>
            <w:r>
              <w:rPr>
                <w:bCs/>
                <w:color w:val="000000"/>
                <w:sz w:val="20"/>
              </w:rPr>
              <w:t xml:space="preserve">Продление срока действия аккредитива на срок, выходящий за пределы периода, комиссия за который оплачена ранее: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iCs/>
                <w:sz w:val="20"/>
              </w:rPr>
            </w:pPr>
            <w:r>
              <w:rPr>
                <w:iCs/>
                <w:sz w:val="20"/>
              </w:rPr>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jc w:val="left"/>
              <w:tabs>
                <w:tab w:val="left" w:pos="432" w:leader="none"/>
              </w:tabs>
              <w:rPr>
                <w:i w:val="0"/>
                <w:iCs w:val="0"/>
                <w:sz w:val="20"/>
              </w:rPr>
            </w:pPr>
            <w:r>
              <w:rPr>
                <w:i w:val="0"/>
                <w:iCs w:val="0"/>
                <w:sz w:val="20"/>
              </w:rPr>
              <w:t xml:space="preserve">- при наличии 100% </w:t>
            </w:r>
            <w:r>
              <w:rPr>
                <w:bCs/>
                <w:i w:val="0"/>
                <w:sz w:val="20"/>
              </w:rPr>
              <w:t xml:space="preserve">денежного покрытия </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6"/>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0,60% годовых от суммы, предъявленной к оплате по аккредитиву,</w:t>
            </w:r>
            <w:r>
              <w:rPr>
                <w:rFonts w:ascii="Times New Roman" w:hAnsi="Times New Roman" w:cs="Times New Roman"/>
                <w:bCs/>
                <w:sz w:val="20"/>
                <w:szCs w:val="20"/>
              </w:rPr>
              <w:t xml:space="preserve"> и/или неиспользованного остатка средств по аккредитиву</w:t>
            </w:r>
            <w:r>
              <w:rPr>
                <w:rFonts w:ascii="Times New Roman" w:hAnsi="Times New Roman" w:cs="Times New Roman"/>
                <w:sz w:val="20"/>
                <w:szCs w:val="20"/>
              </w:rPr>
              <w:t xml:space="preserve">, </w:t>
              <w:br w:type="textWrapping" w:clear="all"/>
              <w:t xml:space="preserve">мин.10 000 руб. </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tabs>
                <w:tab w:val="left" w:pos="432" w:leader="none"/>
              </w:tabs>
              <w:rPr>
                <w:bCs/>
                <w:sz w:val="20"/>
              </w:rPr>
            </w:pPr>
            <w:r>
              <w:rPr>
                <w:bCs/>
                <w:sz w:val="20"/>
              </w:rPr>
              <w:t xml:space="preserve">- при отсутствии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0"/>
              </w:numPr>
              <w:ind w:left="0" w:firstLine="0"/>
              <w:tabs>
                <w:tab w:val="left" w:pos="184" w:leader="none"/>
              </w:tabs>
              <w:rPr>
                <w:bCs/>
                <w:sz w:val="20"/>
              </w:rPr>
            </w:pPr>
            <w:r>
              <w:rPr>
                <w:iCs/>
                <w:sz w:val="20"/>
              </w:rPr>
              <w:t xml:space="preserve">Внесение изменений в условия </w:t>
            </w:r>
            <w:r>
              <w:rPr>
                <w:bCs/>
                <w:sz w:val="20"/>
              </w:rPr>
              <w:t xml:space="preserve">открытого Банком аккредитива, не связанных с увеличением суммы</w:t>
            </w:r>
            <w:r>
              <w:rPr>
                <w:bCs/>
                <w:sz w:val="20"/>
              </w:rPr>
            </w:r>
            <w:r>
              <w:rPr>
                <w:bCs/>
                <w:sz w:val="20"/>
              </w:rPr>
            </w:r>
          </w:p>
          <w:p>
            <w:pPr>
              <w:pStyle w:val="930"/>
              <w:numPr>
                <w:ilvl w:val="0"/>
                <w:numId w:val="21"/>
              </w:numPr>
              <w:ind w:left="0" w:firstLine="0"/>
              <w:tabs>
                <w:tab w:val="left" w:pos="177" w:leader="none"/>
              </w:tabs>
              <w:rPr>
                <w:bCs/>
                <w:sz w:val="20"/>
              </w:rPr>
            </w:pPr>
            <w:r>
              <w:rPr>
                <w:bCs/>
                <w:sz w:val="20"/>
              </w:rPr>
              <w:t xml:space="preserve">Запрос согласия на аннуляцию аккредитива</w:t>
            </w:r>
            <w:r>
              <w:rPr>
                <w:bCs/>
                <w:sz w:val="20"/>
              </w:rPr>
            </w:r>
            <w:r>
              <w:rPr>
                <w:bCs/>
                <w:sz w:val="20"/>
              </w:rPr>
            </w:r>
          </w:p>
          <w:p>
            <w:pPr>
              <w:pStyle w:val="943"/>
              <w:tabs>
                <w:tab w:val="left" w:pos="177" w:leader="none"/>
              </w:tabs>
              <w:rPr>
                <w:i w:val="0"/>
                <w:iCs w:val="0"/>
                <w:sz w:val="20"/>
              </w:rPr>
            </w:pPr>
            <w:r>
              <w:rPr>
                <w:i w:val="0"/>
                <w:iCs w:val="0"/>
                <w:sz w:val="20"/>
              </w:rPr>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rPr>
                <w:bCs/>
                <w:sz w:val="20"/>
              </w:rPr>
            </w:pPr>
            <w:r>
              <w:rPr>
                <w:bCs/>
                <w:sz w:val="20"/>
              </w:rPr>
              <w:t xml:space="preserve">Обработка/проверка документов</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30"/>
              <w:jc w:val="center"/>
              <w:rPr>
                <w:sz w:val="20"/>
              </w:rPr>
            </w:pPr>
            <w:r>
              <w:rPr>
                <w:sz w:val="20"/>
              </w:rPr>
              <w:t xml:space="preserve">мин. 10 </w:t>
            </w:r>
            <w:r>
              <w:rPr>
                <w:sz w:val="20"/>
                <w:lang w:val="en-US"/>
              </w:rPr>
              <w:t xml:space="preserve">0</w:t>
            </w:r>
            <w:r>
              <w:rPr>
                <w:sz w:val="20"/>
              </w:rPr>
              <w:t xml:space="preserve">00 руб., макс. 350 000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7"/>
              <w:ind w:left="0"/>
              <w:rPr>
                <w:b w:val="0"/>
                <w:bCs w:val="0"/>
                <w:sz w:val="20"/>
              </w:rPr>
            </w:pPr>
            <w:r>
              <w:rPr>
                <w:b w:val="0"/>
                <w:bCs w:val="0"/>
                <w:sz w:val="20"/>
              </w:rPr>
              <w:t xml:space="preserve">Запрос по аккредитиву или рамбурсному обязательству по инициативе клиента/банка-контрагента</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rPr>
                <w:sz w:val="20"/>
              </w:rPr>
            </w:pPr>
            <w:r>
              <w:rPr>
                <w:bCs/>
                <w:sz w:val="20"/>
              </w:rPr>
              <w:t xml:space="preserve">Проверка правильности телексных ключей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trike/>
                <w:color w:val="ffffff"/>
                <w:sz w:val="20"/>
              </w:rPr>
            </w:pPr>
            <w:r>
              <w:rPr>
                <w:bCs/>
                <w:sz w:val="20"/>
              </w:rPr>
              <w:t xml:space="preserve">Комиссия включает НДС</w:t>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1"/>
              </w:numPr>
              <w:ind w:left="0" w:firstLine="0"/>
              <w:tabs>
                <w:tab w:val="left" w:pos="177" w:leader="none"/>
              </w:tabs>
              <w:rPr>
                <w:bCs/>
                <w:sz w:val="20"/>
              </w:rPr>
            </w:pPr>
            <w:r>
              <w:rPr>
                <w:bCs/>
                <w:sz w:val="20"/>
              </w:rPr>
              <w:t xml:space="preserve">Перевод аккредитива в пользу другого бенефициара (трансферация второму бенефициару)</w:t>
            </w:r>
            <w:r>
              <w:rPr>
                <w:bCs/>
                <w:sz w:val="20"/>
              </w:rPr>
            </w:r>
            <w:r>
              <w:rPr>
                <w:bCs/>
                <w:sz w:val="20"/>
              </w:rPr>
            </w:r>
          </w:p>
          <w:p>
            <w:pPr>
              <w:pStyle w:val="937"/>
              <w:numPr>
                <w:ilvl w:val="0"/>
                <w:numId w:val="21"/>
              </w:numPr>
              <w:ind w:left="0" w:firstLine="0"/>
              <w:tabs>
                <w:tab w:val="left" w:pos="177" w:leader="none"/>
              </w:tabs>
              <w:rPr>
                <w:b w:val="0"/>
                <w:bCs w:val="0"/>
                <w:sz w:val="20"/>
              </w:rPr>
            </w:pPr>
            <w:r>
              <w:rPr>
                <w:b w:val="0"/>
                <w:bCs w:val="0"/>
                <w:sz w:val="20"/>
              </w:rPr>
              <w:t xml:space="preserve">Внесение изменений в условия трансферированного аккредитива, связанных с увеличением суммы</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bCs/>
                <w:sz w:val="20"/>
              </w:rPr>
            </w:pPr>
            <w:r>
              <w:rPr>
                <w:bCs/>
                <w:sz w:val="20"/>
              </w:rPr>
              <w:t xml:space="preserve">0,15% от трансферированной суммы либо ее увеличения</w:t>
            </w:r>
            <w:r>
              <w:rPr>
                <w:bCs/>
                <w:sz w:val="20"/>
              </w:rPr>
            </w:r>
            <w:r>
              <w:rPr>
                <w:bCs/>
                <w:sz w:val="20"/>
              </w:rPr>
            </w:r>
          </w:p>
          <w:p>
            <w:pPr>
              <w:pStyle w:val="930"/>
              <w:jc w:val="center"/>
              <w:rPr>
                <w:bCs/>
                <w:sz w:val="20"/>
              </w:rPr>
            </w:pPr>
            <w:r>
              <w:rPr>
                <w:bCs/>
                <w:sz w:val="20"/>
              </w:rPr>
              <w:t xml:space="preserve">мин. 1</w:t>
            </w:r>
            <w:r>
              <w:rPr>
                <w:bCs/>
                <w:sz w:val="20"/>
                <w:lang w:val="en-US"/>
              </w:rPr>
              <w:t xml:space="preserve">0</w:t>
            </w:r>
            <w:r>
              <w:rPr>
                <w:bCs/>
                <w:sz w:val="20"/>
              </w:rPr>
              <w:t xml:space="preserve"> </w:t>
            </w:r>
            <w:r>
              <w:rPr>
                <w:bCs/>
                <w:sz w:val="20"/>
                <w:lang w:val="en-US"/>
              </w:rPr>
              <w:t xml:space="preserve">0</w:t>
            </w:r>
            <w:r>
              <w:rPr>
                <w:bCs/>
                <w:sz w:val="20"/>
              </w:rPr>
              <w:t xml:space="preserve">00 руб.,</w:t>
            </w:r>
            <w:r>
              <w:rPr>
                <w:bCs/>
                <w:sz w:val="20"/>
              </w:rPr>
            </w:r>
            <w:r>
              <w:rPr>
                <w:bCs/>
                <w:sz w:val="20"/>
              </w:rPr>
            </w:r>
          </w:p>
          <w:p>
            <w:pPr>
              <w:pStyle w:val="937"/>
              <w:ind w:left="0"/>
              <w:jc w:val="center"/>
              <w:rPr>
                <w:b w:val="0"/>
                <w:bCs w:val="0"/>
                <w:sz w:val="20"/>
              </w:rPr>
            </w:pPr>
            <w:r>
              <w:rPr>
                <w:b w:val="0"/>
                <w:bCs w:val="0"/>
                <w:sz w:val="20"/>
              </w:rPr>
              <w:t xml:space="preserve">макс. 1</w:t>
            </w:r>
            <w:r>
              <w:rPr>
                <w:b w:val="0"/>
                <w:bCs w:val="0"/>
                <w:sz w:val="20"/>
                <w:lang w:val="en-US"/>
              </w:rPr>
              <w:t xml:space="preserve">00</w:t>
            </w:r>
            <w:r>
              <w:rPr>
                <w:b w:val="0"/>
                <w:bCs w:val="0"/>
                <w:sz w:val="20"/>
              </w:rPr>
              <w:t xml:space="preserve"> 000 руб.</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sz w:val="20"/>
              </w:rPr>
              <w:t xml:space="preserve">4.2.7.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1"/>
              </w:numPr>
              <w:ind w:left="0" w:firstLine="0"/>
              <w:tabs>
                <w:tab w:val="left" w:pos="177" w:leader="none"/>
              </w:tabs>
              <w:rPr>
                <w:bCs/>
                <w:sz w:val="20"/>
              </w:rPr>
            </w:pPr>
            <w:r>
              <w:rPr>
                <w:bCs/>
                <w:sz w:val="20"/>
              </w:rPr>
              <w:t xml:space="preserve">Внесение изменений в условия трансферированного аккредитива, не связанных с увеличением суммы</w:t>
            </w:r>
            <w:r>
              <w:rPr>
                <w:bCs/>
                <w:sz w:val="20"/>
              </w:rPr>
            </w:r>
            <w:r>
              <w:rPr>
                <w:bCs/>
                <w:sz w:val="20"/>
              </w:rPr>
            </w:r>
          </w:p>
          <w:p>
            <w:pPr>
              <w:pStyle w:val="937"/>
              <w:numPr>
                <w:ilvl w:val="0"/>
                <w:numId w:val="21"/>
              </w:numPr>
              <w:ind w:left="0" w:firstLine="0"/>
              <w:tabs>
                <w:tab w:val="left" w:pos="177" w:leader="none"/>
              </w:tabs>
              <w:rPr>
                <w:b w:val="0"/>
                <w:bCs w:val="0"/>
                <w:sz w:val="20"/>
              </w:rPr>
            </w:pPr>
            <w:r>
              <w:rPr>
                <w:b w:val="0"/>
                <w:bCs w:val="0"/>
                <w:sz w:val="20"/>
              </w:rPr>
              <w:t xml:space="preserve">Запрос согласия на аннуляцию трансферированного аккредитива</w:t>
            </w:r>
            <w:r>
              <w:rPr>
                <w:b w:val="0"/>
                <w:bCs w:val="0"/>
                <w:sz w:val="20"/>
              </w:rPr>
            </w:r>
            <w:r>
              <w:rPr>
                <w:b w:val="0"/>
                <w:bCs w:val="0"/>
                <w:sz w:val="20"/>
              </w:rPr>
            </w:r>
          </w:p>
          <w:p>
            <w:pPr>
              <w:pStyle w:val="930"/>
              <w:numPr>
                <w:ilvl w:val="0"/>
                <w:numId w:val="21"/>
              </w:numPr>
              <w:ind w:left="0" w:firstLine="0"/>
              <w:tabs>
                <w:tab w:val="left" w:pos="177" w:leader="none"/>
              </w:tabs>
              <w:rPr>
                <w:bCs/>
                <w:color w:val="000000"/>
                <w:sz w:val="20"/>
              </w:rPr>
            </w:pPr>
            <w:r>
              <w:rPr>
                <w:bCs/>
                <w:color w:val="000000"/>
                <w:sz w:val="20"/>
              </w:rPr>
              <w:t xml:space="preserve">Авизование иного сообщения второму бенефициару по трансферированному аккредитиву</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b w:val="0"/>
                <w:bCs w:val="0"/>
                <w:sz w:val="20"/>
              </w:rPr>
            </w:pPr>
            <w:r>
              <w:rPr>
                <w:b w:val="0"/>
                <w:bCs w:val="0"/>
                <w:sz w:val="20"/>
              </w:rPr>
              <w:t xml:space="preserve">1</w:t>
            </w:r>
            <w:r>
              <w:rPr>
                <w:b w:val="0"/>
                <w:bCs w:val="0"/>
                <w:sz w:val="20"/>
                <w:lang w:val="en-US"/>
              </w:rPr>
              <w:t xml:space="preserve">0</w:t>
            </w:r>
            <w:r>
              <w:rPr>
                <w:b w:val="0"/>
                <w:bCs w:val="0"/>
                <w:sz w:val="20"/>
              </w:rPr>
              <w:t xml:space="preserve"> </w:t>
            </w:r>
            <w:r>
              <w:rPr>
                <w:b w:val="0"/>
                <w:bCs w:val="0"/>
                <w:sz w:val="20"/>
                <w:lang w:val="en-US"/>
              </w:rPr>
              <w:t xml:space="preserve">0</w:t>
            </w:r>
            <w:r>
              <w:rPr>
                <w:b w:val="0"/>
                <w:bCs w:val="0"/>
                <w:sz w:val="20"/>
              </w:rPr>
              <w:t xml:space="preserve">00 руб.</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spacing w:before="40" w:after="40"/>
              <w:rPr>
                <w:b/>
                <w:sz w:val="20"/>
              </w:rPr>
            </w:pPr>
            <w:r>
              <w:rPr>
                <w:b/>
                <w:sz w:val="20"/>
              </w:rPr>
              <w:t xml:space="preserve">4.3.</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30"/>
              <w:spacing w:before="40" w:after="40"/>
              <w:rPr>
                <w:bCs/>
                <w:sz w:val="20"/>
              </w:rPr>
            </w:pPr>
            <w:r>
              <w:rPr>
                <w:b/>
                <w:bCs/>
                <w:sz w:val="20"/>
              </w:rPr>
              <w:t xml:space="preserve">Аккредитивы для расчетов на территории Российской Федерации </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bCs/>
                <w:sz w:val="20"/>
              </w:rPr>
              <w:t xml:space="preserve">4.3.1.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1"/>
              </w:numPr>
              <w:ind w:left="0" w:firstLine="0"/>
              <w:tabs>
                <w:tab w:val="left" w:pos="177" w:leader="none"/>
              </w:tabs>
              <w:rPr>
                <w:bCs/>
                <w:sz w:val="20"/>
              </w:rPr>
            </w:pPr>
            <w:r>
              <w:rPr>
                <w:bCs/>
                <w:sz w:val="20"/>
              </w:rPr>
              <w:t xml:space="preserve">Авизование аккредитива; </w:t>
            </w:r>
            <w:r>
              <w:rPr>
                <w:bCs/>
                <w:sz w:val="20"/>
              </w:rPr>
            </w:r>
            <w:r>
              <w:rPr>
                <w:bCs/>
                <w:sz w:val="20"/>
              </w:rPr>
            </w:r>
          </w:p>
          <w:p>
            <w:pPr>
              <w:pStyle w:val="930"/>
              <w:numPr>
                <w:ilvl w:val="0"/>
                <w:numId w:val="21"/>
              </w:numPr>
              <w:ind w:left="0" w:firstLine="0"/>
              <w:tabs>
                <w:tab w:val="left" w:pos="177" w:leader="none"/>
              </w:tabs>
              <w:rPr>
                <w:bCs/>
                <w:sz w:val="20"/>
              </w:rPr>
            </w:pPr>
            <w:r>
              <w:rPr>
                <w:bCs/>
                <w:sz w:val="20"/>
              </w:rPr>
              <w:t xml:space="preserve">Авизование изменения условий аккредитива, связанного с увеличением суммы</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bCs/>
                <w:sz w:val="20"/>
              </w:rPr>
            </w:pPr>
            <w:r>
              <w:rPr>
                <w:bCs/>
                <w:sz w:val="20"/>
              </w:rPr>
              <w:t xml:space="preserve">0,1% от суммы аккредитива или ее увеличения</w:t>
            </w:r>
            <w:r>
              <w:rPr>
                <w:bCs/>
                <w:sz w:val="20"/>
              </w:rPr>
            </w:r>
            <w:r>
              <w:rPr>
                <w:bCs/>
                <w:sz w:val="20"/>
              </w:rPr>
            </w:r>
          </w:p>
          <w:p>
            <w:pPr>
              <w:pStyle w:val="930"/>
              <w:jc w:val="center"/>
              <w:rPr>
                <w:bCs/>
                <w:sz w:val="20"/>
              </w:rPr>
            </w:pPr>
            <w:r>
              <w:rPr>
                <w:bCs/>
                <w:sz w:val="20"/>
              </w:rPr>
              <w:t xml:space="preserve">мин. 1 000 руб.,</w:t>
            </w:r>
            <w:r>
              <w:rPr>
                <w:bCs/>
                <w:sz w:val="20"/>
              </w:rPr>
            </w:r>
            <w:r>
              <w:rPr>
                <w:bCs/>
                <w:sz w:val="20"/>
              </w:rPr>
            </w:r>
          </w:p>
          <w:p>
            <w:pPr>
              <w:pStyle w:val="937"/>
              <w:ind w:left="0"/>
              <w:jc w:val="center"/>
              <w:rPr>
                <w:b w:val="0"/>
                <w:sz w:val="20"/>
              </w:rPr>
            </w:pPr>
            <w:r>
              <w:rPr>
                <w:b w:val="0"/>
                <w:sz w:val="20"/>
              </w:rPr>
              <w:t xml:space="preserve">макс. 10 000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30"/>
              <w:jc w:val="center"/>
              <w:rPr>
                <w:sz w:val="20"/>
              </w:rPr>
            </w:pPr>
            <w:r>
              <w:rPr>
                <w:bCs/>
                <w:sz w:val="20"/>
              </w:rPr>
              <w:t xml:space="preserve">4.3.2.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1"/>
              </w:numPr>
              <w:ind w:left="0" w:firstLine="0"/>
              <w:tabs>
                <w:tab w:val="left" w:pos="177" w:leader="none"/>
              </w:tabs>
              <w:rPr>
                <w:bCs/>
                <w:sz w:val="20"/>
              </w:rPr>
            </w:pPr>
            <w:r>
              <w:rPr>
                <w:bCs/>
                <w:sz w:val="20"/>
              </w:rPr>
              <w:t xml:space="preserve">Подтверждение аккредитива;</w:t>
            </w:r>
            <w:r>
              <w:rPr>
                <w:bCs/>
                <w:sz w:val="20"/>
              </w:rPr>
            </w:r>
            <w:r>
              <w:rPr>
                <w:bCs/>
                <w:sz w:val="20"/>
              </w:rPr>
            </w:r>
          </w:p>
          <w:p>
            <w:pPr>
              <w:pStyle w:val="930"/>
              <w:numPr>
                <w:ilvl w:val="0"/>
                <w:numId w:val="21"/>
              </w:numPr>
              <w:ind w:left="0" w:firstLine="0"/>
              <w:tabs>
                <w:tab w:val="left" w:pos="177" w:leader="none"/>
              </w:tabs>
              <w:rPr>
                <w:bCs/>
                <w:sz w:val="20"/>
              </w:rPr>
            </w:pPr>
            <w:r>
              <w:rPr>
                <w:bCs/>
                <w:sz w:val="20"/>
              </w:rPr>
              <w:t xml:space="preserve">Подтверждение изменения условий подтвержденного Банком аккредитива, связанного с увеличением суммы: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tabs>
                <w:tab w:val="left" w:pos="327" w:leader="none"/>
              </w:tabs>
              <w:rPr>
                <w:bCs/>
                <w:sz w:val="20"/>
              </w:rPr>
            </w:pPr>
            <w:r>
              <w:rPr>
                <w:bCs/>
                <w:sz w:val="20"/>
              </w:rPr>
              <w:t xml:space="preserve">- при предоставлении банком-эмитентом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0"/>
              <w:jc w:val="center"/>
              <w:rPr>
                <w:sz w:val="20"/>
              </w:rPr>
            </w:pPr>
            <w:r>
              <w:rPr>
                <w:sz w:val="20"/>
              </w:rPr>
              <w:t xml:space="preserve">0,80% годовых от суммы, предъявленной к оплате по аккредитиву, и/или неиспользованного остатка по аккредитиву</w:t>
            </w:r>
            <w:r>
              <w:rPr>
                <w:sz w:val="20"/>
              </w:rPr>
            </w:r>
            <w:r>
              <w:rPr>
                <w:sz w:val="20"/>
              </w:rPr>
            </w:r>
          </w:p>
          <w:p>
            <w:pPr>
              <w:pStyle w:val="930"/>
              <w:jc w:val="center"/>
              <w:rPr>
                <w:sz w:val="20"/>
              </w:rPr>
            </w:pPr>
            <w:r>
              <w:rPr>
                <w:sz w:val="20"/>
              </w:rPr>
              <w:t xml:space="preserve">мин. 5 000 руб.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lang w:val="en-US"/>
              </w:rPr>
            </w:pPr>
            <w:r>
              <w:rPr>
                <w:bCs/>
                <w:sz w:val="20"/>
                <w:lang w:val="en-US"/>
              </w:rPr>
            </w:r>
            <w:r>
              <w:rPr>
                <w:bCs/>
                <w:sz w:val="20"/>
                <w:lang w:val="en-US"/>
              </w:rPr>
            </w:r>
            <w:r>
              <w:rPr>
                <w:bCs/>
                <w:sz w:val="20"/>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tabs>
                <w:tab w:val="left" w:pos="327" w:leader="none"/>
              </w:tabs>
              <w:rPr>
                <w:bCs/>
                <w:sz w:val="20"/>
              </w:rPr>
            </w:pPr>
            <w:r>
              <w:rPr>
                <w:sz w:val="20"/>
              </w:rPr>
              <w:t xml:space="preserve">- при отсутствии 100%</w:t>
            </w:r>
            <w:r>
              <w:rPr>
                <w:bCs/>
                <w:sz w:val="20"/>
              </w:rPr>
              <w:t xml:space="preserve">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b w:val="0"/>
                <w:sz w:val="20"/>
              </w:rPr>
            </w:pPr>
            <w:r>
              <w:rPr>
                <w:b w:val="0"/>
                <w:sz w:val="20"/>
              </w:rPr>
              <w:t xml:space="preserve">По соглашению сторон</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bCs/>
                <w:sz w:val="20"/>
              </w:rPr>
              <w:t xml:space="preserve">4.3.3.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2"/>
              </w:numPr>
              <w:ind w:left="0" w:firstLine="0"/>
              <w:tabs>
                <w:tab w:val="num" w:pos="177" w:leader="none"/>
              </w:tabs>
              <w:rPr>
                <w:bCs/>
                <w:sz w:val="20"/>
              </w:rPr>
            </w:pPr>
            <w:r>
              <w:rPr>
                <w:bCs/>
                <w:sz w:val="20"/>
              </w:rPr>
              <w:t xml:space="preserve">Авизование изменений условий аккредитива, не связанных с увеличением суммы </w:t>
            </w:r>
            <w:r>
              <w:rPr>
                <w:bCs/>
                <w:sz w:val="20"/>
              </w:rPr>
            </w:r>
            <w:r>
              <w:rPr>
                <w:bCs/>
                <w:sz w:val="20"/>
              </w:rPr>
            </w:r>
          </w:p>
          <w:p>
            <w:pPr>
              <w:pStyle w:val="930"/>
              <w:numPr>
                <w:ilvl w:val="0"/>
                <w:numId w:val="22"/>
              </w:numPr>
              <w:ind w:left="0" w:firstLine="0"/>
              <w:tabs>
                <w:tab w:val="num" w:pos="177" w:leader="none"/>
              </w:tabs>
              <w:rPr>
                <w:bCs/>
                <w:sz w:val="20"/>
              </w:rPr>
            </w:pPr>
            <w:r>
              <w:rPr>
                <w:bCs/>
                <w:sz w:val="20"/>
              </w:rPr>
              <w:t xml:space="preserve">Авизование запроса на аннуляцию/отзыв аккредитива</w:t>
            </w:r>
            <w:r>
              <w:rPr>
                <w:bCs/>
                <w:sz w:val="20"/>
              </w:rPr>
            </w:r>
            <w:r>
              <w:rPr>
                <w:bCs/>
                <w:sz w:val="20"/>
              </w:rPr>
            </w:r>
          </w:p>
          <w:p>
            <w:pPr>
              <w:pStyle w:val="930"/>
              <w:numPr>
                <w:ilvl w:val="0"/>
                <w:numId w:val="22"/>
              </w:numPr>
              <w:ind w:left="0" w:firstLine="0"/>
              <w:tabs>
                <w:tab w:val="num" w:pos="177" w:leader="none"/>
              </w:tabs>
              <w:rPr>
                <w:bCs/>
                <w:color w:val="000000"/>
                <w:sz w:val="20"/>
              </w:rPr>
            </w:pPr>
            <w:r>
              <w:rPr>
                <w:bCs/>
                <w:color w:val="000000"/>
                <w:sz w:val="20"/>
              </w:rPr>
              <w:t xml:space="preserve">Авизование иных запросов по аккредитивам</w:t>
            </w:r>
            <w:r>
              <w:rPr>
                <w:bCs/>
                <w:color w:val="000000"/>
                <w:sz w:val="20"/>
              </w:rPr>
            </w:r>
            <w:r>
              <w:rPr>
                <w:bCs/>
                <w:color w:val="000000"/>
                <w:sz w:val="20"/>
              </w:rPr>
            </w:r>
          </w:p>
          <w:p>
            <w:pPr>
              <w:pStyle w:val="930"/>
              <w:numPr>
                <w:ilvl w:val="0"/>
                <w:numId w:val="22"/>
              </w:numPr>
              <w:ind w:left="0" w:firstLine="0"/>
              <w:tabs>
                <w:tab w:val="left" w:pos="184" w:leader="none"/>
              </w:tabs>
              <w:rPr>
                <w:bCs/>
                <w:color w:val="000000"/>
                <w:sz w:val="20"/>
              </w:rPr>
            </w:pPr>
            <w:r>
              <w:rPr>
                <w:bCs/>
                <w:color w:val="000000"/>
                <w:sz w:val="20"/>
              </w:rPr>
              <w:t xml:space="preserve">Запрос по аккредитиву по инициативе банка-контрагента</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b w:val="0"/>
                <w:sz w:val="20"/>
              </w:rPr>
            </w:pPr>
            <w:r>
              <w:rPr>
                <w:b w:val="0"/>
                <w:sz w:val="20"/>
              </w:rPr>
              <w:t xml:space="preserve">1 500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p>
            <w:pPr>
              <w:pStyle w:val="930"/>
              <w:jc w:val="center"/>
              <w:rPr>
                <w:bCs/>
                <w:sz w:val="20"/>
              </w:rPr>
            </w:pPr>
            <w:r>
              <w:rPr>
                <w:bCs/>
                <w:sz w:val="20"/>
              </w:rPr>
            </w:r>
            <w:r>
              <w:rPr>
                <w:bCs/>
                <w:sz w:val="20"/>
              </w:rPr>
            </w:r>
            <w:r>
              <w:rPr>
                <w:bCs/>
                <w:sz w:val="20"/>
              </w:rPr>
            </w:r>
          </w:p>
          <w:p>
            <w:pPr>
              <w:pStyle w:val="930"/>
              <w:jc w:val="center"/>
              <w:rPr>
                <w:bCs/>
                <w:sz w:val="20"/>
              </w:rPr>
            </w:pPr>
            <w:r>
              <w:rPr>
                <w:bCs/>
                <w:sz w:val="20"/>
              </w:rPr>
            </w:r>
            <w:r>
              <w:rPr>
                <w:bCs/>
                <w:sz w:val="20"/>
              </w:rPr>
            </w:r>
            <w:r>
              <w:rPr>
                <w:bCs/>
                <w:sz w:val="20"/>
              </w:rPr>
            </w:r>
          </w:p>
          <w:p>
            <w:pPr>
              <w:pStyle w:val="930"/>
              <w:jc w:val="center"/>
              <w:rPr>
                <w:bCs/>
                <w:sz w:val="20"/>
              </w:rPr>
            </w:pPr>
            <w:r>
              <w:rPr>
                <w:bCs/>
                <w:sz w:val="20"/>
              </w:rPr>
            </w:r>
            <w:r>
              <w:rPr>
                <w:bCs/>
                <w:sz w:val="20"/>
              </w:rPr>
            </w:r>
            <w:r>
              <w:rPr>
                <w:bCs/>
                <w:sz w:val="20"/>
              </w:rPr>
            </w:r>
          </w:p>
          <w:p>
            <w:pPr>
              <w:pStyle w:val="930"/>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bCs/>
                <w:sz w:val="20"/>
              </w:rPr>
              <w:t xml:space="preserve">4.3.4.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numPr>
                <w:ilvl w:val="0"/>
                <w:numId w:val="22"/>
              </w:numPr>
              <w:ind w:left="0" w:firstLine="0"/>
              <w:tabs>
                <w:tab w:val="left" w:pos="177" w:leader="none"/>
              </w:tabs>
              <w:rPr>
                <w:bCs/>
                <w:sz w:val="20"/>
              </w:rPr>
            </w:pPr>
            <w:r>
              <w:rPr>
                <w:bCs/>
                <w:sz w:val="20"/>
              </w:rPr>
              <w:t xml:space="preserve">Внесение в условия открытого Банком аккредитива изменений, не связанных с увеличением суммы</w:t>
            </w:r>
            <w:r>
              <w:rPr>
                <w:bCs/>
                <w:sz w:val="20"/>
              </w:rPr>
            </w:r>
            <w:r>
              <w:rPr>
                <w:bCs/>
                <w:sz w:val="20"/>
              </w:rPr>
            </w:r>
          </w:p>
          <w:p>
            <w:pPr>
              <w:pStyle w:val="930"/>
              <w:numPr>
                <w:ilvl w:val="0"/>
                <w:numId w:val="22"/>
              </w:numPr>
              <w:ind w:left="0" w:firstLine="0"/>
              <w:tabs>
                <w:tab w:val="left" w:pos="177" w:leader="none"/>
              </w:tabs>
              <w:rPr>
                <w:bCs/>
                <w:sz w:val="20"/>
              </w:rPr>
            </w:pPr>
            <w:r>
              <w:rPr>
                <w:bCs/>
                <w:sz w:val="20"/>
              </w:rPr>
              <w:t xml:space="preserve">Запрос согласия на аннуляцию аккредитива/отзыв аккредитива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b w:val="0"/>
                <w:sz w:val="20"/>
              </w:rPr>
            </w:pPr>
            <w:r>
              <w:rPr>
                <w:b w:val="0"/>
                <w:sz w:val="20"/>
              </w:rPr>
              <w:t xml:space="preserve">1 500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0"/>
              <w:jc w:val="center"/>
              <w:rPr>
                <w:sz w:val="20"/>
              </w:rPr>
            </w:pPr>
            <w:r>
              <w:rPr>
                <w:bCs/>
                <w:sz w:val="20"/>
              </w:rPr>
              <w:t xml:space="preserve">4.3.5.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30"/>
              <w:rPr>
                <w:bCs/>
                <w:sz w:val="20"/>
              </w:rPr>
            </w:pPr>
            <w:r>
              <w:rPr>
                <w:bCs/>
                <w:sz w:val="20"/>
              </w:rPr>
              <w:t xml:space="preserve">Обработка/проверка документов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37"/>
              <w:ind w:left="0"/>
              <w:jc w:val="center"/>
              <w:rPr>
                <w:b w:val="0"/>
                <w:sz w:val="20"/>
              </w:rPr>
            </w:pPr>
            <w:r>
              <w:rPr>
                <w:b w:val="0"/>
                <w:sz w:val="20"/>
              </w:rPr>
              <w:t xml:space="preserve">0,15% от суммы, запрошенной к оплате, </w:t>
            </w:r>
            <w:r>
              <w:rPr>
                <w:b w:val="0"/>
                <w:sz w:val="20"/>
              </w:rPr>
            </w:r>
            <w:r>
              <w:rPr>
                <w:b w:val="0"/>
                <w:sz w:val="20"/>
              </w:rPr>
            </w:r>
          </w:p>
          <w:p>
            <w:pPr>
              <w:pStyle w:val="937"/>
              <w:ind w:left="0"/>
              <w:jc w:val="center"/>
              <w:rPr>
                <w:b w:val="0"/>
                <w:sz w:val="20"/>
              </w:rPr>
            </w:pPr>
            <w:r>
              <w:rPr>
                <w:b w:val="0"/>
                <w:sz w:val="20"/>
              </w:rPr>
              <w:t xml:space="preserve">мин. 5 000 руб.,</w:t>
            </w:r>
            <w:r>
              <w:rPr>
                <w:b w:val="0"/>
                <w:sz w:val="20"/>
              </w:rPr>
            </w:r>
            <w:r>
              <w:rPr>
                <w:b w:val="0"/>
                <w:sz w:val="20"/>
              </w:rPr>
            </w:r>
          </w:p>
          <w:p>
            <w:pPr>
              <w:pStyle w:val="937"/>
              <w:ind w:left="0"/>
              <w:jc w:val="center"/>
              <w:rPr>
                <w:b w:val="0"/>
                <w:sz w:val="20"/>
              </w:rPr>
            </w:pPr>
            <w:r>
              <w:rPr>
                <w:b w:val="0"/>
                <w:sz w:val="20"/>
              </w:rPr>
              <w:t xml:space="preserve">макс. 100 000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930"/>
              <w:jc w:val="center"/>
              <w:rPr>
                <w:b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sz w:val="20"/>
              </w:rPr>
            </w:r>
            <w:r>
              <w:rPr>
                <w:bCs/>
                <w:sz w:val="20"/>
              </w:rPr>
            </w:r>
          </w:p>
        </w:tc>
      </w:tr>
    </w:tbl>
    <w:p>
      <w:pPr>
        <w:pStyle w:val="945"/>
        <w:tabs>
          <w:tab w:val="clear" w:pos="4320" w:leader="none"/>
          <w:tab w:val="left" w:pos="5940" w:leader="none"/>
        </w:tabs>
        <w:rPr>
          <w:szCs w:val="24"/>
          <w:lang w:val="ru-RU"/>
        </w:rPr>
      </w:pPr>
      <w:r>
        <w:rPr>
          <w:szCs w:val="24"/>
          <w:lang w:val="ru-RU"/>
        </w:rPr>
      </w:r>
      <w:r>
        <w:rPr>
          <w:szCs w:val="24"/>
          <w:lang w:val="ru-RU"/>
        </w:rPr>
      </w:r>
      <w:r>
        <w:rPr>
          <w:szCs w:val="24"/>
          <w:lang w:val="ru-RU"/>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394"/>
        <w:gridCol w:w="2835"/>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930"/>
              <w:jc w:val="center"/>
              <w:spacing w:before="120" w:after="120"/>
              <w:rPr>
                <w:b/>
                <w:bCs/>
                <w:sz w:val="22"/>
                <w:szCs w:val="22"/>
              </w:rPr>
            </w:pPr>
            <w:r>
              <w:br w:type="page" w:clear="all"/>
            </w:r>
            <w:r>
              <w:rPr>
                <w:b/>
                <w:bCs/>
                <w:sz w:val="22"/>
                <w:szCs w:val="22"/>
              </w:rPr>
              <w:t xml:space="preserve">5. Инкассовые операции</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30"/>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930"/>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b/>
                <w:bCs/>
                <w:sz w:val="20"/>
              </w:rPr>
              <w:t xml:space="preserve">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b/>
                <w:bCs/>
                <w:sz w:val="20"/>
              </w:rPr>
            </w:pPr>
            <w:r>
              <w:rPr>
                <w:b/>
                <w:bCs/>
                <w:sz w:val="20"/>
              </w:rPr>
              <w:t xml:space="preserve">Документарное инкассо</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sz w:val="20"/>
              </w:rPr>
              <w:t xml:space="preserve">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t xml:space="preserve">0,15% от суммы документов,</w:t>
            </w:r>
            <w:r>
              <w:rPr>
                <w:sz w:val="20"/>
              </w:rPr>
            </w:r>
            <w:r>
              <w:rPr>
                <w:sz w:val="20"/>
              </w:rPr>
            </w:r>
          </w:p>
          <w:p>
            <w:pPr>
              <w:pStyle w:val="930"/>
              <w:jc w:val="center"/>
              <w:spacing w:before="40" w:after="40"/>
              <w:rPr>
                <w:sz w:val="20"/>
              </w:rPr>
            </w:pPr>
            <w:r>
              <w:rPr>
                <w:sz w:val="20"/>
              </w:rPr>
              <w:t xml:space="preserve">мин.3 500 руб.,</w:t>
            </w:r>
            <w:r>
              <w:rPr>
                <w:sz w:val="20"/>
              </w:rPr>
            </w:r>
            <w:r>
              <w:rPr>
                <w:sz w:val="20"/>
              </w:rPr>
            </w:r>
          </w:p>
          <w:p>
            <w:pPr>
              <w:pStyle w:val="930"/>
              <w:jc w:val="center"/>
              <w:spacing w:before="40" w:after="40"/>
              <w:rPr>
                <w:sz w:val="20"/>
              </w:rPr>
            </w:pPr>
            <w:r>
              <w:rPr>
                <w:sz w:val="20"/>
              </w:rPr>
              <w:t xml:space="preserve">макс. </w:t>
            </w:r>
            <w:r>
              <w:rPr>
                <w:sz w:val="20"/>
                <w:lang w:val="en-US"/>
              </w:rPr>
              <w:t xml:space="preserve">35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sz w:val="20"/>
              </w:rPr>
              <w:t xml:space="preserve">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sz w:val="20"/>
              </w:rPr>
            </w:pPr>
            <w:r>
              <w:rPr>
                <w:sz w:val="20"/>
              </w:rPr>
              <w:t xml:space="preserve">Внесение изменений в условия инкассового поручения или его аннуляция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t xml:space="preserve">2 500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sz w:val="20"/>
              </w:rPr>
              <w:t xml:space="preserve">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t xml:space="preserve">0,15% от суммы,</w:t>
            </w:r>
            <w:r>
              <w:rPr>
                <w:sz w:val="20"/>
              </w:rPr>
            </w:r>
            <w:r>
              <w:rPr>
                <w:sz w:val="20"/>
              </w:rPr>
            </w:r>
          </w:p>
          <w:p>
            <w:pPr>
              <w:pStyle w:val="930"/>
              <w:jc w:val="center"/>
              <w:spacing w:before="40" w:after="40"/>
              <w:rPr>
                <w:sz w:val="20"/>
              </w:rPr>
            </w:pPr>
            <w:r>
              <w:rPr>
                <w:sz w:val="20"/>
              </w:rPr>
              <w:t xml:space="preserve">мин.  3 500 руб.,</w:t>
            </w:r>
            <w:r>
              <w:rPr>
                <w:sz w:val="20"/>
              </w:rPr>
            </w:r>
            <w:r>
              <w:rPr>
                <w:sz w:val="20"/>
              </w:rPr>
            </w:r>
          </w:p>
          <w:p>
            <w:pPr>
              <w:pStyle w:val="930"/>
              <w:jc w:val="center"/>
              <w:spacing w:before="40" w:after="40"/>
              <w:rPr>
                <w:sz w:val="20"/>
              </w:rPr>
            </w:pPr>
            <w:r>
              <w:rPr>
                <w:sz w:val="20"/>
              </w:rPr>
              <w:t xml:space="preserve">макс. 3</w:t>
            </w:r>
            <w:r>
              <w:rPr>
                <w:sz w:val="20"/>
                <w:lang w:val="en-US"/>
              </w:rPr>
              <w:t xml:space="preserve">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sz w:val="20"/>
              </w:rPr>
              <w:t xml:space="preserve">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sz w:val="20"/>
              </w:rPr>
            </w:pPr>
            <w:r>
              <w:rPr>
                <w:sz w:val="20"/>
              </w:rPr>
              <w:t xml:space="preserve">Возврат неоплаченных/неакцептованных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t xml:space="preserve">3 500 руб. за каждый комплект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30"/>
              <w:jc w:val="center"/>
              <w:spacing w:before="40" w:after="40"/>
              <w:rPr>
                <w:sz w:val="20"/>
              </w:rPr>
            </w:pPr>
            <w:r>
              <w:rPr>
                <w:sz w:val="20"/>
              </w:rPr>
              <w:t xml:space="preserve">5.1.5.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30"/>
              <w:spacing w:before="40" w:after="40"/>
              <w:rPr>
                <w:sz w:val="20"/>
              </w:rPr>
            </w:pPr>
            <w:r>
              <w:rPr>
                <w:sz w:val="20"/>
              </w:rPr>
              <w:t xml:space="preserve">Запрос по инкассо по инициативе </w:t>
            </w:r>
            <w:r>
              <w:rPr>
                <w:bCs/>
                <w:sz w:val="20"/>
              </w:rPr>
              <w:t xml:space="preserve">банка-контрагента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30"/>
              <w:jc w:val="center"/>
              <w:spacing w:before="40" w:after="40"/>
              <w:rPr>
                <w:sz w:val="20"/>
              </w:rPr>
            </w:pPr>
            <w:r>
              <w:rPr>
                <w:sz w:val="20"/>
              </w:rPr>
              <w:t xml:space="preserve">2 500 руб.</w:t>
            </w:r>
            <w:r>
              <w:rPr>
                <w:bCs/>
                <w:sz w:val="20"/>
              </w:rPr>
              <w:t xml:space="preserve">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30"/>
              <w:jc w:val="center"/>
              <w:spacing w:before="40" w:after="40"/>
              <w:rPr>
                <w:strike/>
                <w:color w:val="ffffff"/>
                <w:sz w:val="20"/>
              </w:rPr>
            </w:pPr>
            <w:r>
              <w:rPr>
                <w:strike/>
                <w:color w:val="ffffff"/>
                <w:sz w:val="20"/>
              </w:rPr>
            </w:r>
            <w:r>
              <w:rPr>
                <w:strike/>
                <w:color w:val="ffffff"/>
                <w:sz w:val="20"/>
              </w:rPr>
            </w:r>
            <w:r>
              <w:rPr>
                <w:strike/>
                <w:color w:val="ffffff"/>
                <w:sz w:val="20"/>
              </w:rPr>
            </w:r>
          </w:p>
        </w:tc>
      </w:tr>
    </w:tbl>
    <w:p>
      <w:r>
        <w:rPr>
          <w:szCs w:val="24"/>
        </w:rPr>
      </w:r>
      <w:r>
        <w:rPr>
          <w:szCs w:val="24"/>
        </w:rPr>
      </w:r>
    </w:p>
    <w:p>
      <w:pPr>
        <w:pStyle w:val="930"/>
      </w:pPr>
      <w:r>
        <w:rPr>
          <w:szCs w:val="24"/>
        </w:rPr>
      </w:r>
      <w:r>
        <w:rPr>
          <w:szCs w:val="24"/>
        </w:rPr>
      </w:r>
      <w:r/>
    </w:p>
    <w:tbl>
      <w:tblPr>
        <w:tblW w:w="9889"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386"/>
        <w:gridCol w:w="2127"/>
        <w:gridCol w:w="1417"/>
      </w:tblGrid>
      <w:tr>
        <w:tblPrEx/>
        <w:trPr/>
        <w:tc>
          <w:tcPr>
            <w:gridSpan w:val="4"/>
            <w:tcBorders>
              <w:top w:val="single" w:color="000000" w:sz="4" w:space="0"/>
              <w:left w:val="single" w:color="000000" w:sz="4" w:space="0"/>
              <w:bottom w:val="single" w:color="000000" w:sz="4" w:space="0"/>
              <w:right w:val="single" w:color="000000" w:sz="4" w:space="0"/>
            </w:tcBorders>
            <w:tcW w:w="9889" w:type="dxa"/>
            <w:vAlign w:val="top"/>
            <w:textDirection w:val="lrTb"/>
            <w:noWrap w:val="false"/>
          </w:tcPr>
          <w:p>
            <w:pPr>
              <w:pStyle w:val="930"/>
              <w:jc w:val="center"/>
              <w:spacing w:before="120" w:after="120"/>
              <w:rPr>
                <w:sz w:val="22"/>
                <w:szCs w:val="22"/>
              </w:rPr>
            </w:pPr>
            <w:r>
              <w:rPr>
                <w:b/>
                <w:bCs/>
                <w:sz w:val="22"/>
                <w:szCs w:val="22"/>
              </w:rPr>
              <w:t xml:space="preserve">6. Гарантийные операции</w:t>
            </w:r>
            <w:r>
              <w:rPr>
                <w:sz w:val="22"/>
                <w:szCs w:val="22"/>
              </w:rPr>
            </w:r>
            <w:r>
              <w:rPr>
                <w:sz w:val="22"/>
                <w:szCs w:val="22"/>
              </w:rP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30"/>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938"/>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33"/>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30"/>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0"/>
              <w:spacing w:before="40"/>
              <w:rPr>
                <w:sz w:val="20"/>
              </w:rPr>
            </w:pPr>
            <w:r>
              <w:rPr>
                <w:sz w:val="20"/>
              </w:rPr>
              <w:t xml:space="preserve">Выдача гарантии/контргарантии/открытие резервного аккредитива (увеличение суммы, пролонгация):</w:t>
            </w:r>
            <w:r>
              <w:rPr>
                <w:sz w:val="20"/>
              </w:rPr>
            </w:r>
            <w:r>
              <w:rPr>
                <w:sz w:val="20"/>
              </w:rPr>
            </w:r>
          </w:p>
          <w:p>
            <w:pPr>
              <w:pStyle w:val="930"/>
              <w:rPr>
                <w:sz w:val="20"/>
              </w:rPr>
            </w:pPr>
            <w:r>
              <w:rPr>
                <w:sz w:val="20"/>
              </w:rPr>
              <w:t xml:space="preserve">- на условиях размещения в Банке денежного обеспечения (покрытия)</w:t>
            </w:r>
            <w:r>
              <w:rPr>
                <w:sz w:val="20"/>
              </w:rPr>
            </w:r>
            <w:r>
              <w:rPr>
                <w:sz w:val="20"/>
              </w:rPr>
            </w:r>
          </w:p>
          <w:p>
            <w:pPr>
              <w:pStyle w:val="930"/>
              <w:spacing w:after="40"/>
              <w:rPr>
                <w:sz w:val="20"/>
              </w:rPr>
            </w:pPr>
            <w:r>
              <w:rPr>
                <w:sz w:val="20"/>
              </w:rPr>
              <w:t xml:space="preserve">- без размещения в Банке денежного обеспечения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30"/>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ind w:right="-108"/>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sz w:val="20"/>
              </w:rPr>
            </w:pPr>
            <w:r>
              <w:rPr>
                <w:sz w:val="20"/>
              </w:rPr>
              <w:t xml:space="preserve">6.2.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7"/>
              <w:ind w:left="0" w:right="72"/>
              <w:spacing w:before="40" w:after="40"/>
              <w:rPr>
                <w:b w:val="0"/>
                <w:sz w:val="20"/>
              </w:rPr>
            </w:pPr>
            <w:r>
              <w:rPr>
                <w:b w:val="0"/>
                <w:sz w:val="20"/>
              </w:rPr>
              <w:t xml:space="preserve">Внесение изменений в условия выданной гарантии/контргарантии/резервного аккредитива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7"/>
              <w:ind w:left="0" w:right="72"/>
              <w:spacing w:before="40" w:after="40"/>
              <w:rPr>
                <w:b w:val="0"/>
                <w:sz w:val="20"/>
              </w:rPr>
            </w:pPr>
            <w:r>
              <w:rPr>
                <w:b w:val="0"/>
                <w:sz w:val="20"/>
              </w:rPr>
              <w:t xml:space="preserve">Аннуляция выданной гарантии/контргарантии/ резервного аккредитива до срока истечения действия</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0"/>
              <w:jc w:val="center"/>
              <w:spacing w:before="40" w:after="40"/>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7"/>
              <w:ind w:left="0" w:right="72"/>
              <w:spacing w:before="40" w:after="40"/>
              <w:rPr>
                <w:b w:val="0"/>
                <w:sz w:val="20"/>
              </w:rPr>
            </w:pPr>
            <w:r>
              <w:rPr>
                <w:b w:val="0"/>
                <w:sz w:val="2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0,1% от суммы,</w:t>
            </w:r>
            <w:r>
              <w:rPr>
                <w:sz w:val="20"/>
              </w:rPr>
            </w:r>
            <w:r>
              <w:rPr>
                <w:sz w:val="20"/>
              </w:rPr>
            </w:r>
          </w:p>
          <w:p>
            <w:pPr>
              <w:pStyle w:val="930"/>
              <w:jc w:val="center"/>
              <w:spacing w:before="40" w:after="40"/>
              <w:rPr>
                <w:sz w:val="20"/>
              </w:rPr>
            </w:pPr>
            <w:r>
              <w:rPr>
                <w:sz w:val="20"/>
              </w:rPr>
              <w:t xml:space="preserve">мин. 10 000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4"/>
              <w:ind w:left="72" w:right="72"/>
              <w:jc w:val="center"/>
              <w:spacing w:before="40" w:after="40"/>
              <w:rPr>
                <w:b w:val="0"/>
                <w:sz w:val="20"/>
              </w:rPr>
            </w:pPr>
            <w:r>
              <w:rPr>
                <w:b w:val="0"/>
                <w:bCs w:val="0"/>
                <w:sz w:val="20"/>
              </w:rPr>
              <w:t xml:space="preserve">6.5.</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4"/>
              <w:ind w:left="0" w:right="72"/>
              <w:jc w:val="left"/>
              <w:spacing w:before="40" w:after="40"/>
              <w:rPr>
                <w:b w:val="0"/>
                <w:sz w:val="20"/>
              </w:rPr>
            </w:pPr>
            <w:r>
              <w:rPr>
                <w:b w:val="0"/>
                <w:sz w:val="20"/>
              </w:rPr>
              <w:t xml:space="preserve">Авизование гарантии/контргарантии/резервного аккредитива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20 000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4"/>
              <w:ind w:left="72" w:right="72"/>
              <w:jc w:val="center"/>
              <w:spacing w:before="40" w:after="40"/>
              <w:rPr>
                <w:b w:val="0"/>
                <w:sz w:val="20"/>
              </w:rPr>
            </w:pPr>
            <w:r>
              <w:rPr>
                <w:b w:val="0"/>
                <w:bCs w:val="0"/>
                <w:sz w:val="20"/>
              </w:rPr>
              <w:t xml:space="preserve">6.6.</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4"/>
              <w:ind w:left="72" w:right="72"/>
              <w:jc w:val="left"/>
              <w:spacing w:before="40" w:after="40"/>
              <w:rPr>
                <w:b w:val="0"/>
                <w:sz w:val="20"/>
              </w:rPr>
            </w:pPr>
            <w:r>
              <w:rPr>
                <w:b w:val="0"/>
                <w:sz w:val="2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4"/>
              <w:ind w:left="72" w:right="72"/>
              <w:jc w:val="center"/>
              <w:spacing w:before="40" w:after="40"/>
              <w:rPr>
                <w:b w:val="0"/>
                <w:sz w:val="20"/>
              </w:rPr>
            </w:pPr>
            <w:r>
              <w:rPr>
                <w:b w:val="0"/>
                <w:bCs w:val="0"/>
                <w:sz w:val="20"/>
              </w:rPr>
              <w:t xml:space="preserve">6.7.</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4"/>
              <w:ind w:left="72" w:right="72"/>
              <w:jc w:val="left"/>
              <w:spacing w:before="40" w:after="40"/>
              <w:rPr>
                <w:b w:val="0"/>
                <w:sz w:val="20"/>
              </w:rPr>
            </w:pPr>
            <w:r>
              <w:rPr>
                <w:b w:val="0"/>
                <w:sz w:val="20"/>
              </w:rPr>
              <w:t xml:space="preserve">Требование платежа по гарантии, авизованной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7"/>
              <w:ind w:left="72" w:right="72"/>
              <w:jc w:val="center"/>
              <w:spacing w:before="40" w:after="40"/>
              <w:rPr>
                <w:b w:val="0"/>
                <w:sz w:val="20"/>
              </w:rPr>
            </w:pPr>
            <w:r>
              <w:rPr>
                <w:b w:val="0"/>
                <w:bCs w:val="0"/>
                <w:sz w:val="20"/>
              </w:rPr>
              <w:t xml:space="preserve">6.8.</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7"/>
              <w:ind w:left="72" w:right="72"/>
              <w:spacing w:before="40" w:after="40"/>
              <w:rPr>
                <w:b w:val="0"/>
                <w:sz w:val="20"/>
              </w:rPr>
            </w:pPr>
            <w:r>
              <w:rPr>
                <w:b w:val="0"/>
                <w:sz w:val="20"/>
              </w:rPr>
              <w:t xml:space="preserve">Проверка по запросу </w:t>
            </w:r>
            <w:r>
              <w:rPr>
                <w:b w:val="0"/>
                <w:bCs w:val="0"/>
                <w:sz w:val="20"/>
              </w:rPr>
              <w:t xml:space="preserve">банка-контрагента</w:t>
            </w:r>
            <w:r>
              <w:rPr>
                <w:b w:val="0"/>
                <w:sz w:val="20"/>
              </w:rPr>
              <w:t xml:space="preserve"> подлинности гарантии/контргарантии/резервного аккредитива и/или правильности телексных ключей</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37"/>
              <w:ind w:left="72" w:right="72"/>
              <w:jc w:val="center"/>
              <w:spacing w:before="40" w:after="40"/>
              <w:rPr>
                <w:b w:val="0"/>
                <w:sz w:val="20"/>
              </w:rPr>
            </w:pPr>
            <w:r>
              <w:rPr>
                <w:b w:val="0"/>
                <w:bCs w:val="0"/>
                <w:sz w:val="20"/>
              </w:rPr>
              <w:t xml:space="preserve">6.9.</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37"/>
              <w:ind w:left="72" w:right="72"/>
              <w:spacing w:before="40" w:after="40"/>
              <w:rPr>
                <w:b w:val="0"/>
                <w:sz w:val="20"/>
              </w:rPr>
            </w:pPr>
            <w:r>
              <w:rPr>
                <w:b w:val="0"/>
                <w:sz w:val="20"/>
              </w:rPr>
              <w:t xml:space="preserve">Отправка сообщения по гарантии/контргарантии/ резервному аккредитиву по запросу </w:t>
            </w:r>
            <w:r>
              <w:rPr>
                <w:b w:val="0"/>
                <w:bCs w:val="0"/>
                <w:sz w:val="20"/>
              </w:rPr>
              <w:t xml:space="preserve">банка-контрагента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30"/>
              <w:jc w:val="center"/>
              <w:spacing w:before="40" w:after="40"/>
              <w:rPr>
                <w:sz w:val="20"/>
              </w:rPr>
            </w:pPr>
            <w:r>
              <w:rPr>
                <w:sz w:val="20"/>
              </w:rPr>
              <w:t xml:space="preserve">2 500 руб. </w:t>
            </w:r>
            <w:r>
              <w:rPr>
                <w:bCs/>
                <w:sz w:val="20"/>
              </w:rPr>
              <w:t xml:space="preserve">за каждое отправленное сообщение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30"/>
              <w:jc w:val="center"/>
              <w:spacing w:before="40" w:after="40"/>
              <w:rPr>
                <w:sz w:val="20"/>
              </w:rPr>
            </w:pPr>
            <w:r>
              <w:rPr>
                <w:sz w:val="20"/>
              </w:rPr>
              <w:t xml:space="preserve">Комиссия включает НДС</w:t>
            </w:r>
            <w:r>
              <w:rPr>
                <w:sz w:val="20"/>
              </w:rPr>
            </w:r>
            <w:r>
              <w:rPr>
                <w:sz w:val="20"/>
              </w:rPr>
            </w:r>
          </w:p>
        </w:tc>
      </w:tr>
    </w:tbl>
    <w:p>
      <w:pPr>
        <w:pStyle w:val="930"/>
        <w:rPr>
          <w:sz w:val="20"/>
        </w:rPr>
      </w:pPr>
      <w:r>
        <w:rPr>
          <w:sz w:val="20"/>
        </w:rPr>
      </w:r>
      <w:r>
        <w:rPr>
          <w:sz w:val="20"/>
        </w:rPr>
      </w:r>
      <w:r>
        <w:rPr>
          <w:sz w:val="20"/>
        </w:rPr>
      </w:r>
    </w:p>
    <w:p>
      <w:pPr>
        <w:pStyle w:val="930"/>
      </w:pPr>
      <w:r>
        <w:t xml:space="preserve">Примечание к разделам 4-6 Тарифов:</w:t>
      </w:r>
      <w:r/>
    </w:p>
    <w:p>
      <w:pPr>
        <w:pStyle w:val="930"/>
        <w:jc w:val="both"/>
        <w:spacing w:before="40"/>
        <w:tabs>
          <w:tab w:val="left" w:pos="-1276" w:leader="none"/>
          <w:tab w:val="left" w:pos="284" w:leader="none"/>
          <w:tab w:val="left" w:pos="1134" w:leader="none"/>
        </w:tabs>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t xml:space="preserve">Тарифами </w:t>
      </w:r>
      <w:r>
        <w:t xml:space="preserve">комиссионного вознаграждени</w:t>
      </w:r>
      <w: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p>
    <w:p>
      <w:pPr>
        <w:pStyle w:val="930"/>
        <w:jc w:val="both"/>
        <w:spacing w:before="40"/>
        <w:tabs>
          <w:tab w:val="left" w:pos="-1276" w:leader="none"/>
          <w:tab w:val="left" w:pos="284" w:leader="none"/>
          <w:tab w:val="left" w:pos="1134" w:leader="none"/>
        </w:tabs>
      </w:pPr>
      <w:r>
        <w:t xml:space="preserve">1. При указании в наименовании услуги двух и более операций к</w:t>
      </w:r>
      <w:r>
        <w:rPr>
          <w:bCs/>
          <w:color w:val="000000"/>
        </w:rPr>
        <w:t xml:space="preserve">омиссионное вознаграждение взимается за каждую осуществленную операцию из перечисленных в соответствующем пункте Тарифа.</w:t>
      </w:r>
      <w:r>
        <w:t xml:space="preserve"> </w:t>
      </w:r>
      <w:r/>
    </w:p>
    <w:p>
      <w:pPr>
        <w:pStyle w:val="930"/>
        <w:jc w:val="both"/>
        <w:spacing w:before="40"/>
        <w:tabs>
          <w:tab w:val="left" w:pos="284" w:leader="none"/>
          <w:tab w:val="left" w:pos="1134" w:leader="none"/>
        </w:tabs>
      </w:pPr>
      <w:r>
        <w:t xml:space="preserve">2. По документарным</w:t>
      </w:r>
      <w: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p>
    <w:p>
      <w:pPr>
        <w:pStyle w:val="930"/>
        <w:jc w:val="both"/>
        <w:spacing w:before="40"/>
      </w:pPr>
      <w:r>
        <w:t xml:space="preserve">3. Комиссионное вознаграждение Банка может быть уплачено в россий</w:t>
      </w:r>
      <w: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p>
    <w:p>
      <w:pPr>
        <w:pStyle w:val="930"/>
        <w:jc w:val="both"/>
        <w:spacing w:before="40"/>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iCs/>
        </w:rPr>
      </w:r>
      <w:r>
        <w:rPr>
          <w:iCs/>
        </w:rPr>
      </w:r>
    </w:p>
    <w:p>
      <w:pPr>
        <w:pStyle w:val="930"/>
        <w:jc w:val="both"/>
        <w:spacing w:before="40"/>
        <w:rPr>
          <w:color w:val="000000"/>
        </w:rPr>
      </w:pPr>
      <w:r>
        <w:rPr>
          <w:color w:val="000000"/>
        </w:rPr>
      </w:r>
      <w:r>
        <w:rPr>
          <w:color w:val="000000"/>
        </w:rPr>
      </w:r>
      <w:r>
        <w:rPr>
          <w:color w:val="000000"/>
        </w:rPr>
      </w:r>
    </w:p>
    <w:p>
      <w:pPr>
        <w:pStyle w:val="930"/>
        <w:jc w:val="both"/>
        <w:spacing w:before="40"/>
        <w:rPr>
          <w:iCs/>
        </w:rPr>
      </w:pPr>
      <w:r>
        <w:rPr>
          <w:color w:val="000000"/>
        </w:rPr>
        <w:t xml:space="preserve">Комиссионное</w:t>
      </w:r>
      <w:r>
        <w:rPr>
          <w:color w:val="000000"/>
        </w:rPr>
        <w:t xml:space="preserve"> </w:t>
      </w:r>
      <w:r>
        <w:rPr>
          <w:color w:val="000000"/>
        </w:rPr>
        <w:t xml:space="preserve">вознаграждение рассчитывается от суммы, предъявленной к оплате по аккредитиву/рамбурсному обязательству.</w:t>
      </w:r>
      <w:r>
        <w:rPr>
          <w:iCs/>
        </w:rPr>
      </w:r>
      <w:r>
        <w:rPr>
          <w:iCs/>
        </w:rPr>
      </w:r>
    </w:p>
    <w:p>
      <w:pPr>
        <w:pStyle w:val="930"/>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 xml:space="preserve">оказания соответствующей услуги.</w:t>
      </w:r>
      <w:r>
        <w:rPr>
          <w:color w:val="000000"/>
        </w:rPr>
      </w:r>
      <w:r>
        <w:rPr>
          <w:color w:val="000000"/>
        </w:rPr>
      </w:r>
    </w:p>
    <w:p>
      <w:pPr>
        <w:pStyle w:val="930"/>
        <w:jc w:val="both"/>
        <w:rPr>
          <w:color w:val="000000"/>
        </w:rPr>
      </w:pPr>
      <w:r>
        <w:rPr>
          <w:color w:val="00000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rPr>
      </w:r>
      <w:r>
        <w:rPr>
          <w:color w:val="000000"/>
        </w:rPr>
      </w:r>
    </w:p>
    <w:p>
      <w:pPr>
        <w:pStyle w:val="930"/>
        <w:jc w:val="both"/>
        <w:tabs>
          <w:tab w:val="left" w:pos="-1276" w:leader="none"/>
          <w:tab w:val="left" w:pos="0" w:leader="none"/>
          <w:tab w:val="left" w:pos="1134" w:leader="none"/>
        </w:tabs>
        <w:rPr>
          <w:iCs/>
        </w:rPr>
      </w:pPr>
      <w:r>
        <w:rPr>
          <w:color w:val="000000"/>
        </w:rPr>
        <w:t xml:space="preserve">В случае </w:t>
      </w:r>
      <w:r>
        <w:rPr>
          <w:color w:val="000000"/>
        </w:rPr>
        <w:t xml:space="preserve">закрытия </w:t>
      </w:r>
      <w:r>
        <w:rPr>
          <w:color w:val="000000"/>
        </w:rPr>
        <w:t xml:space="preserve">неиспользованного </w:t>
      </w:r>
      <w:r>
        <w:rPr>
          <w:color w:val="000000"/>
        </w:rPr>
        <w:t xml:space="preserve">(полностью или частично) </w:t>
      </w:r>
      <w:r>
        <w:rPr>
          <w:color w:val="000000"/>
        </w:rPr>
        <w:t xml:space="preserve">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rPr>
        <w:t xml:space="preserve"> </w:t>
      </w:r>
      <w:r>
        <w:rPr>
          <w:iCs/>
        </w:rPr>
      </w:r>
      <w:r>
        <w:rPr>
          <w:iCs/>
        </w:rPr>
      </w:r>
    </w:p>
    <w:p>
      <w:pPr>
        <w:pStyle w:val="930"/>
        <w:jc w:val="both"/>
        <w:tabs>
          <w:tab w:val="left" w:pos="-1276" w:leader="none"/>
          <w:tab w:val="left" w:pos="0" w:leader="none"/>
          <w:tab w:val="left" w:pos="1134" w:leader="none"/>
        </w:tabs>
        <w:rPr>
          <w:szCs w:val="24"/>
        </w:rPr>
      </w:pPr>
      <w:r>
        <w:rPr>
          <w:iCs/>
        </w:rPr>
        <w:t xml:space="preserve">Минимальное значение комиссионного вознаграждения применяется при каждом расчете комиссии к уплате.</w:t>
      </w:r>
      <w:r>
        <w:rPr>
          <w:szCs w:val="24"/>
        </w:rPr>
      </w:r>
      <w:r>
        <w:rPr>
          <w:szCs w:val="24"/>
        </w:rPr>
      </w:r>
    </w:p>
    <w:p>
      <w:pPr>
        <w:pStyle w:val="930"/>
        <w:jc w:val="both"/>
        <w:rPr>
          <w:color w:val="000000"/>
        </w:rPr>
      </w:pPr>
      <w:r>
        <w:rPr>
          <w:color w:val="000000"/>
        </w:rPr>
        <w:t xml:space="preserve">Базис расчета – фактическое количество дней в году (365/366).</w:t>
      </w:r>
      <w:r>
        <w:rPr>
          <w:color w:val="000000"/>
        </w:rPr>
      </w:r>
      <w:r>
        <w:rPr>
          <w:color w:val="000000"/>
        </w:rPr>
      </w:r>
    </w:p>
    <w:p>
      <w:pPr>
        <w:pStyle w:val="930"/>
        <w:jc w:val="both"/>
        <w:spacing w:before="40"/>
        <w:tabs>
          <w:tab w:val="left" w:pos="-1276" w:leader="none"/>
          <w:tab w:val="left" w:pos="0" w:leader="none"/>
          <w:tab w:val="left" w:pos="1134" w:leader="none"/>
        </w:tabs>
        <w:rPr>
          <w:bCs/>
          <w:iCs/>
        </w:rPr>
      </w:pPr>
      <w:r>
        <w:t xml:space="preserve">5. </w:t>
      </w:r>
      <w:r>
        <w:rPr>
          <w:bCs/>
          <w:iCs/>
        </w:rPr>
        <w:t xml:space="preserve">Размер комиссионного вознаграждения, отличный от установленного в Тарифах, определяется на основании отд</w:t>
      </w:r>
      <w:r>
        <w:rPr>
          <w:bCs/>
          <w:iCs/>
        </w:rPr>
        <w:t xml:space="preserve">ельного соглашения сторон.</w:t>
      </w:r>
      <w:r>
        <w:rPr>
          <w:bCs/>
          <w:iCs/>
        </w:rPr>
      </w:r>
      <w:r>
        <w:rPr>
          <w:bCs/>
          <w:iCs/>
        </w:rPr>
      </w:r>
    </w:p>
    <w:p>
      <w:pPr>
        <w:pStyle w:val="930"/>
      </w:pPr>
      <w:r/>
      <w:r/>
    </w:p>
    <w:p>
      <w:pPr>
        <w:pStyle w:val="934"/>
      </w:pPr>
      <w:r/>
      <w:bookmarkStart w:id="15" w:name="_Toc432588644"/>
      <w:r>
        <w:t xml:space="preserve">7. Операции с наличной валютой</w:t>
      </w:r>
      <w:bookmarkEnd w:id="15"/>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rFonts w:eastAsia="Arial Unicode MS"/>
                <w:sz w:val="20"/>
              </w:rPr>
            </w:pPr>
            <w:r>
              <w:rPr>
                <w:sz w:val="20"/>
              </w:rPr>
              <w:t xml:space="preserve">7.1.</w:t>
            </w:r>
            <w:r>
              <w:rPr>
                <w:rFonts w:eastAsia="Arial Unicode MS"/>
                <w:sz w:val="20"/>
              </w:rPr>
            </w:r>
            <w:r>
              <w:rPr>
                <w:rFonts w:eastAsia="Arial Unicode MS"/>
                <w:sz w:val="20"/>
              </w:rPr>
            </w:r>
          </w:p>
        </w:tc>
        <w:tc>
          <w:tcPr>
            <w:tcW w:w="3969" w:type="dxa"/>
            <w:vAlign w:val="top"/>
            <w:textDirection w:val="lrTb"/>
            <w:noWrap w:val="false"/>
          </w:tcPr>
          <w:p>
            <w:pPr>
              <w:pStyle w:val="930"/>
              <w:rPr>
                <w:rFonts w:eastAsia="Arial Unicode MS"/>
                <w:sz w:val="20"/>
              </w:rPr>
            </w:pPr>
            <w:r>
              <w:rPr>
                <w:sz w:val="20"/>
              </w:rPr>
              <w:t xml:space="preserve">Выдача наличной валюты Российской Федерации со счета респондента</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0,2% от суммы</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Комиссия взимается в день выдачи. Заказ наличной валюты Российской Федерации производится по письменной заявке за 3 банковских дня.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7.2.</w:t>
            </w:r>
            <w:r>
              <w:rPr>
                <w:sz w:val="20"/>
              </w:rPr>
            </w:r>
            <w:r>
              <w:rPr>
                <w:sz w:val="20"/>
              </w:rPr>
            </w:r>
          </w:p>
        </w:tc>
        <w:tc>
          <w:tcPr>
            <w:tcW w:w="3969" w:type="dxa"/>
            <w:vAlign w:val="top"/>
            <w:textDirection w:val="lrTb"/>
            <w:noWrap w:val="false"/>
          </w:tcPr>
          <w:p>
            <w:pPr>
              <w:pStyle w:val="930"/>
              <w:rPr>
                <w:sz w:val="20"/>
              </w:rPr>
            </w:pPr>
            <w:r>
              <w:rPr>
                <w:b/>
                <w:sz w:val="20"/>
              </w:rPr>
              <w:t xml:space="preserve">Прием наличной валюты Российской Федерации с зачислением на счет </w:t>
            </w:r>
            <w:r>
              <w:rPr>
                <w:b/>
                <w:sz w:val="20"/>
              </w:rPr>
              <w:t xml:space="preserve">Р</w:t>
            </w:r>
            <w:r>
              <w:rPr>
                <w:b/>
                <w:sz w:val="20"/>
              </w:rPr>
              <w:t xml:space="preserve">еспондента</w:t>
            </w:r>
            <w:r>
              <w:rPr>
                <w:sz w:val="20"/>
              </w:rPr>
            </w:r>
            <w:r>
              <w:rPr>
                <w:sz w:val="20"/>
              </w:rPr>
            </w:r>
          </w:p>
        </w:tc>
        <w:tc>
          <w:tcPr>
            <w:tcW w:w="1985" w:type="dxa"/>
            <w:vAlign w:val="top"/>
            <w:textDirection w:val="lrTb"/>
            <w:noWrap w:val="false"/>
          </w:tcPr>
          <w:p>
            <w:pPr>
              <w:pStyle w:val="930"/>
              <w:jc w:val="center"/>
              <w:rPr>
                <w:sz w:val="20"/>
              </w:rPr>
            </w:pPr>
            <w:r>
              <w:rPr>
                <w:sz w:val="20"/>
              </w:rPr>
            </w:r>
            <w:r>
              <w:rPr>
                <w:sz w:val="20"/>
              </w:rPr>
            </w:r>
            <w:r>
              <w:rPr>
                <w:sz w:val="20"/>
              </w:rPr>
            </w:r>
          </w:p>
          <w:p>
            <w:pPr>
              <w:pStyle w:val="930"/>
              <w:jc w:val="center"/>
              <w:rPr>
                <w:sz w:val="20"/>
              </w:rPr>
            </w:pPr>
            <w:r>
              <w:rPr>
                <w:sz w:val="20"/>
              </w:rPr>
              <w:t xml:space="preserve">0,3% от суммы</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p>
            <w:pPr>
              <w:pStyle w:val="930"/>
              <w:rPr>
                <w:sz w:val="20"/>
              </w:rPr>
            </w:pPr>
            <w:r>
              <w:rPr>
                <w:sz w:val="20"/>
              </w:rPr>
              <w:t xml:space="preserve">Комиссия взимается в день зачисления на счет Респондента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7.3.</w:t>
            </w:r>
            <w:r>
              <w:rPr>
                <w:sz w:val="20"/>
              </w:rPr>
            </w:r>
            <w:r>
              <w:rPr>
                <w:sz w:val="20"/>
              </w:rPr>
            </w:r>
          </w:p>
        </w:tc>
        <w:tc>
          <w:tcPr>
            <w:tcW w:w="3969" w:type="dxa"/>
            <w:vAlign w:val="top"/>
            <w:textDirection w:val="lrTb"/>
            <w:noWrap w:val="false"/>
          </w:tcPr>
          <w:p>
            <w:pPr>
              <w:pStyle w:val="930"/>
              <w:rPr>
                <w:rFonts w:eastAsia="Arial Unicode MS"/>
                <w:sz w:val="20"/>
              </w:rPr>
            </w:pPr>
            <w:r>
              <w:rPr>
                <w:sz w:val="20"/>
              </w:rPr>
              <w:t xml:space="preserve">Прием наличной валюты Российской Федерации 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0,2% от суммы, по курсу Банка</w:t>
            </w:r>
            <w:r>
              <w:rPr>
                <w:rFonts w:eastAsia="Arial Unicode MS"/>
                <w:sz w:val="20"/>
              </w:rPr>
            </w:r>
            <w:r>
              <w:rPr>
                <w:rFonts w:eastAsia="Arial Unicode MS"/>
                <w:sz w:val="20"/>
              </w:rPr>
            </w:r>
          </w:p>
        </w:tc>
        <w:tc>
          <w:tcPr>
            <w:tcW w:w="3544" w:type="dxa"/>
            <w:vAlign w:val="top"/>
            <w:textDirection w:val="lrTb"/>
            <w:noWrap w:val="false"/>
          </w:tcPr>
          <w:p>
            <w:pPr>
              <w:pStyle w:val="930"/>
              <w:rPr>
                <w:sz w:val="20"/>
              </w:rPr>
            </w:pPr>
            <w:r>
              <w:rPr>
                <w:sz w:val="20"/>
              </w:rPr>
              <w:t xml:space="preserve">Комиссия взимается в день зачисления на счет Респондента.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7.4.</w:t>
            </w:r>
            <w:r>
              <w:rPr>
                <w:sz w:val="20"/>
              </w:rPr>
            </w:r>
            <w:r>
              <w:rPr>
                <w:sz w:val="20"/>
              </w:rPr>
            </w:r>
          </w:p>
        </w:tc>
        <w:tc>
          <w:tcPr>
            <w:tcW w:w="3969" w:type="dxa"/>
            <w:vAlign w:val="top"/>
            <w:textDirection w:val="lrTb"/>
            <w:noWrap w:val="false"/>
          </w:tcPr>
          <w:p>
            <w:pPr>
              <w:pStyle w:val="930"/>
              <w:rPr>
                <w:sz w:val="20"/>
              </w:rPr>
            </w:pPr>
            <w:r>
              <w:rPr>
                <w:sz w:val="20"/>
              </w:rPr>
              <w:t xml:space="preserve">Повторный пересчет денежной наличности в результате образовавшегося излишка или недостачи по вине респондента</w:t>
            </w:r>
            <w:r>
              <w:rPr>
                <w:sz w:val="20"/>
              </w:rPr>
            </w:r>
            <w:r>
              <w:rPr>
                <w:sz w:val="20"/>
              </w:rPr>
            </w:r>
          </w:p>
        </w:tc>
        <w:tc>
          <w:tcPr>
            <w:tcW w:w="1985" w:type="dxa"/>
            <w:vAlign w:val="top"/>
            <w:textDirection w:val="lrTb"/>
            <w:noWrap w:val="false"/>
          </w:tcPr>
          <w:p>
            <w:pPr>
              <w:pStyle w:val="930"/>
              <w:jc w:val="center"/>
              <w:rPr>
                <w:sz w:val="20"/>
              </w:rPr>
            </w:pPr>
            <w:r>
              <w:rPr>
                <w:sz w:val="20"/>
              </w:rPr>
              <w:t xml:space="preserve">0,05% от суммы</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pageBreakBefore/>
              <w:rPr>
                <w:sz w:val="20"/>
              </w:rPr>
            </w:pPr>
            <w:r>
              <w:rPr>
                <w:sz w:val="20"/>
              </w:rPr>
              <w:t xml:space="preserve">7.5.</w:t>
            </w:r>
            <w:r>
              <w:rPr>
                <w:sz w:val="20"/>
              </w:rPr>
            </w:r>
            <w:r>
              <w:rPr>
                <w:sz w:val="20"/>
              </w:rPr>
            </w:r>
          </w:p>
        </w:tc>
        <w:tc>
          <w:tcPr>
            <w:tcW w:w="3969" w:type="dxa"/>
            <w:vAlign w:val="top"/>
            <w:textDirection w:val="lrTb"/>
            <w:noWrap w:val="false"/>
          </w:tcPr>
          <w:p>
            <w:pPr>
              <w:pStyle w:val="930"/>
              <w:rPr>
                <w:sz w:val="20"/>
              </w:rPr>
            </w:pPr>
            <w:r>
              <w:rPr>
                <w:sz w:val="20"/>
              </w:rPr>
              <w:t xml:space="preserve">Выдача наличной иностранной валюты</w:t>
            </w:r>
            <w:r>
              <w:rPr>
                <w:sz w:val="20"/>
              </w:rPr>
            </w:r>
            <w:r>
              <w:rPr>
                <w:sz w:val="20"/>
              </w:rPr>
            </w:r>
          </w:p>
          <w:p>
            <w:pPr>
              <w:pStyle w:val="930"/>
              <w:rPr>
                <w:sz w:val="20"/>
              </w:rPr>
            </w:pPr>
            <w:r>
              <w:rPr>
                <w:sz w:val="20"/>
              </w:rPr>
              <w:t xml:space="preserve">(за исключением монеты иностранного государства (группы иностранных государств))</w:t>
            </w:r>
            <w:r>
              <w:rPr>
                <w:sz w:val="20"/>
              </w:rPr>
            </w:r>
            <w:r>
              <w:rPr>
                <w:sz w:val="20"/>
              </w:rPr>
            </w:r>
          </w:p>
          <w:p>
            <w:pPr>
              <w:pStyle w:val="930"/>
              <w:rPr>
                <w:rFonts w:eastAsia="Arial Unicode MS"/>
                <w:sz w:val="20"/>
              </w:rPr>
            </w:pPr>
            <w:r>
              <w:rPr>
                <w:sz w:val="20"/>
              </w:rPr>
              <w:t xml:space="preserve">со счета респондента, открытого в соответствующей валюте:</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На основании предварительно представленного респондентом Письма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7.5.1.</w:t>
            </w:r>
            <w:r>
              <w:rPr>
                <w:sz w:val="20"/>
              </w:rPr>
            </w:r>
            <w:r>
              <w:rPr>
                <w:sz w:val="20"/>
              </w:rPr>
            </w:r>
          </w:p>
        </w:tc>
        <w:tc>
          <w:tcPr>
            <w:tcW w:w="3969" w:type="dxa"/>
            <w:vAlign w:val="top"/>
            <w:textDirection w:val="lrTb"/>
            <w:noWrap w:val="false"/>
          </w:tcPr>
          <w:p>
            <w:pPr>
              <w:pStyle w:val="930"/>
              <w:rPr>
                <w:sz w:val="20"/>
              </w:rPr>
            </w:pPr>
            <w:r>
              <w:rPr>
                <w:sz w:val="20"/>
              </w:rPr>
              <w:t xml:space="preserve">доллары США, евро</w:t>
            </w:r>
            <w:r>
              <w:rPr>
                <w:sz w:val="20"/>
              </w:rPr>
            </w:r>
            <w:r>
              <w:rPr>
                <w:sz w:val="20"/>
              </w:rPr>
            </w:r>
          </w:p>
        </w:tc>
        <w:tc>
          <w:tcPr>
            <w:tcW w:w="1985" w:type="dxa"/>
            <w:vAlign w:val="top"/>
            <w:textDirection w:val="lrTb"/>
            <w:noWrap w:val="false"/>
          </w:tcPr>
          <w:p>
            <w:pPr>
              <w:pStyle w:val="930"/>
              <w:jc w:val="center"/>
              <w:rPr>
                <w:sz w:val="20"/>
              </w:rPr>
            </w:pPr>
            <w:r>
              <w:rPr>
                <w:sz w:val="20"/>
              </w:rPr>
              <w:t xml:space="preserve">0,5% от суммы</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7.5.2.</w:t>
            </w:r>
            <w:r>
              <w:rPr>
                <w:sz w:val="20"/>
              </w:rPr>
            </w:r>
            <w:r>
              <w:rPr>
                <w:sz w:val="20"/>
              </w:rPr>
            </w:r>
          </w:p>
        </w:tc>
        <w:tc>
          <w:tcPr>
            <w:tcW w:w="3969" w:type="dxa"/>
            <w:vAlign w:val="top"/>
            <w:textDirection w:val="lrTb"/>
            <w:noWrap w:val="false"/>
          </w:tcPr>
          <w:p>
            <w:pPr>
              <w:pStyle w:val="930"/>
              <w:rPr>
                <w:sz w:val="20"/>
              </w:rPr>
            </w:pPr>
            <w:r>
              <w:rPr>
                <w:sz w:val="20"/>
              </w:rPr>
              <w:t xml:space="preserve">другие виды иностранных валют</w:t>
            </w:r>
            <w:r>
              <w:rPr>
                <w:sz w:val="20"/>
              </w:rPr>
            </w:r>
            <w:r>
              <w:rPr>
                <w:sz w:val="20"/>
              </w:rPr>
            </w:r>
          </w:p>
        </w:tc>
        <w:tc>
          <w:tcPr>
            <w:tcW w:w="1985" w:type="dxa"/>
            <w:vAlign w:val="top"/>
            <w:textDirection w:val="lrTb"/>
            <w:noWrap w:val="false"/>
          </w:tcPr>
          <w:p>
            <w:pPr>
              <w:pStyle w:val="930"/>
              <w:jc w:val="center"/>
              <w:rPr>
                <w:sz w:val="20"/>
              </w:rPr>
            </w:pPr>
            <w:r>
              <w:rPr>
                <w:sz w:val="20"/>
              </w:rPr>
              <w:t xml:space="preserve">3,0% от суммы</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30"/>
              <w:jc w:val="center"/>
              <w:rPr>
                <w:sz w:val="20"/>
              </w:rPr>
            </w:pPr>
            <w:r>
              <w:rPr>
                <w:sz w:val="20"/>
              </w:rPr>
              <w:t xml:space="preserve">7.6.</w:t>
            </w:r>
            <w:r>
              <w:rPr>
                <w:sz w:val="20"/>
              </w:rPr>
            </w:r>
            <w:r>
              <w:rPr>
                <w:sz w:val="20"/>
              </w:rPr>
            </w:r>
          </w:p>
        </w:tc>
        <w:tc>
          <w:tcPr>
            <w:tcBorders>
              <w:bottom w:val="single" w:color="000000" w:sz="4" w:space="0"/>
            </w:tcBorders>
            <w:tcW w:w="3969" w:type="dxa"/>
            <w:vAlign w:val="top"/>
            <w:textDirection w:val="lrTb"/>
            <w:noWrap w:val="false"/>
          </w:tcPr>
          <w:p>
            <w:pPr>
              <w:pStyle w:val="930"/>
              <w:rPr>
                <w:sz w:val="20"/>
              </w:rPr>
            </w:pPr>
            <w:r>
              <w:rPr>
                <w:sz w:val="20"/>
              </w:rPr>
              <w:t xml:space="preserve">Прием наличной иностранной валюты</w:t>
            </w:r>
            <w:r>
              <w:rPr>
                <w:sz w:val="20"/>
              </w:rPr>
            </w:r>
            <w:r>
              <w:rPr>
                <w:sz w:val="20"/>
              </w:rPr>
            </w:r>
          </w:p>
          <w:p>
            <w:pPr>
              <w:pStyle w:val="930"/>
              <w:rPr>
                <w:sz w:val="20"/>
              </w:rPr>
            </w:pPr>
            <w:r>
              <w:rPr>
                <w:sz w:val="20"/>
              </w:rPr>
              <w:t xml:space="preserve">(за исключением монеты иностранного государства (группы иностранных государств))</w:t>
            </w:r>
            <w:r>
              <w:rPr>
                <w:sz w:val="20"/>
              </w:rPr>
            </w:r>
            <w:r>
              <w:rPr>
                <w:sz w:val="20"/>
              </w:rPr>
            </w:r>
          </w:p>
          <w:p>
            <w:pPr>
              <w:pStyle w:val="930"/>
              <w:rPr>
                <w:sz w:val="20"/>
              </w:rPr>
            </w:pPr>
            <w:r>
              <w:rPr>
                <w:sz w:val="20"/>
              </w:rPr>
              <w:t xml:space="preserve">с зачислением на счет респондента, открытого в соответствующей валюте:</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30"/>
              <w:jc w:val="center"/>
              <w:rPr>
                <w:sz w:val="20"/>
              </w:rPr>
            </w:pPr>
            <w:r>
              <w:rPr>
                <w:sz w:val="20"/>
              </w:rPr>
              <w:t xml:space="preserve">7.6.1.</w:t>
            </w:r>
            <w:r>
              <w:rPr>
                <w:sz w:val="20"/>
              </w:rPr>
            </w:r>
            <w:r>
              <w:rPr>
                <w:sz w:val="20"/>
              </w:rPr>
            </w:r>
          </w:p>
        </w:tc>
        <w:tc>
          <w:tcPr>
            <w:tcBorders>
              <w:bottom w:val="none" w:color="000000" w:sz="4" w:space="0"/>
            </w:tcBorders>
            <w:tcW w:w="3969" w:type="dxa"/>
            <w:vAlign w:val="top"/>
            <w:textDirection w:val="lrTb"/>
            <w:noWrap w:val="false"/>
          </w:tcPr>
          <w:p>
            <w:pPr>
              <w:pStyle w:val="930"/>
              <w:rPr>
                <w:sz w:val="20"/>
              </w:rPr>
            </w:pPr>
            <w:r>
              <w:rPr>
                <w:sz w:val="20"/>
              </w:rPr>
              <w:t xml:space="preserve">доллары США, евро</w:t>
            </w:r>
            <w:r>
              <w:rPr>
                <w:sz w:val="20"/>
              </w:rPr>
            </w:r>
            <w:r>
              <w:rPr>
                <w:sz w:val="20"/>
              </w:rPr>
            </w:r>
          </w:p>
        </w:tc>
        <w:tc>
          <w:tcPr>
            <w:tcBorders>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t xml:space="preserve">банкноты в упаковке банка-эмитента</w:t>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0,5% от суммы</w:t>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30"/>
              <w:rPr>
                <w:sz w:val="20"/>
              </w:rPr>
            </w:pPr>
            <w:r>
              <w:rPr>
                <w:sz w:val="20"/>
              </w:rPr>
              <w:t xml:space="preserve">банкноты, бывшие в употреблении</w:t>
            </w:r>
            <w:r>
              <w:rPr>
                <w:sz w:val="20"/>
              </w:rPr>
            </w:r>
            <w:r>
              <w:rPr>
                <w:sz w:val="20"/>
              </w:rPr>
            </w:r>
          </w:p>
          <w:p>
            <w:pPr>
              <w:pStyle w:val="930"/>
              <w:rPr>
                <w:sz w:val="20"/>
              </w:rPr>
            </w:pPr>
            <w:r>
              <w:rPr>
                <w:sz w:val="20"/>
              </w:rPr>
              <w:t xml:space="preserve">(без повреждений и дефектов)</w:t>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1% от суммы</w:t>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969" w:type="dxa"/>
            <w:vAlign w:val="top"/>
            <w:textDirection w:val="lrTb"/>
            <w:noWrap w:val="false"/>
          </w:tcPr>
          <w:p>
            <w:pPr>
              <w:pStyle w:val="930"/>
              <w:rPr>
                <w:sz w:val="20"/>
              </w:rPr>
            </w:pPr>
            <w:r>
              <w:rPr>
                <w:sz w:val="20"/>
              </w:rPr>
              <w:t xml:space="preserve">банкноты поврежденные</w:t>
            </w:r>
            <w:r>
              <w:rPr>
                <w:sz w:val="20"/>
              </w:rPr>
            </w:r>
            <w:r>
              <w:rPr>
                <w:sz w:val="20"/>
              </w:rPr>
            </w:r>
          </w:p>
        </w:tc>
        <w:tc>
          <w:tcPr>
            <w:tcBorders>
              <w:top w:val="none" w:color="000000" w:sz="4" w:space="0"/>
            </w:tcBorders>
            <w:tcW w:w="1985" w:type="dxa"/>
            <w:vAlign w:val="top"/>
            <w:textDirection w:val="lrTb"/>
            <w:noWrap w:val="false"/>
          </w:tcPr>
          <w:p>
            <w:pPr>
              <w:pStyle w:val="930"/>
              <w:jc w:val="center"/>
              <w:rPr>
                <w:sz w:val="20"/>
              </w:rPr>
            </w:pPr>
            <w:r>
              <w:rPr>
                <w:sz w:val="20"/>
              </w:rPr>
              <w:t xml:space="preserve">Не подлежат приему</w:t>
            </w:r>
            <w:r>
              <w:rPr>
                <w:sz w:val="20"/>
              </w:rPr>
            </w:r>
            <w:r>
              <w:rPr>
                <w:sz w:val="20"/>
              </w:rPr>
            </w:r>
          </w:p>
        </w:tc>
        <w:tc>
          <w:tcPr>
            <w:tcBorders>
              <w:top w:val="none" w:color="000000" w:sz="4" w:space="0"/>
            </w:tcBorders>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7.6.2.</w:t>
            </w:r>
            <w:r>
              <w:rPr>
                <w:sz w:val="20"/>
              </w:rPr>
            </w:r>
            <w:r>
              <w:rPr>
                <w:sz w:val="20"/>
              </w:rPr>
            </w:r>
          </w:p>
        </w:tc>
        <w:tc>
          <w:tcPr>
            <w:tcW w:w="3969" w:type="dxa"/>
            <w:vAlign w:val="top"/>
            <w:textDirection w:val="lrTb"/>
            <w:noWrap w:val="false"/>
          </w:tcPr>
          <w:p>
            <w:pPr>
              <w:pStyle w:val="930"/>
              <w:rPr>
                <w:sz w:val="20"/>
              </w:rPr>
            </w:pPr>
            <w:r>
              <w:rPr>
                <w:sz w:val="20"/>
              </w:rPr>
              <w:t xml:space="preserve">другие виды иностранных валют</w:t>
            </w:r>
            <w:r>
              <w:rPr>
                <w:sz w:val="20"/>
              </w:rPr>
            </w:r>
            <w:r>
              <w:rPr>
                <w:sz w:val="20"/>
              </w:rPr>
            </w:r>
          </w:p>
        </w:tc>
        <w:tc>
          <w:tcPr>
            <w:tcW w:w="1985" w:type="dxa"/>
            <w:vAlign w:val="top"/>
            <w:textDirection w:val="lrTb"/>
            <w:noWrap w:val="false"/>
          </w:tcPr>
          <w:p>
            <w:pPr>
              <w:pStyle w:val="930"/>
              <w:jc w:val="center"/>
              <w:rPr>
                <w:sz w:val="20"/>
              </w:rPr>
            </w:pPr>
            <w:r>
              <w:rPr>
                <w:sz w:val="20"/>
              </w:rPr>
              <w:t xml:space="preserve">3,0% от суммы</w:t>
            </w:r>
            <w:r>
              <w:rPr>
                <w:sz w:val="20"/>
              </w:rPr>
            </w:r>
            <w:r>
              <w:rPr>
                <w:sz w:val="20"/>
              </w:rPr>
            </w:r>
          </w:p>
        </w:tc>
        <w:tc>
          <w:tcPr>
            <w:tcW w:w="3544"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30"/>
              <w:jc w:val="center"/>
              <w:rPr>
                <w:sz w:val="20"/>
              </w:rPr>
            </w:pPr>
            <w:r>
              <w:rPr>
                <w:sz w:val="20"/>
              </w:rPr>
              <w:t xml:space="preserve">7.7.</w:t>
            </w:r>
            <w:r>
              <w:rPr>
                <w:sz w:val="20"/>
              </w:rPr>
            </w:r>
            <w:r>
              <w:rPr>
                <w:sz w:val="20"/>
              </w:rPr>
            </w:r>
          </w:p>
        </w:tc>
        <w:tc>
          <w:tcPr>
            <w:tcW w:w="3969" w:type="dxa"/>
            <w:vAlign w:val="top"/>
            <w:textDirection w:val="lrTb"/>
            <w:noWrap w:val="false"/>
          </w:tcPr>
          <w:p>
            <w:pPr>
              <w:pStyle w:val="930"/>
              <w:rPr>
                <w:sz w:val="20"/>
              </w:rPr>
            </w:pPr>
            <w:r>
              <w:rPr>
                <w:sz w:val="20"/>
              </w:rPr>
              <w:t xml:space="preserve">Покупка/продажа Банком наличной иностранной валюты</w:t>
            </w:r>
            <w:r>
              <w:rPr>
                <w:sz w:val="20"/>
              </w:rPr>
            </w:r>
            <w:r>
              <w:rPr>
                <w:sz w:val="20"/>
              </w:rPr>
            </w:r>
          </w:p>
        </w:tc>
        <w:tc>
          <w:tcPr>
            <w:tcW w:w="1985" w:type="dxa"/>
            <w:vAlign w:val="top"/>
            <w:textDirection w:val="lrTb"/>
            <w:noWrap w:val="false"/>
          </w:tcPr>
          <w:p>
            <w:pPr>
              <w:pStyle w:val="930"/>
              <w:jc w:val="center"/>
              <w:rPr>
                <w:sz w:val="20"/>
              </w:rPr>
            </w:pPr>
            <w:r>
              <w:rPr>
                <w:sz w:val="20"/>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ОАО</w:t>
            </w:r>
            <w:r>
              <w:rPr>
                <w:sz w:val="20"/>
              </w:rPr>
            </w:r>
            <w:r>
              <w:rPr>
                <w:sz w:val="20"/>
              </w:rPr>
            </w:r>
          </w:p>
          <w:p>
            <w:pPr>
              <w:pStyle w:val="930"/>
              <w:jc w:val="center"/>
              <w:rPr>
                <w:sz w:val="20"/>
              </w:rPr>
            </w:pPr>
            <w:r>
              <w:rPr>
                <w:sz w:val="20"/>
              </w:rPr>
              <w:t xml:space="preserve">«Россельхозбанк» и другой кредитной организацией</w:t>
            </w:r>
            <w:r>
              <w:rPr>
                <w:sz w:val="20"/>
              </w:rPr>
            </w:r>
            <w:r>
              <w:rPr>
                <w:sz w:val="20"/>
              </w:rPr>
            </w:r>
          </w:p>
        </w:tc>
        <w:tc>
          <w:tcPr>
            <w:tcW w:w="3544" w:type="dxa"/>
            <w:vAlign w:val="top"/>
            <w:textDirection w:val="lrTb"/>
            <w:noWrap w:val="false"/>
          </w:tcPr>
          <w:p>
            <w:pPr>
              <w:pStyle w:val="930"/>
              <w:rPr>
                <w:sz w:val="20"/>
              </w:rPr>
            </w:pPr>
            <w:r>
              <w:rPr>
                <w:sz w:val="20"/>
              </w:rPr>
              <w:t xml:space="preserve">Данная услуга оказывается при наличии заключенного Соглашения об общих условиях проведения банкнотных сделок между АО «Россельхозбанк» и другой кредитной организацией</w:t>
            </w:r>
            <w:r>
              <w:rPr>
                <w:sz w:val="20"/>
              </w:rPr>
            </w:r>
            <w:r>
              <w:rPr>
                <w:sz w:val="20"/>
              </w:rPr>
            </w:r>
          </w:p>
        </w:tc>
      </w:tr>
    </w:tbl>
    <w:p>
      <w:pPr>
        <w:pStyle w:val="930"/>
      </w:pPr>
      <w:r/>
      <w:r/>
    </w:p>
    <w:p>
      <w:pPr>
        <w:pStyle w:val="934"/>
      </w:pPr>
      <w:r>
        <w:t xml:space="preserve">8. Операции с ценными бумагами</w:t>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30"/>
              <w:jc w:val="center"/>
              <w:rPr>
                <w:sz w:val="20"/>
              </w:rPr>
            </w:pPr>
            <w:r>
              <w:rPr>
                <w:sz w:val="20"/>
              </w:rPr>
              <w:t xml:space="preserve">8.1.</w:t>
            </w:r>
            <w:r>
              <w:rPr>
                <w:sz w:val="20"/>
              </w:rPr>
            </w:r>
            <w:r>
              <w:rPr>
                <w:sz w:val="20"/>
              </w:rPr>
            </w:r>
          </w:p>
        </w:tc>
        <w:tc>
          <w:tcPr>
            <w:tcW w:w="3969" w:type="dxa"/>
            <w:vAlign w:val="top"/>
            <w:textDirection w:val="lrTb"/>
            <w:noWrap w:val="false"/>
          </w:tcPr>
          <w:p>
            <w:pPr>
              <w:pStyle w:val="930"/>
              <w:rPr>
                <w:rFonts w:eastAsia="Arial Unicode MS"/>
                <w:sz w:val="20"/>
              </w:rPr>
            </w:pPr>
            <w:r>
              <w:rPr>
                <w:sz w:val="20"/>
              </w:rPr>
              <w:t xml:space="preserve">Оформление векселя АО «Россельхозбанк» </w:t>
            </w:r>
            <w:r>
              <w:rPr>
                <w:rFonts w:eastAsia="Arial Unicode MS"/>
                <w:sz w:val="20"/>
              </w:rPr>
            </w:r>
            <w:r>
              <w:rPr>
                <w:rFonts w:eastAsia="Arial Unicode MS"/>
                <w:sz w:val="20"/>
              </w:rPr>
            </w:r>
          </w:p>
        </w:tc>
        <w:tc>
          <w:tcPr>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W w:w="3544" w:type="dxa"/>
            <w:vAlign w:val="top"/>
            <w:textDirection w:val="lrTb"/>
            <w:noWrap w:val="false"/>
          </w:tcPr>
          <w:p>
            <w:pPr>
              <w:pStyle w:val="930"/>
              <w:rPr>
                <w:rFonts w:eastAsia="Arial Unicode MS"/>
                <w:sz w:val="20"/>
              </w:rPr>
            </w:pPr>
            <w:r>
              <w:rPr>
                <w:sz w:val="20"/>
              </w:rPr>
              <w:t xml:space="preserve">Комиссия включает НДС</w:t>
            </w:r>
            <w:r>
              <w:rPr>
                <w:rFonts w:eastAsia="Arial Unicode MS"/>
                <w:sz w:val="20"/>
              </w:rPr>
            </w:r>
            <w:r>
              <w:rPr>
                <w:rFonts w:eastAsia="Arial Unicode MS"/>
                <w:sz w:val="20"/>
              </w:rPr>
            </w:r>
          </w:p>
        </w:tc>
      </w:tr>
    </w:tbl>
    <w:p>
      <w:pPr>
        <w:pStyle w:val="930"/>
      </w:pPr>
      <w:r/>
      <w:r/>
    </w:p>
    <w:p>
      <w:pPr>
        <w:pStyle w:val="934"/>
        <w:rPr>
          <w:sz w:val="20"/>
        </w:rPr>
      </w:pPr>
      <w:r>
        <w:t xml:space="preserve">9. Депозитарные услуги</w:t>
      </w:r>
      <w:r>
        <w:rPr>
          <w:sz w:val="20"/>
          <w:vertAlign w:val="superscript"/>
        </w:rPr>
        <w:t xml:space="preserve">4</w:t>
      </w:r>
      <w:r>
        <w:rPr>
          <w:sz w:val="20"/>
        </w:rPr>
      </w:r>
      <w:r>
        <w:rPr>
          <w:sz w:val="20"/>
        </w:rP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6"/>
        <w:gridCol w:w="4004"/>
        <w:gridCol w:w="1134"/>
        <w:gridCol w:w="85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16" w:type="dxa"/>
            <w:vAlign w:val="top"/>
            <w:textDirection w:val="lrTb"/>
            <w:noWrap w:val="false"/>
          </w:tcPr>
          <w:p>
            <w:pPr>
              <w:pStyle w:val="930"/>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4004" w:type="dxa"/>
            <w:vAlign w:val="top"/>
            <w:textDirection w:val="lrTb"/>
            <w:noWrap w:val="false"/>
          </w:tcPr>
          <w:p>
            <w:pPr>
              <w:pStyle w:val="930"/>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9.1. Административные 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9.1.1.</w:t>
            </w:r>
            <w:r>
              <w:rPr>
                <w:rFonts w:eastAsia="Arial Unicode MS"/>
                <w:sz w:val="20"/>
              </w:rPr>
            </w:r>
            <w:r>
              <w:rPr>
                <w:rFonts w:eastAsia="Arial Unicode MS"/>
                <w:sz w:val="20"/>
              </w:rPr>
            </w:r>
          </w:p>
        </w:tc>
        <w:tc>
          <w:tcPr>
            <w:tcW w:w="4004" w:type="dxa"/>
            <w:vAlign w:val="top"/>
            <w:textDirection w:val="lrTb"/>
            <w:noWrap w:val="false"/>
          </w:tcPr>
          <w:p>
            <w:pPr>
              <w:pStyle w:val="930"/>
              <w:rPr>
                <w:rFonts w:eastAsia="Arial Unicode MS"/>
                <w:sz w:val="20"/>
              </w:rPr>
            </w:pPr>
            <w:r>
              <w:rPr>
                <w:sz w:val="20"/>
              </w:rPr>
              <w:t xml:space="preserve">Открытие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5" w:type="dxa"/>
            <w:vAlign w:val="top"/>
            <w:textDirection w:val="lrTb"/>
            <w:noWrap w:val="false"/>
          </w:tcPr>
          <w:p>
            <w:pPr>
              <w:pStyle w:val="930"/>
              <w:jc w:val="center"/>
              <w:rPr>
                <w:rFonts w:eastAsia="Arial Unicode MS"/>
                <w:sz w:val="20"/>
              </w:rPr>
            </w:pPr>
            <w:r>
              <w:rPr>
                <w:rFonts w:eastAsia="Arial Unicode MS"/>
                <w:sz w:val="20"/>
              </w:rPr>
              <w:t xml:space="preserve">2 000 руб., </w:t>
            </w:r>
            <w:r>
              <w:rPr>
                <w:rFonts w:eastAsia="Arial Unicode MS"/>
                <w:sz w:val="20"/>
              </w:rPr>
            </w:r>
            <w:r>
              <w:rPr>
                <w:rFonts w:eastAsia="Arial Unicode MS"/>
                <w:sz w:val="20"/>
              </w:rPr>
            </w:r>
          </w:p>
          <w:p>
            <w:pPr>
              <w:pStyle w:val="930"/>
              <w:jc w:val="center"/>
              <w:rPr>
                <w:rFonts w:eastAsia="Arial Unicode MS"/>
                <w:sz w:val="20"/>
              </w:rPr>
            </w:pPr>
            <w:r>
              <w:rPr>
                <w:rFonts w:eastAsia="Arial Unicode MS"/>
                <w:sz w:val="20"/>
              </w:rPr>
              <w:t xml:space="preserve">100 руб. за каждый последующий счет</w:t>
            </w:r>
            <w:r>
              <w:rPr>
                <w:rFonts w:eastAsia="Arial Unicode MS"/>
                <w:sz w:val="20"/>
              </w:rPr>
            </w:r>
            <w:r>
              <w:rPr>
                <w:rFonts w:eastAsia="Arial Unicode MS"/>
                <w:sz w:val="20"/>
              </w:rPr>
            </w:r>
          </w:p>
        </w:tc>
        <w:tc>
          <w:tcPr>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9.1.2.</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Открытие индивидуального раздела на междепозитарном счете </w:t>
            </w:r>
            <w:r>
              <w:rPr>
                <w:sz w:val="20"/>
              </w:rPr>
            </w:r>
            <w:r>
              <w:rPr>
                <w:sz w:val="20"/>
              </w:rPr>
            </w:r>
          </w:p>
          <w:p>
            <w:pPr>
              <w:pStyle w:val="930"/>
              <w:rPr>
                <w:sz w:val="20"/>
              </w:rPr>
            </w:pPr>
            <w:r>
              <w:rPr>
                <w:sz w:val="20"/>
              </w:rPr>
              <w:t xml:space="preserve">АО «Россельхозбанк» в НКО АО НРД и в других депозитариях по поручению клиента</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1</w:t>
            </w:r>
            <w:r>
              <w:rPr>
                <w:sz w:val="20"/>
              </w:rPr>
              <w:t xml:space="preserve"> 0</w:t>
            </w:r>
            <w:r>
              <w:rPr>
                <w:sz w:val="20"/>
              </w:rPr>
              <w:t xml:space="preserve">00</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каждый</w:t>
            </w:r>
            <w:r>
              <w:rPr>
                <w:sz w:val="20"/>
              </w:rPr>
              <w:t xml:space="preserve"> </w:t>
            </w:r>
            <w:r>
              <w:rPr>
                <w:sz w:val="20"/>
              </w:rPr>
              <w:t xml:space="preserve">раздел</w:t>
            </w:r>
            <w:r>
              <w:rPr>
                <w:rFonts w:eastAsia="Arial Unicode MS"/>
                <w:sz w:val="20"/>
              </w:rPr>
            </w:r>
            <w:r>
              <w:rPr>
                <w:rFonts w:eastAsia="Arial Unicode MS"/>
                <w:sz w:val="20"/>
              </w:rPr>
            </w:r>
          </w:p>
        </w:tc>
        <w:tc>
          <w:tcPr>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9.1.3.</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Ведение</w:t>
            </w:r>
            <w:r>
              <w:rPr>
                <w:sz w:val="20"/>
              </w:rPr>
              <w:t xml:space="preserve"> </w:t>
            </w:r>
            <w:r>
              <w:rPr>
                <w:sz w:val="20"/>
              </w:rPr>
              <w:t xml:space="preserve">счета</w:t>
            </w:r>
            <w:r>
              <w:rPr>
                <w:sz w:val="20"/>
              </w:rPr>
              <w:t xml:space="preserve"> </w:t>
            </w:r>
            <w:r>
              <w:rPr>
                <w:sz w:val="20"/>
              </w:rPr>
              <w:t xml:space="preserve">депо</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Комиссия</w:t>
            </w:r>
            <w:r>
              <w:rPr>
                <w:sz w:val="20"/>
              </w:rPr>
              <w:t xml:space="preserve"> </w:t>
            </w:r>
            <w:r>
              <w:rPr>
                <w:sz w:val="20"/>
              </w:rPr>
              <w:t xml:space="preserve">не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9.1.</w:t>
            </w:r>
            <w:r>
              <w:rPr>
                <w:sz w:val="20"/>
              </w:rPr>
              <w:t xml:space="preserve">4</w:t>
            </w:r>
            <w:r>
              <w:rPr>
                <w:sz w:val="20"/>
              </w:rPr>
              <w:t xml:space="preserve">.</w:t>
            </w:r>
            <w:r>
              <w:rPr>
                <w:sz w:val="20"/>
              </w:rPr>
            </w:r>
            <w:r>
              <w:rPr>
                <w:sz w:val="20"/>
              </w:rPr>
            </w:r>
          </w:p>
        </w:tc>
        <w:tc>
          <w:tcPr>
            <w:tcW w:w="4004" w:type="dxa"/>
            <w:vAlign w:val="top"/>
            <w:textDirection w:val="lrTb"/>
            <w:noWrap w:val="false"/>
          </w:tcPr>
          <w:p>
            <w:pPr>
              <w:pStyle w:val="930"/>
              <w:rPr>
                <w:sz w:val="20"/>
              </w:rPr>
            </w:pPr>
            <w:r>
              <w:rPr>
                <w:sz w:val="20"/>
              </w:rPr>
              <w:t xml:space="preserve">Открытие счета номинального держателя АО «Россельхозбанк» в реестре владельцев ценных бумаг</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20 000 руб.</w:t>
            </w:r>
            <w:r>
              <w:rPr>
                <w:sz w:val="20"/>
              </w:rPr>
            </w:r>
            <w:r>
              <w:rPr>
                <w:sz w:val="20"/>
              </w:rPr>
            </w:r>
          </w:p>
        </w:tc>
        <w:tc>
          <w:tcPr>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9.1.</w:t>
            </w:r>
            <w:r>
              <w:rPr>
                <w:sz w:val="20"/>
              </w:rPr>
              <w:t xml:space="preserve">5</w:t>
            </w:r>
            <w:r>
              <w:rPr>
                <w:sz w:val="20"/>
              </w:rPr>
              <w:t xml:space="preserve">.</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Комиссия</w:t>
            </w:r>
            <w:r>
              <w:rPr>
                <w:sz w:val="20"/>
              </w:rPr>
              <w:t xml:space="preserve"> </w:t>
            </w:r>
            <w:r>
              <w:rPr>
                <w:sz w:val="20"/>
              </w:rPr>
              <w:t xml:space="preserve">не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9.2.1.</w:t>
            </w:r>
            <w:r>
              <w:rPr>
                <w:rFonts w:eastAsia="Arial Unicode MS"/>
                <w:sz w:val="20"/>
              </w:rPr>
            </w:r>
            <w:r>
              <w:rPr>
                <w:rFonts w:eastAsia="Arial Unicode MS"/>
                <w:sz w:val="20"/>
              </w:rPr>
            </w:r>
          </w:p>
        </w:tc>
        <w:tc>
          <w:tcPr>
            <w:tcW w:w="4004" w:type="dxa"/>
            <w:vAlign w:val="top"/>
            <w:textDirection w:val="lrTb"/>
            <w:noWrap w:val="false"/>
          </w:tcPr>
          <w:p>
            <w:pPr>
              <w:pStyle w:val="930"/>
              <w:rPr>
                <w:rFonts w:eastAsia="Arial Unicode MS"/>
                <w:sz w:val="20"/>
              </w:rPr>
            </w:pPr>
            <w:r>
              <w:rPr>
                <w:sz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rFonts w:eastAsia="Arial Unicode MS"/>
                <w:sz w:val="20"/>
              </w:rPr>
            </w:r>
            <w:r>
              <w:rPr>
                <w:rFonts w:eastAsia="Arial Unicode MS"/>
                <w:sz w:val="20"/>
              </w:rPr>
            </w:r>
          </w:p>
        </w:tc>
        <w:tc>
          <w:tcPr>
            <w:gridSpan w:val="2"/>
            <w:tcW w:w="1985" w:type="dxa"/>
            <w:vAlign w:val="top"/>
            <w:textDirection w:val="lrTb"/>
            <w:noWrap w:val="false"/>
          </w:tcPr>
          <w:p>
            <w:pPr>
              <w:pStyle w:val="930"/>
              <w:jc w:val="center"/>
              <w:rPr>
                <w:sz w:val="20"/>
              </w:rPr>
            </w:pPr>
            <w:r>
              <w:rPr>
                <w:sz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rPr>
            </w:r>
            <w:r>
              <w:rPr>
                <w:sz w:val="20"/>
              </w:rPr>
            </w:r>
          </w:p>
          <w:p>
            <w:pPr>
              <w:pStyle w:val="930"/>
              <w:jc w:val="center"/>
              <w:rPr>
                <w:sz w:val="20"/>
              </w:rPr>
            </w:pPr>
            <w:r>
              <w:rPr>
                <w:sz w:val="20"/>
              </w:rPr>
              <w:t xml:space="preserve">Облигаций до 50 млн. руб. (включительно) - 0,06% годовых, минимум 300 руб. в месяц, свыше 50 млн. руб. - 0,05% годовых минимум 300 руб. в месяц</w:t>
            </w:r>
            <w:r>
              <w:rPr>
                <w:sz w:val="20"/>
              </w:rPr>
            </w:r>
            <w:r>
              <w:rPr>
                <w:sz w:val="20"/>
              </w:rPr>
            </w:r>
          </w:p>
        </w:tc>
        <w:tc>
          <w:tcPr>
            <w:tcW w:w="3543" w:type="dxa"/>
            <w:vAlign w:val="top"/>
            <w:textDirection w:val="lrTb"/>
            <w:noWrap w:val="false"/>
          </w:tcPr>
          <w:p>
            <w:pPr>
              <w:pStyle w:val="930"/>
              <w:rPr>
                <w:sz w:val="20"/>
              </w:rPr>
            </w:pPr>
            <w:r>
              <w:rPr>
                <w:sz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9.2.2.</w:t>
            </w:r>
            <w:r>
              <w:rPr>
                <w:sz w:val="20"/>
              </w:rPr>
            </w:r>
            <w:r>
              <w:rPr>
                <w:sz w:val="20"/>
              </w:rPr>
            </w:r>
          </w:p>
        </w:tc>
        <w:tc>
          <w:tcPr>
            <w:tcW w:w="4004" w:type="dxa"/>
            <w:vAlign w:val="top"/>
            <w:textDirection w:val="lrTb"/>
            <w:noWrap w:val="false"/>
          </w:tcPr>
          <w:p>
            <w:pPr>
              <w:pStyle w:val="930"/>
              <w:rPr>
                <w:sz w:val="20"/>
              </w:rPr>
            </w:pPr>
            <w:r>
              <w:rPr>
                <w:sz w:val="20"/>
              </w:rPr>
              <w:t xml:space="preserve">Депозитарный учет и/или хранение иностранных финансовых инструментов, выпущенных вне территории Российской Федерации</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rPr>
            </w:r>
            <w:r>
              <w:rPr>
                <w:sz w:val="20"/>
              </w:rPr>
            </w:r>
          </w:p>
          <w:p>
            <w:pPr>
              <w:pStyle w:val="930"/>
              <w:jc w:val="center"/>
              <w:rPr>
                <w:sz w:val="20"/>
              </w:rPr>
            </w:pPr>
            <w:r>
              <w:rPr>
                <w:sz w:val="20"/>
              </w:rPr>
              <w:t xml:space="preserve">Облигаций до 50 млн. руб. (включительно) - 0,06% годовых, минимум 300 руб. в месяц, свыше 50 млн. руб. - 0,05% годовых, минимум 300 руб. в месяц</w:t>
            </w:r>
            <w:r>
              <w:rPr>
                <w:sz w:val="20"/>
              </w:rPr>
            </w:r>
            <w:r>
              <w:rPr>
                <w:sz w:val="20"/>
              </w:rPr>
            </w:r>
          </w:p>
        </w:tc>
        <w:tc>
          <w:tcPr>
            <w:tcW w:w="3543" w:type="dxa"/>
            <w:vAlign w:val="top"/>
            <w:textDirection w:val="lrTb"/>
            <w:noWrap w:val="false"/>
          </w:tcPr>
          <w:p>
            <w:pPr>
              <w:pStyle w:val="930"/>
              <w:rPr>
                <w:sz w:val="20"/>
              </w:rPr>
            </w:pPr>
            <w:r>
              <w:rPr>
                <w:sz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9.2.3.1</w:t>
            </w:r>
            <w:r>
              <w:rPr>
                <w:sz w:val="20"/>
              </w:rPr>
            </w:r>
            <w:r>
              <w:rPr>
                <w:sz w:val="20"/>
              </w:rPr>
            </w:r>
          </w:p>
        </w:tc>
        <w:tc>
          <w:tcPr>
            <w:tcW w:w="4004" w:type="dxa"/>
            <w:vAlign w:val="top"/>
            <w:textDirection w:val="lrTb"/>
            <w:noWrap w:val="false"/>
          </w:tcPr>
          <w:p>
            <w:pPr>
              <w:pStyle w:val="930"/>
              <w:rPr>
                <w:sz w:val="20"/>
              </w:rPr>
            </w:pPr>
            <w:r>
              <w:rPr>
                <w:sz w:val="20"/>
              </w:rPr>
              <w:t xml:space="preserve">Хранение неэмиссионных ценных бумаг имеющих номинальную стоимость</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rPr>
            </w:r>
            <w:r>
              <w:rPr>
                <w:sz w:val="20"/>
              </w:rPr>
            </w:r>
          </w:p>
        </w:tc>
        <w:tc>
          <w:tcPr>
            <w:tcW w:w="3543" w:type="dxa"/>
            <w:vAlign w:val="top"/>
            <w:textDirection w:val="lrTb"/>
            <w:noWrap w:val="false"/>
          </w:tcPr>
          <w:p>
            <w:pPr>
              <w:pStyle w:val="930"/>
              <w:rPr>
                <w:sz w:val="20"/>
              </w:rPr>
            </w:pPr>
            <w:r>
              <w:rPr>
                <w:sz w:val="20"/>
              </w:rPr>
              <w:t xml:space="preserve">Рассчитывается</w:t>
            </w:r>
            <w:r>
              <w:rPr>
                <w:sz w:val="20"/>
              </w:rPr>
              <w:t xml:space="preserve"> </w:t>
            </w:r>
            <w:r>
              <w:rPr>
                <w:sz w:val="20"/>
              </w:rPr>
              <w:t xml:space="preserve">ежеквартально</w:t>
            </w:r>
            <w:r>
              <w:rPr>
                <w:sz w:val="20"/>
              </w:rPr>
              <w:t xml:space="preserve"> </w:t>
            </w:r>
            <w:r>
              <w:rPr>
                <w:sz w:val="20"/>
              </w:rPr>
              <w:t xml:space="preserve">от</w:t>
            </w:r>
            <w:r>
              <w:rPr>
                <w:sz w:val="20"/>
              </w:rPr>
              <w:t xml:space="preserve"> </w:t>
            </w:r>
            <w:r>
              <w:rPr>
                <w:sz w:val="20"/>
              </w:rPr>
              <w:t xml:space="preserve">номинальной</w:t>
            </w:r>
            <w:r>
              <w:rPr>
                <w:sz w:val="20"/>
              </w:rPr>
              <w:t xml:space="preserve"> </w:t>
            </w:r>
            <w:r>
              <w:rPr>
                <w:sz w:val="20"/>
              </w:rPr>
              <w:t xml:space="preserve">стоимости</w:t>
            </w:r>
            <w:r>
              <w:rPr>
                <w:sz w:val="20"/>
              </w:rPr>
              <w:t xml:space="preserve"> </w:t>
            </w:r>
            <w:r>
              <w:rPr>
                <w:sz w:val="20"/>
              </w:rPr>
              <w:t xml:space="preserve">ежедневного</w:t>
            </w:r>
            <w:r>
              <w:rPr>
                <w:sz w:val="20"/>
              </w:rPr>
              <w:t xml:space="preserve"> </w:t>
            </w:r>
            <w:r>
              <w:rPr>
                <w:sz w:val="20"/>
              </w:rPr>
              <w:t xml:space="preserve">остатка</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9.2.3.2</w:t>
            </w:r>
            <w:r>
              <w:rPr>
                <w:sz w:val="20"/>
              </w:rPr>
            </w:r>
            <w:r>
              <w:rPr>
                <w:sz w:val="20"/>
              </w:rPr>
            </w:r>
          </w:p>
        </w:tc>
        <w:tc>
          <w:tcPr>
            <w:tcW w:w="4004" w:type="dxa"/>
            <w:vAlign w:val="top"/>
            <w:textDirection w:val="lrTb"/>
            <w:noWrap w:val="false"/>
          </w:tcPr>
          <w:p>
            <w:pPr>
              <w:pStyle w:val="958"/>
              <w:spacing w:after="40"/>
              <w:rPr>
                <w:bCs/>
                <w:color w:val="000000"/>
                <w:sz w:val="20"/>
                <w:szCs w:val="20"/>
              </w:rPr>
            </w:pPr>
            <w:r>
              <w:rPr>
                <w:bCs/>
                <w:sz w:val="20"/>
                <w:szCs w:val="20"/>
              </w:rPr>
              <w:t xml:space="preserve">Хранение неэмиссионных ценных бумаг, не имеющих номинальной стоимости</w:t>
            </w:r>
            <w:r>
              <w:rPr>
                <w:bCs/>
                <w:color w:val="000000"/>
                <w:sz w:val="20"/>
                <w:szCs w:val="20"/>
              </w:rPr>
            </w:r>
            <w:r>
              <w:rPr>
                <w:bCs/>
                <w:color w:val="000000"/>
                <w:sz w:val="20"/>
                <w:szCs w:val="20"/>
              </w:rPr>
            </w:r>
          </w:p>
        </w:tc>
        <w:tc>
          <w:tcPr>
            <w:gridSpan w:val="2"/>
            <w:tcW w:w="1985" w:type="dxa"/>
            <w:vAlign w:val="top"/>
            <w:textDirection w:val="lrTb"/>
            <w:noWrap w:val="false"/>
          </w:tcPr>
          <w:p>
            <w:pPr>
              <w:pStyle w:val="930"/>
              <w:jc w:val="center"/>
              <w:rPr>
                <w:sz w:val="20"/>
              </w:rPr>
            </w:pPr>
            <w:r>
              <w:rPr>
                <w:sz w:val="20"/>
              </w:rPr>
              <w:t xml:space="preserve">1 000 руб. в месяц</w:t>
            </w:r>
            <w:r>
              <w:rPr>
                <w:sz w:val="20"/>
              </w:rPr>
            </w:r>
            <w:r>
              <w:rPr>
                <w:sz w:val="20"/>
              </w:rPr>
            </w:r>
          </w:p>
        </w:tc>
        <w:tc>
          <w:tcPr>
            <w:tcW w:w="3543" w:type="dxa"/>
            <w:vAlign w:val="top"/>
            <w:textDirection w:val="lrTb"/>
            <w:noWrap w:val="false"/>
          </w:tcPr>
          <w:p>
            <w:pPr>
              <w:pStyle w:val="930"/>
              <w:rPr>
                <w:sz w:val="20"/>
              </w:rPr>
            </w:pPr>
            <w:r>
              <w:rPr>
                <w:sz w:val="20"/>
              </w:rPr>
              <w:t xml:space="preserve">Взимается ежеквартально независимо от количества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9.2.4.</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bCs/>
                <w:sz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500 руб. в месяц</w:t>
            </w:r>
            <w:r>
              <w:rPr>
                <w:sz w:val="20"/>
              </w:rPr>
            </w:r>
            <w:r>
              <w:rPr>
                <w:sz w:val="20"/>
              </w:rPr>
            </w:r>
          </w:p>
        </w:tc>
        <w:tc>
          <w:tcPr>
            <w:tcW w:w="3543" w:type="dxa"/>
            <w:vAlign w:val="top"/>
            <w:textDirection w:val="lrTb"/>
            <w:noWrap w:val="false"/>
          </w:tcPr>
          <w:p>
            <w:pPr>
              <w:pStyle w:val="958"/>
              <w:spacing w:before="40" w:after="40"/>
              <w:rPr>
                <w:bCs/>
                <w:color w:val="000000"/>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9.2.5</w:t>
            </w:r>
            <w:r>
              <w:rPr>
                <w:sz w:val="20"/>
              </w:rPr>
              <w:t xml:space="preserve">.</w:t>
            </w:r>
            <w:r>
              <w:rPr>
                <w:sz w:val="20"/>
              </w:rPr>
            </w:r>
            <w:r>
              <w:rPr>
                <w:sz w:val="20"/>
              </w:rPr>
            </w:r>
          </w:p>
        </w:tc>
        <w:tc>
          <w:tcPr>
            <w:tcW w:w="4004" w:type="dxa"/>
            <w:vAlign w:val="top"/>
            <w:textDirection w:val="lrTb"/>
            <w:noWrap w:val="false"/>
          </w:tcPr>
          <w:p>
            <w:pPr>
              <w:pStyle w:val="930"/>
              <w:rPr>
                <w:sz w:val="20"/>
              </w:rPr>
            </w:pPr>
            <w:r>
              <w:rPr>
                <w:bCs/>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300 руб. в месяц</w:t>
            </w:r>
            <w:r>
              <w:rPr>
                <w:sz w:val="20"/>
              </w:rPr>
            </w:r>
            <w:r>
              <w:rPr>
                <w:sz w:val="20"/>
              </w:rPr>
            </w:r>
          </w:p>
        </w:tc>
        <w:tc>
          <w:tcPr>
            <w:tcW w:w="3543" w:type="dxa"/>
            <w:vAlign w:val="top"/>
            <w:textDirection w:val="lrTb"/>
            <w:noWrap w:val="false"/>
          </w:tcPr>
          <w:p>
            <w:pPr>
              <w:pStyle w:val="958"/>
              <w:spacing w:before="40" w:after="40"/>
              <w:rPr>
                <w:sz w:val="20"/>
                <w:szCs w:val="20"/>
              </w:rPr>
            </w:pPr>
            <w:r>
              <w:rPr>
                <w:sz w:val="20"/>
                <w:szCs w:val="20"/>
              </w:rPr>
              <w:t xml:space="preserve">В месяц за инвестиционные паи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9.2.6</w:t>
            </w:r>
            <w:r>
              <w:rPr>
                <w:sz w:val="20"/>
              </w:rPr>
              <w:t xml:space="preserve">.</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Хранение и учет ценных бумаг, являющиеся обес</w:t>
            </w:r>
            <w:r>
              <w:rPr>
                <w:sz w:val="20"/>
              </w:rPr>
              <w:t xml:space="preserve">печением по кредитам, выданным </w:t>
            </w:r>
            <w:r>
              <w:rPr>
                <w:sz w:val="20"/>
              </w:rPr>
              <w:t xml:space="preserve">АО «Россельхозбанк»</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0,035%, годовых минимум 100 руб. в месяц</w:t>
            </w:r>
            <w:r>
              <w:rPr>
                <w:sz w:val="20"/>
              </w:rPr>
            </w:r>
            <w:r>
              <w:rPr>
                <w:sz w:val="20"/>
              </w:rPr>
            </w:r>
          </w:p>
        </w:tc>
        <w:tc>
          <w:tcPr>
            <w:tcW w:w="3543" w:type="dxa"/>
            <w:vAlign w:val="top"/>
            <w:textDirection w:val="lrTb"/>
            <w:noWrap w:val="false"/>
          </w:tcPr>
          <w:p>
            <w:pPr>
              <w:pStyle w:val="930"/>
              <w:rPr>
                <w:sz w:val="20"/>
              </w:rPr>
            </w:pPr>
            <w:r>
              <w:rPr>
                <w:sz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restart"/>
            <w:textDirection w:val="lrTb"/>
            <w:noWrap w:val="false"/>
          </w:tcPr>
          <w:p>
            <w:pPr>
              <w:pStyle w:val="930"/>
              <w:jc w:val="center"/>
              <w:rPr>
                <w:sz w:val="20"/>
              </w:rPr>
            </w:pPr>
            <w:r>
              <w:rPr>
                <w:sz w:val="20"/>
              </w:rPr>
              <w:t xml:space="preserve">9.2.</w:t>
            </w:r>
            <w:r>
              <w:rPr>
                <w:sz w:val="20"/>
              </w:rPr>
              <w:t xml:space="preserve">7</w:t>
            </w:r>
            <w:r>
              <w:rPr>
                <w:sz w:val="20"/>
              </w:rPr>
              <w:t xml:space="preserve">.</w:t>
            </w:r>
            <w:r>
              <w:rPr>
                <w:sz w:val="20"/>
              </w:rPr>
            </w:r>
            <w:r>
              <w:rPr>
                <w:sz w:val="20"/>
              </w:rPr>
            </w:r>
          </w:p>
        </w:tc>
        <w:tc>
          <w:tcPr>
            <w:gridSpan w:val="4"/>
            <w:tcW w:w="9532" w:type="dxa"/>
            <w:vAlign w:val="top"/>
            <w:textDirection w:val="lrTb"/>
            <w:noWrap w:val="false"/>
          </w:tcPr>
          <w:p>
            <w:pPr>
              <w:pStyle w:val="930"/>
              <w:jc w:val="center"/>
              <w:rPr>
                <w:sz w:val="20"/>
              </w:rPr>
            </w:pPr>
            <w:r>
              <w:rPr>
                <w:sz w:val="20"/>
              </w:rPr>
              <w:t xml:space="preserve">Хранение и учет на счете ДЕПО ценных бумаг Депонентов</w:t>
            </w:r>
            <w:r>
              <w:rPr>
                <w:rStyle w:val="915"/>
                <w:sz w:val="20"/>
              </w:rPr>
              <w:footnoteReference w:id="3"/>
            </w:r>
            <w:r>
              <w:rPr>
                <w:sz w:val="20"/>
              </w:rPr>
              <w:t xml:space="preserve">, принятых </w:t>
            </w:r>
            <w:r>
              <w:rPr>
                <w:sz w:val="20"/>
              </w:rPr>
            </w:r>
            <w:r>
              <w:rPr>
                <w:sz w:val="20"/>
              </w:rPr>
            </w:r>
          </w:p>
          <w:p>
            <w:pPr>
              <w:pStyle w:val="930"/>
              <w:jc w:val="center"/>
              <w:rPr>
                <w:sz w:val="20"/>
                <w:szCs w:val="20"/>
                <w:highlight w:val="none"/>
              </w:rPr>
            </w:pPr>
            <w:r>
              <w:rPr>
                <w:sz w:val="20"/>
              </w:rPr>
              <w:t xml:space="preserve">АО «Россельхозбанк» на брокерское обслуживание</w:t>
            </w:r>
            <w:r>
              <w:rPr>
                <w:sz w:val="20"/>
              </w:rPr>
            </w:r>
            <w:r>
              <w:rPr>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Средневзвешенная стоимость  ценных бумаг (млрд. руб.)</w:t>
            </w:r>
            <w:r>
              <w:rPr>
                <w:sz w:val="20"/>
              </w:rPr>
            </w:r>
            <w:r>
              <w:rPr>
                <w:sz w:val="20"/>
              </w:rPr>
            </w:r>
          </w:p>
        </w:tc>
        <w:tc>
          <w:tcPr>
            <w:tcW w:w="851" w:type="dxa"/>
            <w:vAlign w:val="top"/>
            <w:textDirection w:val="lrTb"/>
            <w:noWrap w:val="false"/>
          </w:tcPr>
          <w:p>
            <w:pPr>
              <w:pStyle w:val="930"/>
              <w:jc w:val="center"/>
              <w:rPr>
                <w:sz w:val="20"/>
              </w:rPr>
            </w:pPr>
            <w:r>
              <w:rPr>
                <w:sz w:val="20"/>
              </w:rPr>
              <w:t xml:space="preserve">%</w:t>
            </w:r>
            <w:r>
              <w:rPr>
                <w:sz w:val="20"/>
              </w:rPr>
            </w:r>
            <w:r>
              <w:rPr>
                <w:sz w:val="20"/>
              </w:rPr>
            </w:r>
          </w:p>
          <w:p>
            <w:pPr>
              <w:pStyle w:val="930"/>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restart"/>
            <w:textDirection w:val="lrTb"/>
            <w:noWrap w:val="false"/>
          </w:tcPr>
          <w:p>
            <w:pPr>
              <w:pStyle w:val="930"/>
              <w:jc w:val="center"/>
              <w:rPr>
                <w:rFonts w:eastAsia="Arial Unicode MS"/>
                <w:sz w:val="20"/>
              </w:rPr>
            </w:pPr>
            <w:r>
              <w:rPr>
                <w:sz w:val="20"/>
              </w:rPr>
              <w:t xml:space="preserve">9.2.</w:t>
            </w:r>
            <w:r>
              <w:rPr>
                <w:sz w:val="20"/>
              </w:rPr>
              <w:t xml:space="preserve">7</w:t>
            </w:r>
            <w:r>
              <w:rPr>
                <w:sz w:val="20"/>
              </w:rPr>
              <w:t xml:space="preserve">.1.</w:t>
            </w:r>
            <w:r>
              <w:rPr>
                <w:rFonts w:eastAsia="Arial Unicode MS"/>
                <w:sz w:val="20"/>
              </w:rPr>
            </w:r>
            <w:r>
              <w:rPr>
                <w:rFonts w:eastAsia="Arial Unicode MS"/>
                <w:sz w:val="20"/>
              </w:rPr>
            </w:r>
          </w:p>
        </w:tc>
        <w:tc>
          <w:tcPr>
            <w:tcW w:w="4004" w:type="dxa"/>
            <w:vAlign w:val="top"/>
            <w:vMerge w:val="restart"/>
            <w:textDirection w:val="lrTb"/>
            <w:noWrap w:val="false"/>
          </w:tcPr>
          <w:p>
            <w:pPr>
              <w:pStyle w:val="930"/>
              <w:rPr>
                <w:rFonts w:eastAsia="Arial Unicode MS"/>
                <w:sz w:val="20"/>
              </w:rPr>
            </w:pPr>
            <w:r>
              <w:rPr>
                <w:sz w:val="20"/>
              </w:rPr>
              <w:t xml:space="preserve">Депозитарный учет облигаций, выпущенных на территории Российской Федерации  </w:t>
            </w:r>
            <w:r>
              <w:rPr>
                <w:rFonts w:eastAsia="Arial Unicode MS"/>
                <w:sz w:val="20"/>
              </w:rPr>
            </w:r>
            <w:r>
              <w:rPr>
                <w:rFonts w:eastAsia="Arial Unicode MS"/>
                <w:sz w:val="20"/>
              </w:rPr>
            </w:r>
          </w:p>
        </w:tc>
        <w:tc>
          <w:tcPr>
            <w:tcW w:w="1134" w:type="dxa"/>
            <w:vAlign w:val="top"/>
            <w:textDirection w:val="lrTb"/>
            <w:noWrap w:val="false"/>
          </w:tcPr>
          <w:p>
            <w:pPr>
              <w:pStyle w:val="930"/>
              <w:jc w:val="center"/>
              <w:rPr>
                <w:sz w:val="20"/>
              </w:rPr>
            </w:pPr>
            <w:r>
              <w:rPr>
                <w:sz w:val="20"/>
              </w:rPr>
              <w:t xml:space="preserve">до 1</w:t>
            </w:r>
            <w:r>
              <w:rPr>
                <w:sz w:val="20"/>
              </w:rPr>
            </w:r>
            <w:r>
              <w:rPr>
                <w:sz w:val="20"/>
              </w:rPr>
            </w:r>
          </w:p>
        </w:tc>
        <w:tc>
          <w:tcPr>
            <w:tcW w:w="851" w:type="dxa"/>
            <w:vAlign w:val="top"/>
            <w:textDirection w:val="lrTb"/>
            <w:noWrap w:val="false"/>
          </w:tcPr>
          <w:p>
            <w:pPr>
              <w:pStyle w:val="930"/>
              <w:jc w:val="center"/>
              <w:rPr>
                <w:sz w:val="20"/>
              </w:rPr>
            </w:pPr>
            <w:r>
              <w:rPr>
                <w:sz w:val="20"/>
              </w:rPr>
              <w:t xml:space="preserve">0,026% минимум 30 руб. в месяц</w:t>
            </w:r>
            <w:r>
              <w:rPr>
                <w:sz w:val="20"/>
              </w:rPr>
            </w:r>
            <w:r>
              <w:rPr>
                <w:sz w:val="20"/>
              </w:rPr>
            </w:r>
          </w:p>
        </w:tc>
        <w:tc>
          <w:tcPr>
            <w:tcW w:w="3543" w:type="dxa"/>
            <w:vAlign w:val="top"/>
            <w:vMerge w:val="restart"/>
            <w:textDirection w:val="lrTb"/>
            <w:noWrap w:val="false"/>
          </w:tcPr>
          <w:p>
            <w:pPr>
              <w:pStyle w:val="930"/>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930"/>
              <w:rPr>
                <w:sz w:val="20"/>
              </w:rPr>
            </w:pPr>
            <w:r>
              <w:rPr>
                <w:sz w:val="20"/>
              </w:rPr>
            </w:r>
            <w:r>
              <w:rPr>
                <w:sz w:val="20"/>
              </w:rPr>
            </w:r>
            <w:r>
              <w:rPr>
                <w:sz w:val="20"/>
              </w:rPr>
            </w:r>
          </w:p>
          <w:p>
            <w:pPr>
              <w:pStyle w:val="930"/>
              <w:rPr>
                <w:sz w:val="20"/>
              </w:rPr>
            </w:pPr>
            <w:r>
              <w:rPr>
                <w:sz w:val="20"/>
              </w:rPr>
            </w:r>
            <w:r>
              <w:rPr>
                <w:sz w:val="20"/>
              </w:rPr>
            </w:r>
            <w:r>
              <w:rPr>
                <w:sz w:val="20"/>
              </w:rPr>
            </w:r>
          </w:p>
          <w:p>
            <w:pPr>
              <w:pStyle w:val="930"/>
              <w:rPr>
                <w:sz w:val="20"/>
              </w:rPr>
            </w:pPr>
            <w:r>
              <w:rPr>
                <w:sz w:val="20"/>
              </w:rPr>
            </w:r>
            <w:r>
              <w:rPr>
                <w:sz w:val="20"/>
              </w:rPr>
            </w:r>
            <w:r>
              <w:rPr>
                <w:sz w:val="20"/>
              </w:rPr>
            </w:r>
          </w:p>
          <w:p>
            <w:pPr>
              <w:pStyle w:val="930"/>
              <w:rPr>
                <w:sz w:val="20"/>
              </w:rPr>
            </w:pPr>
            <w:r>
              <w:rPr>
                <w:sz w:val="20"/>
              </w:rPr>
            </w:r>
            <w:r>
              <w:rPr>
                <w:sz w:val="20"/>
              </w:rPr>
            </w:r>
            <w:r>
              <w:rPr>
                <w:sz w:val="20"/>
              </w:rPr>
            </w:r>
          </w:p>
          <w:p>
            <w:pPr>
              <w:pStyle w:val="930"/>
              <w:rPr>
                <w:sz w:val="20"/>
              </w:rPr>
            </w:pPr>
            <w:r>
              <w:rPr>
                <w:sz w:val="20"/>
              </w:rPr>
            </w:r>
            <w:r>
              <w:rPr>
                <w:sz w:val="20"/>
              </w:rPr>
            </w:r>
            <w:r>
              <w:rPr>
                <w:sz w:val="20"/>
              </w:rPr>
            </w:r>
          </w:p>
          <w:p>
            <w:pPr>
              <w:pStyle w:val="930"/>
              <w:rPr>
                <w:sz w:val="20"/>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1 до 5</w:t>
            </w:r>
            <w:r>
              <w:rPr>
                <w:sz w:val="20"/>
              </w:rPr>
            </w:r>
            <w:r>
              <w:rPr>
                <w:sz w:val="20"/>
              </w:rPr>
            </w:r>
          </w:p>
        </w:tc>
        <w:tc>
          <w:tcPr>
            <w:tcW w:w="851" w:type="dxa"/>
            <w:vAlign w:val="top"/>
            <w:textDirection w:val="lrTb"/>
            <w:noWrap w:val="false"/>
          </w:tcPr>
          <w:p>
            <w:pPr>
              <w:pStyle w:val="930"/>
              <w:jc w:val="center"/>
              <w:rPr>
                <w:sz w:val="20"/>
              </w:rPr>
            </w:pPr>
            <w:r>
              <w:rPr>
                <w:sz w:val="20"/>
              </w:rPr>
              <w:t xml:space="preserve">0,024%</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5 до 10</w:t>
            </w:r>
            <w:r>
              <w:rPr>
                <w:sz w:val="20"/>
              </w:rPr>
            </w:r>
            <w:r>
              <w:rPr>
                <w:sz w:val="20"/>
              </w:rPr>
            </w:r>
          </w:p>
        </w:tc>
        <w:tc>
          <w:tcPr>
            <w:tcW w:w="851" w:type="dxa"/>
            <w:vAlign w:val="top"/>
            <w:textDirection w:val="lrTb"/>
            <w:noWrap w:val="false"/>
          </w:tcPr>
          <w:p>
            <w:pPr>
              <w:pStyle w:val="930"/>
              <w:jc w:val="center"/>
              <w:rPr>
                <w:sz w:val="20"/>
              </w:rPr>
            </w:pPr>
            <w:r>
              <w:rPr>
                <w:sz w:val="20"/>
              </w:rPr>
              <w:t xml:space="preserve">0,0197%</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10 до 20</w:t>
            </w:r>
            <w:r>
              <w:rPr>
                <w:sz w:val="20"/>
              </w:rPr>
            </w:r>
            <w:r>
              <w:rPr>
                <w:sz w:val="20"/>
              </w:rPr>
            </w:r>
          </w:p>
        </w:tc>
        <w:tc>
          <w:tcPr>
            <w:tcW w:w="851" w:type="dxa"/>
            <w:vAlign w:val="top"/>
            <w:textDirection w:val="lrTb"/>
            <w:noWrap w:val="false"/>
          </w:tcPr>
          <w:p>
            <w:pPr>
              <w:pStyle w:val="930"/>
              <w:jc w:val="center"/>
              <w:rPr>
                <w:sz w:val="20"/>
              </w:rPr>
            </w:pPr>
            <w:r>
              <w:rPr>
                <w:sz w:val="20"/>
              </w:rPr>
              <w:t xml:space="preserve">0,0192%</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20 до 50</w:t>
            </w:r>
            <w:r>
              <w:rPr>
                <w:sz w:val="20"/>
              </w:rPr>
            </w:r>
            <w:r>
              <w:rPr>
                <w:sz w:val="20"/>
              </w:rPr>
            </w:r>
          </w:p>
        </w:tc>
        <w:tc>
          <w:tcPr>
            <w:tcW w:w="851" w:type="dxa"/>
            <w:vAlign w:val="top"/>
            <w:textDirection w:val="lrTb"/>
            <w:noWrap w:val="false"/>
          </w:tcPr>
          <w:p>
            <w:pPr>
              <w:pStyle w:val="930"/>
              <w:jc w:val="center"/>
              <w:rPr>
                <w:sz w:val="20"/>
              </w:rPr>
            </w:pPr>
            <w:r>
              <w:rPr>
                <w:sz w:val="20"/>
              </w:rPr>
              <w:t xml:space="preserve">0,0172%</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свыше 50</w:t>
            </w:r>
            <w:r>
              <w:rPr>
                <w:sz w:val="20"/>
              </w:rPr>
            </w:r>
            <w:r>
              <w:rPr>
                <w:sz w:val="20"/>
              </w:rPr>
            </w:r>
          </w:p>
        </w:tc>
        <w:tc>
          <w:tcPr>
            <w:tcW w:w="851" w:type="dxa"/>
            <w:vAlign w:val="top"/>
            <w:textDirection w:val="lrTb"/>
            <w:noWrap w:val="false"/>
          </w:tcPr>
          <w:p>
            <w:pPr>
              <w:pStyle w:val="930"/>
              <w:jc w:val="center"/>
              <w:rPr>
                <w:sz w:val="20"/>
              </w:rPr>
            </w:pPr>
            <w:r>
              <w:rPr>
                <w:sz w:val="20"/>
              </w:rPr>
              <w:t xml:space="preserve">0,016%</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16" w:type="dxa"/>
            <w:vAlign w:val="top"/>
            <w:vMerge w:val="restart"/>
            <w:textDirection w:val="lrTb"/>
            <w:noWrap w:val="false"/>
          </w:tcPr>
          <w:p>
            <w:pPr>
              <w:pStyle w:val="930"/>
              <w:jc w:val="center"/>
              <w:rPr>
                <w:sz w:val="20"/>
              </w:rPr>
            </w:pPr>
            <w:r>
              <w:rPr>
                <w:sz w:val="20"/>
              </w:rPr>
              <w:t xml:space="preserve">9.2.7</w:t>
            </w:r>
            <w:r>
              <w:rPr>
                <w:sz w:val="20"/>
              </w:rPr>
              <w:t xml:space="preserve">.2.</w:t>
            </w:r>
            <w:r>
              <w:rPr>
                <w:sz w:val="20"/>
              </w:rPr>
            </w:r>
            <w:r>
              <w:rPr>
                <w:sz w:val="20"/>
              </w:rPr>
            </w:r>
          </w:p>
        </w:tc>
        <w:tc>
          <w:tcPr>
            <w:tcW w:w="4004" w:type="dxa"/>
            <w:vAlign w:val="top"/>
            <w:vMerge w:val="restart"/>
            <w:textDirection w:val="lrTb"/>
            <w:noWrap w:val="false"/>
          </w:tcPr>
          <w:p>
            <w:pPr>
              <w:pStyle w:val="930"/>
              <w:rPr>
                <w:sz w:val="20"/>
              </w:rPr>
            </w:pPr>
            <w:r>
              <w:rPr>
                <w:sz w:val="20"/>
              </w:rPr>
              <w:t xml:space="preserve">Депозитарный учет акций и  российских депозитарных расписок, выпущенных на территории Российской Федерации  </w:t>
            </w:r>
            <w:r>
              <w:rPr>
                <w:sz w:val="20"/>
              </w:rPr>
            </w:r>
            <w:r>
              <w:rPr>
                <w:sz w:val="20"/>
              </w:rPr>
            </w:r>
          </w:p>
        </w:tc>
        <w:tc>
          <w:tcPr>
            <w:tcW w:w="1134" w:type="dxa"/>
            <w:vAlign w:val="top"/>
            <w:textDirection w:val="lrTb"/>
            <w:noWrap w:val="false"/>
          </w:tcPr>
          <w:p>
            <w:pPr>
              <w:pStyle w:val="930"/>
              <w:jc w:val="center"/>
              <w:rPr>
                <w:sz w:val="20"/>
              </w:rPr>
            </w:pPr>
            <w:r>
              <w:rPr>
                <w:sz w:val="20"/>
              </w:rPr>
              <w:t xml:space="preserve">до 0,5</w:t>
            </w:r>
            <w:r>
              <w:rPr>
                <w:sz w:val="20"/>
              </w:rPr>
            </w:r>
            <w:r>
              <w:rPr>
                <w:sz w:val="20"/>
              </w:rPr>
            </w:r>
          </w:p>
        </w:tc>
        <w:tc>
          <w:tcPr>
            <w:tcW w:w="851" w:type="dxa"/>
            <w:vAlign w:val="top"/>
            <w:textDirection w:val="lrTb"/>
            <w:noWrap w:val="false"/>
          </w:tcPr>
          <w:p>
            <w:pPr>
              <w:pStyle w:val="930"/>
              <w:jc w:val="center"/>
              <w:rPr>
                <w:sz w:val="20"/>
              </w:rPr>
            </w:pPr>
            <w:r>
              <w:rPr>
                <w:sz w:val="20"/>
              </w:rPr>
              <w:t xml:space="preserve">0,019% минимум 30 руб. в месяц</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0,5 до 1</w:t>
            </w:r>
            <w:r>
              <w:rPr>
                <w:sz w:val="20"/>
              </w:rPr>
            </w:r>
            <w:r>
              <w:rPr>
                <w:sz w:val="20"/>
              </w:rPr>
            </w:r>
          </w:p>
        </w:tc>
        <w:tc>
          <w:tcPr>
            <w:tcW w:w="851" w:type="dxa"/>
            <w:vAlign w:val="top"/>
            <w:textDirection w:val="lrTb"/>
            <w:noWrap w:val="false"/>
          </w:tcPr>
          <w:p>
            <w:pPr>
              <w:pStyle w:val="930"/>
              <w:jc w:val="center"/>
              <w:rPr>
                <w:sz w:val="20"/>
              </w:rPr>
            </w:pPr>
            <w:r>
              <w:rPr>
                <w:sz w:val="20"/>
              </w:rPr>
              <w:t xml:space="preserve">0,014%</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от 1 до 5</w:t>
            </w:r>
            <w:r>
              <w:rPr>
                <w:sz w:val="20"/>
              </w:rPr>
            </w:r>
            <w:r>
              <w:rPr>
                <w:sz w:val="20"/>
              </w:rPr>
            </w:r>
          </w:p>
        </w:tc>
        <w:tc>
          <w:tcPr>
            <w:tcW w:w="851" w:type="dxa"/>
            <w:vAlign w:val="top"/>
            <w:textDirection w:val="lrTb"/>
            <w:noWrap w:val="false"/>
          </w:tcPr>
          <w:p>
            <w:pPr>
              <w:pStyle w:val="930"/>
              <w:jc w:val="center"/>
              <w:rPr>
                <w:sz w:val="20"/>
              </w:rPr>
            </w:pPr>
            <w:r>
              <w:rPr>
                <w:sz w:val="20"/>
              </w:rPr>
              <w:t xml:space="preserve">0,013%</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sz w:val="20"/>
              </w:rPr>
            </w:pPr>
            <w:r>
              <w:rPr>
                <w:sz w:val="20"/>
              </w:rPr>
            </w:r>
            <w:r>
              <w:rPr>
                <w:sz w:val="20"/>
              </w:rPr>
            </w:r>
            <w:r>
              <w:rPr>
                <w:sz w:val="20"/>
              </w:rPr>
            </w:r>
          </w:p>
        </w:tc>
        <w:tc>
          <w:tcPr>
            <w:tcW w:w="4004" w:type="dxa"/>
            <w:vAlign w:val="top"/>
            <w:vMerge w:val="continue"/>
            <w:textDirection w:val="lrTb"/>
            <w:noWrap w:val="false"/>
          </w:tcPr>
          <w:p>
            <w:pPr>
              <w:pStyle w:val="930"/>
              <w:rPr>
                <w:sz w:val="20"/>
              </w:rPr>
            </w:pPr>
            <w:r>
              <w:rPr>
                <w:sz w:val="20"/>
              </w:rPr>
            </w:r>
            <w:r>
              <w:rPr>
                <w:sz w:val="20"/>
              </w:rPr>
            </w:r>
            <w:r>
              <w:rPr>
                <w:sz w:val="20"/>
              </w:rPr>
            </w:r>
          </w:p>
        </w:tc>
        <w:tc>
          <w:tcPr>
            <w:tcW w:w="1134" w:type="dxa"/>
            <w:vAlign w:val="top"/>
            <w:textDirection w:val="lrTb"/>
            <w:noWrap w:val="false"/>
          </w:tcPr>
          <w:p>
            <w:pPr>
              <w:pStyle w:val="930"/>
              <w:jc w:val="center"/>
              <w:rPr>
                <w:sz w:val="20"/>
              </w:rPr>
            </w:pPr>
            <w:r>
              <w:rPr>
                <w:sz w:val="20"/>
              </w:rPr>
              <w:t xml:space="preserve">свыше 5</w:t>
            </w:r>
            <w:r>
              <w:rPr>
                <w:sz w:val="20"/>
              </w:rPr>
            </w:r>
            <w:r>
              <w:rPr>
                <w:sz w:val="20"/>
              </w:rPr>
            </w:r>
          </w:p>
        </w:tc>
        <w:tc>
          <w:tcPr>
            <w:tcW w:w="851" w:type="dxa"/>
            <w:vAlign w:val="top"/>
            <w:textDirection w:val="lrTb"/>
            <w:noWrap w:val="false"/>
          </w:tcPr>
          <w:p>
            <w:pPr>
              <w:pStyle w:val="930"/>
              <w:jc w:val="center"/>
              <w:rPr>
                <w:sz w:val="20"/>
              </w:rPr>
            </w:pPr>
            <w:r>
              <w:rPr>
                <w:sz w:val="20"/>
              </w:rPr>
              <w:t xml:space="preserve">0,01%</w:t>
            </w:r>
            <w:r>
              <w:rPr>
                <w:sz w:val="20"/>
              </w:rPr>
            </w:r>
            <w:r>
              <w:rPr>
                <w:sz w:val="20"/>
              </w:rPr>
            </w:r>
          </w:p>
        </w:tc>
        <w:tc>
          <w:tcPr>
            <w:tcW w:w="3543" w:type="dxa"/>
            <w:vAlign w:val="top"/>
            <w:vMerge w:val="continue"/>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w:t>
            </w:r>
            <w:r>
              <w:rPr>
                <w:sz w:val="20"/>
              </w:rPr>
              <w:t xml:space="preserve">7</w:t>
            </w:r>
            <w:r>
              <w:rPr>
                <w:sz w:val="20"/>
              </w:rPr>
              <w:t xml:space="preserve">.3.</w:t>
            </w:r>
            <w:r>
              <w:rPr>
                <w:sz w:val="20"/>
              </w:rPr>
            </w:r>
            <w:r>
              <w:rPr>
                <w:sz w:val="20"/>
              </w:rPr>
            </w:r>
          </w:p>
        </w:tc>
        <w:tc>
          <w:tcPr>
            <w:tcW w:w="4004" w:type="dxa"/>
            <w:vAlign w:val="top"/>
            <w:textDirection w:val="lrTb"/>
            <w:noWrap w:val="false"/>
          </w:tcPr>
          <w:p>
            <w:pPr>
              <w:pStyle w:val="930"/>
              <w:rPr>
                <w:sz w:val="20"/>
              </w:rPr>
            </w:pPr>
            <w:r>
              <w:rPr>
                <w:bCs/>
                <w:sz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0,035% годовых минимум 30 руб. в месяц</w:t>
            </w:r>
            <w:r>
              <w:rPr>
                <w:sz w:val="20"/>
              </w:rPr>
            </w:r>
            <w:r>
              <w:rPr>
                <w:sz w:val="20"/>
              </w:rPr>
            </w:r>
          </w:p>
        </w:tc>
        <w:tc>
          <w:tcPr>
            <w:tcW w:w="3543" w:type="dxa"/>
            <w:vAlign w:val="top"/>
            <w:textDirection w:val="lrTb"/>
            <w:noWrap w:val="false"/>
          </w:tcPr>
          <w:p>
            <w:pPr>
              <w:pStyle w:val="930"/>
              <w:rPr>
                <w:sz w:val="20"/>
              </w:rPr>
            </w:pPr>
            <w:r>
              <w:rPr>
                <w:bCs/>
                <w:sz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w:t>
            </w:r>
            <w:r>
              <w:rPr>
                <w:sz w:val="20"/>
              </w:rPr>
              <w:t xml:space="preserve">7</w:t>
            </w:r>
            <w:r>
              <w:rPr>
                <w:sz w:val="20"/>
              </w:rPr>
              <w:t xml:space="preserve">.</w:t>
            </w:r>
            <w:r>
              <w:rPr>
                <w:sz w:val="20"/>
              </w:rPr>
              <w:t xml:space="preserve">4</w:t>
            </w:r>
            <w:r>
              <w:rPr>
                <w:sz w:val="20"/>
              </w:rPr>
              <w:t xml:space="preserve">.</w:t>
            </w:r>
            <w:r>
              <w:rPr>
                <w:sz w:val="20"/>
              </w:rPr>
            </w:r>
            <w:r>
              <w:rPr>
                <w:sz w:val="20"/>
              </w:rPr>
            </w:r>
          </w:p>
        </w:tc>
        <w:tc>
          <w:tcPr>
            <w:tcW w:w="4004" w:type="dxa"/>
            <w:vAlign w:val="top"/>
            <w:textDirection w:val="lrTb"/>
            <w:noWrap w:val="false"/>
          </w:tcPr>
          <w:p>
            <w:pPr>
              <w:pStyle w:val="930"/>
              <w:rPr>
                <w:bCs/>
                <w:sz w:val="20"/>
              </w:rPr>
            </w:pPr>
            <w:r>
              <w:rPr>
                <w:bCs/>
                <w:sz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rPr>
            </w:r>
            <w:r>
              <w:rPr>
                <w:bCs/>
                <w:sz w:val="20"/>
              </w:rPr>
            </w:r>
          </w:p>
        </w:tc>
        <w:tc>
          <w:tcPr>
            <w:gridSpan w:val="2"/>
            <w:tcW w:w="1985" w:type="dxa"/>
            <w:vAlign w:val="top"/>
            <w:textDirection w:val="lrTb"/>
            <w:noWrap w:val="false"/>
          </w:tcPr>
          <w:p>
            <w:pPr>
              <w:pStyle w:val="930"/>
              <w:jc w:val="center"/>
              <w:rPr>
                <w:sz w:val="20"/>
              </w:rPr>
            </w:pPr>
            <w:r>
              <w:rPr>
                <w:sz w:val="20"/>
              </w:rPr>
              <w:t xml:space="preserve">10</w:t>
            </w:r>
            <w:r>
              <w:rPr>
                <w:sz w:val="20"/>
              </w:rPr>
              <w:t xml:space="preserve">0 руб</w:t>
            </w:r>
            <w:r>
              <w:rPr>
                <w:sz w:val="20"/>
              </w:rPr>
              <w:t xml:space="preserve">.</w:t>
            </w:r>
            <w:r>
              <w:rPr>
                <w:sz w:val="20"/>
              </w:rPr>
              <w:t xml:space="preserve"> в месяц</w:t>
            </w:r>
            <w:r>
              <w:rPr>
                <w:sz w:val="20"/>
              </w:rPr>
            </w:r>
            <w:r>
              <w:rPr>
                <w:sz w:val="20"/>
              </w:rPr>
            </w:r>
          </w:p>
        </w:tc>
        <w:tc>
          <w:tcPr>
            <w:tcW w:w="3543" w:type="dxa"/>
            <w:vAlign w:val="top"/>
            <w:textDirection w:val="lrTb"/>
            <w:noWrap w:val="false"/>
          </w:tcPr>
          <w:p>
            <w:pPr>
              <w:pStyle w:val="930"/>
              <w:rPr>
                <w:bCs/>
                <w:sz w:val="20"/>
              </w:rPr>
            </w:pPr>
            <w:r>
              <w:rPr>
                <w:sz w:val="20"/>
              </w:rPr>
              <w:t xml:space="preserve">В месяц за инвестиционные паи каждого инвестиционного фонда </w:t>
            </w:r>
            <w:r>
              <w:rPr>
                <w:sz w:val="20"/>
              </w:rPr>
              <w:br w:type="textWrapping" w:clear="all"/>
            </w:r>
            <w:r>
              <w:rPr>
                <w:sz w:val="20"/>
              </w:rPr>
              <w:t xml:space="preserve">(вне зависимости </w:t>
            </w:r>
            <w:r>
              <w:rPr>
                <w:sz w:val="20"/>
              </w:rPr>
              <w:br w:type="textWrapping" w:clear="all"/>
            </w:r>
            <w:r>
              <w:rPr>
                <w:sz w:val="20"/>
              </w:rPr>
              <w:t xml:space="preserve">от количества паев)</w:t>
            </w:r>
            <w:r>
              <w:rPr>
                <w:sz w:val="20"/>
              </w:rPr>
              <w:t xml:space="preserve">.</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sz w:val="20"/>
              </w:rPr>
            </w:pPr>
            <w:r>
              <w:rPr>
                <w:sz w:val="20"/>
              </w:rPr>
              <w:t xml:space="preserve">9.2.</w:t>
            </w:r>
            <w:r>
              <w:rPr>
                <w:sz w:val="20"/>
              </w:rPr>
              <w:t xml:space="preserve">7</w:t>
            </w:r>
            <w:r>
              <w:rPr>
                <w:sz w:val="20"/>
              </w:rPr>
              <w:t xml:space="preserve">.</w:t>
            </w:r>
            <w:r>
              <w:rPr>
                <w:sz w:val="20"/>
              </w:rPr>
              <w:t xml:space="preserve">5</w:t>
            </w:r>
            <w:r>
              <w:rPr>
                <w:sz w:val="20"/>
              </w:rPr>
              <w:t xml:space="preserve">.</w:t>
            </w:r>
            <w:r>
              <w:rPr>
                <w:sz w:val="20"/>
              </w:rPr>
            </w:r>
            <w:r>
              <w:rPr>
                <w:sz w:val="20"/>
              </w:rPr>
            </w:r>
          </w:p>
        </w:tc>
        <w:tc>
          <w:tcPr>
            <w:tcW w:w="4004" w:type="dxa"/>
            <w:vAlign w:val="top"/>
            <w:textDirection w:val="lrTb"/>
            <w:noWrap w:val="false"/>
          </w:tcPr>
          <w:p>
            <w:pPr>
              <w:pStyle w:val="930"/>
              <w:rPr>
                <w:bCs/>
                <w:sz w:val="20"/>
              </w:rPr>
            </w:pPr>
            <w:r>
              <w:rPr>
                <w:bCs/>
                <w:sz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rPr>
            </w:r>
            <w:r>
              <w:rPr>
                <w:bCs/>
                <w:sz w:val="20"/>
              </w:rPr>
            </w:r>
          </w:p>
        </w:tc>
        <w:tc>
          <w:tcPr>
            <w:gridSpan w:val="2"/>
            <w:tcW w:w="1985" w:type="dxa"/>
            <w:vAlign w:val="top"/>
            <w:textDirection w:val="lrTb"/>
            <w:noWrap w:val="false"/>
          </w:tcPr>
          <w:p>
            <w:pPr>
              <w:pStyle w:val="930"/>
              <w:jc w:val="center"/>
              <w:rPr>
                <w:sz w:val="20"/>
              </w:rPr>
            </w:pPr>
            <w:r>
              <w:rPr>
                <w:sz w:val="20"/>
              </w:rPr>
              <w:t xml:space="preserve">30 руб</w:t>
            </w:r>
            <w:r>
              <w:rPr>
                <w:sz w:val="20"/>
              </w:rPr>
              <w:t xml:space="preserve">.</w:t>
            </w:r>
            <w:r>
              <w:rPr>
                <w:sz w:val="20"/>
              </w:rPr>
              <w:t xml:space="preserve"> в месяц</w:t>
            </w:r>
            <w:r>
              <w:rPr>
                <w:sz w:val="20"/>
              </w:rPr>
            </w:r>
            <w:r>
              <w:rPr>
                <w:sz w:val="20"/>
              </w:rPr>
            </w:r>
          </w:p>
        </w:tc>
        <w:tc>
          <w:tcPr>
            <w:tcW w:w="3543" w:type="dxa"/>
            <w:vAlign w:val="top"/>
            <w:textDirection w:val="lrTb"/>
            <w:noWrap w:val="false"/>
          </w:tcPr>
          <w:p>
            <w:pPr>
              <w:pStyle w:val="958"/>
              <w:jc w:val="both"/>
              <w:spacing w:before="40" w:after="40"/>
              <w:rPr>
                <w:bCs/>
                <w:color w:val="000000"/>
              </w:rPr>
            </w:pPr>
            <w:r>
              <w:rPr>
                <w:sz w:val="20"/>
                <w:szCs w:val="20"/>
              </w:rPr>
              <w:t xml:space="preserve">В месяц за инвестиционные паи</w:t>
            </w:r>
            <w:r>
              <w:rPr>
                <w:sz w:val="20"/>
                <w:szCs w:val="20"/>
              </w:rPr>
              <w:t xml:space="preserve"> каждого инвестиционного фонда </w:t>
            </w:r>
            <w:r>
              <w:rPr>
                <w:sz w:val="20"/>
                <w:szCs w:val="20"/>
              </w:rPr>
              <w:br w:type="textWrapping" w:clear="all"/>
              <w:t xml:space="preserve">(вне </w:t>
            </w:r>
            <w:r>
              <w:rPr>
                <w:sz w:val="20"/>
                <w:szCs w:val="20"/>
              </w:rPr>
              <w:t xml:space="preserve">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9.3.1.</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Прием сертификатов эмисcионных ценных бумаг</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30 руб. за каждый лист</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9.3.2.</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Выдача сертификатов эмиссионных ценных бумаг</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10 руб. за каждый лист</w:t>
            </w:r>
            <w:r>
              <w:rPr>
                <w:sz w:val="20"/>
              </w:rPr>
            </w:r>
            <w:r>
              <w:rPr>
                <w:sz w:val="20"/>
              </w:rPr>
            </w:r>
          </w:p>
          <w:p>
            <w:pPr>
              <w:pStyle w:val="930"/>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9.3.3.</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30 руб. за каждый лист</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9.3.4.</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Выдача неэмиссионных ценных бумаг</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10 руб. за каждый лист</w:t>
            </w:r>
            <w:r>
              <w:rPr>
                <w:sz w:val="20"/>
              </w:rPr>
            </w:r>
            <w:r>
              <w:rPr>
                <w:sz w:val="20"/>
              </w:rPr>
            </w:r>
          </w:p>
          <w:p>
            <w:pPr>
              <w:pStyle w:val="930"/>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9.4.1.</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Перевод «поставка / получение, свободная от платежа»</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6</w:t>
            </w:r>
            <w:r>
              <w:rPr>
                <w:sz w:val="20"/>
              </w:rPr>
              <w:t xml:space="preserve">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9.4.2.</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Перевод «поставка / получение против платежа» </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7</w:t>
            </w:r>
            <w:r>
              <w:rPr>
                <w:sz w:val="20"/>
              </w:rPr>
              <w:t xml:space="preserve">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9.4.3.</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9.4.4.</w:t>
            </w:r>
            <w:r>
              <w:rPr>
                <w:rFonts w:eastAsia="Arial Unicode MS"/>
                <w:sz w:val="20"/>
              </w:rPr>
            </w:r>
            <w:r>
              <w:rPr>
                <w:rFonts w:eastAsia="Arial Unicode MS"/>
                <w:sz w:val="20"/>
              </w:rPr>
            </w:r>
          </w:p>
        </w:tc>
        <w:tc>
          <w:tcPr>
            <w:shd w:val="clear" w:color="auto" w:fill="ffffff"/>
            <w:tcW w:w="4004" w:type="dxa"/>
            <w:vAlign w:val="top"/>
            <w:textDirection w:val="lrTb"/>
            <w:noWrap w:val="false"/>
          </w:tcPr>
          <w:p>
            <w:pPr>
              <w:pStyle w:val="930"/>
              <w:rPr>
                <w:sz w:val="20"/>
              </w:rPr>
            </w:pPr>
            <w:r>
              <w:rPr>
                <w:sz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600 руб.</w:t>
            </w:r>
            <w:r>
              <w:rPr>
                <w:sz w:val="20"/>
              </w:rPr>
            </w:r>
            <w:r>
              <w:rPr>
                <w:sz w:val="20"/>
              </w:rPr>
            </w:r>
          </w:p>
        </w:tc>
        <w:tc>
          <w:tcPr>
            <w:tcW w:w="3543" w:type="dxa"/>
            <w:vAlign w:val="top"/>
            <w:textDirection w:val="lrTb"/>
            <w:noWrap w:val="false"/>
          </w:tcPr>
          <w:p>
            <w:pPr>
              <w:pStyle w:val="930"/>
              <w:rPr>
                <w:sz w:val="20"/>
              </w:rPr>
            </w:pPr>
            <w:r>
              <w:rPr>
                <w:sz w:val="20"/>
              </w:rPr>
              <w:t xml:space="preserve">Дополнительно взимается в качестве возмещения сумма расходов сторонних организаций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9.4.5.</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Перевод ценных бумаг по </w:t>
            </w:r>
            <w:r>
              <w:rPr>
                <w:sz w:val="20"/>
              </w:rPr>
              <w:t xml:space="preserve">разделам счета депо (по счетам </w:t>
            </w:r>
            <w:r>
              <w:rPr>
                <w:sz w:val="20"/>
              </w:rPr>
              <w:t xml:space="preserve">АО «Россельхозбанк», открытым в других депозитариях)</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100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9.4.6.</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Переводы ценных бумаг по операциям купли-продажи ценных бу</w:t>
            </w:r>
            <w:r>
              <w:rPr>
                <w:sz w:val="20"/>
              </w:rPr>
              <w:t xml:space="preserve">маг, совершенным через брокера </w:t>
            </w:r>
            <w:r>
              <w:rPr>
                <w:sz w:val="20"/>
              </w:rPr>
              <w:t xml:space="preserve">АО «Россельхозбанк»</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9.4.7.</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Изменение места хранения ценных бумаг</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300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9.4.8.</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0,1% от суммы сделки</w:t>
            </w:r>
            <w:r>
              <w:rPr>
                <w:sz w:val="20"/>
              </w:rPr>
            </w:r>
            <w:r>
              <w:rPr>
                <w:sz w:val="20"/>
              </w:rPr>
            </w:r>
          </w:p>
          <w:p>
            <w:pPr>
              <w:pStyle w:val="930"/>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restart"/>
            <w:textDirection w:val="lrTb"/>
            <w:noWrap w:val="false"/>
          </w:tcPr>
          <w:p>
            <w:pPr>
              <w:pStyle w:val="930"/>
              <w:jc w:val="center"/>
              <w:rPr>
                <w:rFonts w:eastAsia="Arial Unicode MS"/>
                <w:sz w:val="20"/>
              </w:rPr>
            </w:pPr>
            <w:r>
              <w:rPr>
                <w:sz w:val="20"/>
              </w:rPr>
              <w:t xml:space="preserve">9.5.1.</w:t>
            </w:r>
            <w:r>
              <w:rPr>
                <w:rFonts w:eastAsia="Arial Unicode MS"/>
                <w:sz w:val="20"/>
              </w:rPr>
            </w:r>
            <w:r>
              <w:rPr>
                <w:rFonts w:eastAsia="Arial Unicode MS"/>
                <w:sz w:val="20"/>
              </w:rPr>
            </w:r>
          </w:p>
        </w:tc>
        <w:tc>
          <w:tcPr>
            <w:tcBorders>
              <w:bottom w:val="none" w:color="000000" w:sz="4" w:space="0"/>
            </w:tcBorders>
            <w:tcW w:w="4004" w:type="dxa"/>
            <w:vAlign w:val="top"/>
            <w:textDirection w:val="lrTb"/>
            <w:noWrap w:val="false"/>
          </w:tcPr>
          <w:p>
            <w:pPr>
              <w:pStyle w:val="930"/>
              <w:rPr>
                <w:sz w:val="20"/>
              </w:rPr>
            </w:pPr>
            <w:r>
              <w:rPr>
                <w:sz w:val="20"/>
              </w:rPr>
              <w:t xml:space="preserve">- блокирование, разблокирование ценных бумаг на счете депо по поручению клиента</w:t>
            </w:r>
            <w:r>
              <w:rPr>
                <w:sz w:val="20"/>
              </w:rPr>
            </w:r>
            <w:r>
              <w:rPr>
                <w:sz w:val="20"/>
              </w:rPr>
            </w:r>
          </w:p>
        </w:tc>
        <w:tc>
          <w:tcPr>
            <w:gridSpan w:val="2"/>
            <w:tcBorders>
              <w:top w:val="none" w:color="000000" w:sz="4" w:space="0"/>
              <w:bottom w:val="none" w:color="000000" w:sz="4" w:space="0"/>
            </w:tcBorders>
            <w:tcW w:w="1985" w:type="dxa"/>
            <w:vAlign w:val="top"/>
            <w:vMerge w:val="restart"/>
            <w:textDirection w:val="lrTb"/>
            <w:noWrap w:val="false"/>
          </w:tcPr>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t xml:space="preserve">3 </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оформление последующего залога ценных бумаг на счете депо/снятие последующего залога ценных бумаг на счете депо</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регистрация уступки прав по договору залога ценных бумаг </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регистрация перехода прав по договору залога ценных бумаг </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vMerge w:val="continue"/>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4004" w:type="dxa"/>
            <w:vAlign w:val="top"/>
            <w:textDirection w:val="lrTb"/>
            <w:noWrap w:val="false"/>
          </w:tcPr>
          <w:p>
            <w:pPr>
              <w:pStyle w:val="930"/>
              <w:rPr>
                <w:sz w:val="20"/>
              </w:rPr>
            </w:pPr>
            <w:r>
              <w:rPr>
                <w:sz w:val="20"/>
              </w:rPr>
              <w:t xml:space="preserve">- административное блокирование/разблокирование ценных бумаг на счете депо</w:t>
            </w:r>
            <w:r>
              <w:rPr>
                <w:sz w:val="20"/>
              </w:rPr>
            </w:r>
            <w:r>
              <w:rPr>
                <w:sz w:val="20"/>
              </w:rPr>
            </w:r>
          </w:p>
        </w:tc>
        <w:tc>
          <w:tcPr>
            <w:gridSpan w:val="2"/>
            <w:tcBorders>
              <w:top w:val="non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rFonts w:eastAsia="Arial Unicode MS"/>
                <w:sz w:val="20"/>
              </w:rPr>
            </w:pPr>
            <w:r>
              <w:rPr>
                <w:sz w:val="20"/>
              </w:rPr>
              <w:t xml:space="preserve">9.6.1.</w:t>
            </w:r>
            <w:r>
              <w:rPr>
                <w:rFonts w:eastAsia="Arial Unicode MS"/>
                <w:sz w:val="20"/>
              </w:rPr>
            </w:r>
            <w:r>
              <w:rPr>
                <w:rFonts w:eastAsia="Arial Unicode MS"/>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Извещение о корпоративных действиях эмитентов</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16" w:type="dxa"/>
            <w:vAlign w:val="top"/>
            <w:textDirection w:val="lrTb"/>
            <w:noWrap w:val="false"/>
          </w:tcPr>
          <w:p>
            <w:pPr>
              <w:pStyle w:val="930"/>
              <w:jc w:val="center"/>
              <w:rPr>
                <w:rFonts w:eastAsia="Arial Unicode MS"/>
                <w:sz w:val="20"/>
              </w:rPr>
            </w:pPr>
            <w:r>
              <w:rPr>
                <w:sz w:val="20"/>
              </w:rPr>
              <w:t xml:space="preserve">9.6.2.</w:t>
            </w:r>
            <w:r>
              <w:rPr>
                <w:rFonts w:eastAsia="Arial Unicode MS"/>
                <w:sz w:val="20"/>
              </w:rPr>
            </w:r>
            <w:r>
              <w:rPr>
                <w:rFonts w:eastAsia="Arial Unicode MS"/>
                <w:sz w:val="20"/>
              </w:rPr>
            </w:r>
          </w:p>
        </w:tc>
        <w:tc>
          <w:tcPr>
            <w:tcBorders>
              <w:bottom w:val="none" w:color="000000" w:sz="4" w:space="0"/>
            </w:tcBorders>
            <w:tcW w:w="4004" w:type="dxa"/>
            <w:vAlign w:val="top"/>
            <w:textDirection w:val="lrTb"/>
            <w:noWrap w:val="false"/>
          </w:tcPr>
          <w:p>
            <w:pPr>
              <w:pStyle w:val="930"/>
              <w:rPr>
                <w:sz w:val="20"/>
              </w:rPr>
            </w:pPr>
            <w:r>
              <w:rPr>
                <w:sz w:val="20"/>
              </w:rPr>
              <w:t xml:space="preserve">Оказание содействия в осуществлении депонентом прав по ценным бумаг</w:t>
            </w:r>
            <w:r>
              <w:rPr>
                <w:sz w:val="20"/>
              </w:rPr>
              <w:t xml:space="preserve">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rPr>
            </w:r>
            <w:r>
              <w:rPr>
                <w:sz w:val="20"/>
              </w:rPr>
            </w:r>
          </w:p>
          <w:p>
            <w:pPr>
              <w:pStyle w:val="930"/>
              <w:rPr>
                <w:sz w:val="20"/>
              </w:rPr>
            </w:pPr>
            <w:r>
              <w:rPr>
                <w:sz w:val="20"/>
              </w:rPr>
            </w:r>
            <w:r>
              <w:rPr>
                <w:sz w:val="20"/>
              </w:rPr>
            </w:r>
            <w:r>
              <w:rPr>
                <w:sz w:val="20"/>
              </w:rPr>
            </w:r>
          </w:p>
        </w:tc>
        <w:tc>
          <w:tcPr>
            <w:gridSpan w:val="2"/>
            <w:tcBorders>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посредством электронного голосования (дистанционное участие)</w:t>
            </w:r>
            <w:r>
              <w:rPr>
                <w:sz w:val="20"/>
              </w:rPr>
            </w:r>
            <w:r>
              <w:rPr>
                <w:sz w:val="20"/>
              </w:rPr>
            </w:r>
          </w:p>
          <w:p>
            <w:pPr>
              <w:pStyle w:val="930"/>
              <w:rPr>
                <w:sz w:val="20"/>
              </w:rPr>
            </w:pPr>
            <w:r>
              <w:rPr>
                <w:sz w:val="20"/>
              </w:rPr>
            </w:r>
            <w:r>
              <w:rPr>
                <w:sz w:val="20"/>
              </w:rPr>
            </w:r>
            <w:r>
              <w:rPr>
                <w:sz w:val="20"/>
              </w:rPr>
            </w:r>
          </w:p>
        </w:tc>
        <w:tc>
          <w:tcPr>
            <w:gridSpan w:val="2"/>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1500 руб.</w:t>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4004" w:type="dxa"/>
            <w:vAlign w:val="top"/>
            <w:textDirection w:val="lrTb"/>
            <w:noWrap w:val="false"/>
          </w:tcPr>
          <w:p>
            <w:pPr>
              <w:pStyle w:val="930"/>
              <w:rPr>
                <w:sz w:val="20"/>
              </w:rPr>
            </w:pPr>
            <w:r>
              <w:rPr>
                <w:sz w:val="20"/>
              </w:rPr>
              <w:t xml:space="preserve">- личное участие в собрании (личная передача документов или информации о волеизъявлении депонента)</w:t>
            </w:r>
            <w:r>
              <w:rPr>
                <w:sz w:val="20"/>
              </w:rPr>
            </w:r>
            <w:r>
              <w:rPr>
                <w:sz w:val="20"/>
              </w:rPr>
            </w:r>
          </w:p>
        </w:tc>
        <w:tc>
          <w:tcPr>
            <w:gridSpan w:val="2"/>
            <w:tcBorders>
              <w:top w:val="none" w:color="000000" w:sz="4" w:space="0"/>
            </w:tcBorders>
            <w:tcW w:w="1985" w:type="dxa"/>
            <w:vAlign w:val="top"/>
            <w:textDirection w:val="lrTb"/>
            <w:noWrap w:val="false"/>
          </w:tcPr>
          <w:p>
            <w:pPr>
              <w:pStyle w:val="930"/>
              <w:jc w:val="center"/>
              <w:rPr>
                <w:sz w:val="20"/>
              </w:rPr>
            </w:pPr>
            <w:r>
              <w:rPr>
                <w:sz w:val="20"/>
              </w:rPr>
              <w:t xml:space="preserve">10 0</w:t>
            </w:r>
            <w:r>
              <w:rPr>
                <w:sz w:val="20"/>
              </w:rPr>
              <w:t xml:space="preserve">00 руб.</w:t>
            </w:r>
            <w:r>
              <w:rPr>
                <w:sz w:val="20"/>
              </w:rPr>
            </w:r>
            <w:r>
              <w:rPr>
                <w:sz w:val="20"/>
              </w:rPr>
            </w:r>
          </w:p>
        </w:tc>
        <w:tc>
          <w:tcPr>
            <w:tcBorders>
              <w:top w:val="none" w:color="000000" w:sz="4" w:space="0"/>
            </w:tcBorders>
            <w:tcW w:w="3543" w:type="dxa"/>
            <w:vAlign w:val="top"/>
            <w:textDirection w:val="lrTb"/>
            <w:noWrap w:val="false"/>
          </w:tcPr>
          <w:p>
            <w:pPr>
              <w:pStyle w:val="930"/>
              <w:rPr>
                <w:sz w:val="20"/>
              </w:rPr>
            </w:pPr>
            <w:r>
              <w:rPr>
                <w:sz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9.6.3.</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Конвертация акций, погашение ценных бумаг и аннулирование выпуска, объединение выпуска, дробление/консолидация выпуска </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50</w:t>
            </w:r>
            <w:r>
              <w:rPr>
                <w:sz w:val="20"/>
              </w:rPr>
              <w:t xml:space="preserve">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9.6.4.</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Конвертация акций в депозитарные расписки (конвертация акций из депозитарных расписок)</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1</w:t>
            </w:r>
            <w:r>
              <w:rPr>
                <w:sz w:val="20"/>
              </w:rPr>
              <w:t xml:space="preserve"> </w:t>
            </w:r>
            <w:r>
              <w:rPr>
                <w:sz w:val="20"/>
              </w:rPr>
              <w:t xml:space="preserve">000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rFonts w:eastAsia="Arial Unicode MS"/>
                <w:sz w:val="20"/>
              </w:rPr>
            </w:pPr>
            <w:r>
              <w:rPr>
                <w:sz w:val="20"/>
              </w:rPr>
              <w:t xml:space="preserve">9.6.5.</w:t>
            </w:r>
            <w:r>
              <w:rPr>
                <w:rFonts w:eastAsia="Arial Unicode MS"/>
                <w:sz w:val="20"/>
              </w:rPr>
            </w:r>
            <w:r>
              <w:rPr>
                <w:rFonts w:eastAsia="Arial Unicode MS"/>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Зачисление сумм доходов на денежные счета, открытые в АО «Россельхозбанк»</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sz w:val="20"/>
              </w:rPr>
            </w:pPr>
            <w:r>
              <w:rPr>
                <w:sz w:val="20"/>
              </w:rPr>
              <w:t xml:space="preserve">9.6.6.</w:t>
            </w:r>
            <w:r>
              <w:rPr>
                <w:sz w:val="20"/>
              </w:rPr>
            </w:r>
            <w:r>
              <w:rPr>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Перевод сумм доходов на счета, открытые в других банках</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43" w:type="dxa"/>
            <w:vAlign w:val="top"/>
            <w:textDirection w:val="lrTb"/>
            <w:noWrap w:val="false"/>
          </w:tcPr>
          <w:p>
            <w:pPr>
              <w:pStyle w:val="930"/>
              <w:rPr>
                <w:sz w:val="20"/>
              </w:rPr>
            </w:pPr>
            <w:r>
              <w:rPr>
                <w:sz w:val="20"/>
              </w:rPr>
              <w:t xml:space="preserve">В случае, если сумма перевода меньше суммы комиссии, то перевод дохода не производится, сумма зачисляется в доход Банка.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 в рублях</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sz w:val="20"/>
              </w:rPr>
            </w:pPr>
            <w:r>
              <w:rPr>
                <w:sz w:val="20"/>
              </w:rPr>
              <w:t xml:space="preserve">350 руб.</w:t>
            </w:r>
            <w:r>
              <w:rPr>
                <w:sz w:val="20"/>
              </w:rPr>
            </w:r>
            <w:r>
              <w:rPr>
                <w:sz w:val="20"/>
              </w:rPr>
            </w:r>
          </w:p>
        </w:tc>
        <w:tc>
          <w:tcPr>
            <w:tcBorders>
              <w:bottom w:val="single" w:color="000000" w:sz="4" w:space="0"/>
            </w:tcBorders>
            <w:tcW w:w="3543" w:type="dxa"/>
            <w:vAlign w:val="top"/>
            <w:textDirection w:val="lrTb"/>
            <w:noWrap w:val="false"/>
          </w:tcPr>
          <w:p>
            <w:pPr>
              <w:pStyle w:val="930"/>
              <w:rPr>
                <w:sz w:val="20"/>
              </w:rPr>
            </w:pPr>
            <w:r>
              <w:rPr>
                <w:sz w:val="20"/>
              </w:rPr>
              <w:t xml:space="preserve">Тариф ЦБ РФ за телеграфный перевод оплачивается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none" w:color="000000" w:sz="4" w:space="0"/>
            </w:tcBorders>
            <w:tcW w:w="4004" w:type="dxa"/>
            <w:vAlign w:val="top"/>
            <w:textDirection w:val="lrTb"/>
            <w:noWrap w:val="false"/>
          </w:tcPr>
          <w:p>
            <w:pPr>
              <w:pStyle w:val="930"/>
              <w:rPr>
                <w:sz w:val="20"/>
              </w:rPr>
            </w:pPr>
            <w:r>
              <w:rPr>
                <w:sz w:val="20"/>
              </w:rPr>
            </w:r>
            <w:r>
              <w:rPr>
                <w:sz w:val="20"/>
              </w:rPr>
            </w:r>
            <w:r>
              <w:rPr>
                <w:sz w:val="20"/>
              </w:rPr>
            </w:r>
          </w:p>
        </w:tc>
        <w:tc>
          <w:tcPr>
            <w:gridSpan w:val="2"/>
            <w:tcBorders>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r>
            <w:r>
              <w:rPr>
                <w:sz w:val="20"/>
              </w:rPr>
            </w:r>
            <w:r>
              <w:rPr>
                <w:sz w:val="20"/>
              </w:rPr>
            </w:r>
          </w:p>
        </w:tc>
        <w:tc>
          <w:tcPr>
            <w:gridSpan w:val="2"/>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4004" w:type="dxa"/>
            <w:vAlign w:val="top"/>
            <w:textDirection w:val="lrTb"/>
            <w:noWrap w:val="false"/>
          </w:tcPr>
          <w:p>
            <w:pPr>
              <w:pStyle w:val="930"/>
              <w:rPr>
                <w:sz w:val="20"/>
              </w:rPr>
            </w:pPr>
            <w:r>
              <w:rPr>
                <w:sz w:val="20"/>
              </w:rPr>
              <w:t xml:space="preserve">- в иностранной валюте</w:t>
            </w:r>
            <w:r>
              <w:rPr>
                <w:sz w:val="20"/>
              </w:rPr>
            </w:r>
            <w:r>
              <w:rPr>
                <w:sz w:val="20"/>
              </w:rPr>
            </w:r>
          </w:p>
        </w:tc>
        <w:tc>
          <w:tcPr>
            <w:gridSpan w:val="2"/>
            <w:tcBorders>
              <w:top w:val="none" w:color="000000" w:sz="4" w:space="0"/>
            </w:tcBorders>
            <w:tcW w:w="1985" w:type="dxa"/>
            <w:vAlign w:val="top"/>
            <w:textDirection w:val="lrTb"/>
            <w:noWrap w:val="false"/>
          </w:tcPr>
          <w:p>
            <w:pPr>
              <w:pStyle w:val="930"/>
              <w:jc w:val="center"/>
              <w:rPr>
                <w:sz w:val="20"/>
              </w:rPr>
            </w:pPr>
            <w:r>
              <w:rPr>
                <w:sz w:val="20"/>
              </w:rPr>
              <w:t xml:space="preserve">2 000 руб.</w:t>
            </w:r>
            <w:r>
              <w:rPr>
                <w:sz w:val="20"/>
              </w:rPr>
            </w:r>
            <w:r>
              <w:rPr>
                <w:sz w:val="20"/>
              </w:rPr>
            </w:r>
          </w:p>
          <w:p>
            <w:pPr>
              <w:pStyle w:val="930"/>
              <w:jc w:val="center"/>
              <w:rPr>
                <w:sz w:val="20"/>
              </w:rPr>
            </w:pPr>
            <w:r>
              <w:rPr>
                <w:sz w:val="20"/>
              </w:rPr>
              <w:t xml:space="preserve">1000 руб. для номинальных держателей</w:t>
            </w:r>
            <w:r>
              <w:rPr>
                <w:sz w:val="20"/>
              </w:rPr>
            </w:r>
            <w:r>
              <w:rPr>
                <w:sz w:val="20"/>
              </w:rPr>
            </w:r>
          </w:p>
        </w:tc>
        <w:tc>
          <w:tcPr>
            <w:tcBorders>
              <w:top w:val="none" w:color="000000" w:sz="4" w:space="0"/>
            </w:tcBorders>
            <w:tcW w:w="3543" w:type="dxa"/>
            <w:vAlign w:val="top"/>
            <w:textDirection w:val="lrTb"/>
            <w:noWrap w:val="false"/>
          </w:tcPr>
          <w:p>
            <w:pPr>
              <w:pStyle w:val="930"/>
              <w:rPr>
                <w:sz w:val="20"/>
              </w:rPr>
            </w:pPr>
            <w:r>
              <w:rPr>
                <w:sz w:val="20"/>
              </w:rPr>
              <w:t xml:space="preserve">Комиссии третьих банков взимаются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9.6.7.</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Изменение условий или аннуляция поручений клиентов на выплату доходов по ценным бумагам</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Комиссия не взимается</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9.7.1.</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Отмена ранее предоставленного поручения</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3</w:t>
            </w:r>
            <w:r>
              <w:rPr>
                <w:sz w:val="20"/>
              </w:rPr>
              <w:t xml:space="preserve">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30"/>
              <w:jc w:val="center"/>
              <w:rPr>
                <w:sz w:val="20"/>
              </w:rPr>
            </w:pPr>
            <w:r>
              <w:rPr>
                <w:sz w:val="20"/>
              </w:rPr>
              <w:t xml:space="preserve">9.8.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9.8.1.</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16" w:type="dxa"/>
            <w:vAlign w:val="top"/>
            <w:textDirection w:val="lrTb"/>
            <w:noWrap w:val="false"/>
          </w:tcPr>
          <w:p>
            <w:pPr>
              <w:pStyle w:val="930"/>
              <w:jc w:val="center"/>
              <w:rPr>
                <w:rFonts w:eastAsia="Arial Unicode MS"/>
                <w:sz w:val="20"/>
              </w:rPr>
            </w:pPr>
            <w:r>
              <w:rPr>
                <w:sz w:val="20"/>
              </w:rPr>
              <w:t xml:space="preserve">9.8.</w:t>
            </w:r>
            <w:r>
              <w:rPr>
                <w:sz w:val="20"/>
              </w:rPr>
              <w:t xml:space="preserve">2</w:t>
            </w:r>
            <w:r>
              <w:rPr>
                <w:sz w:val="20"/>
              </w:rPr>
              <w:t xml:space="preserve">.</w:t>
            </w:r>
            <w:r>
              <w:rPr>
                <w:rFonts w:eastAsia="Arial Unicode MS"/>
                <w:sz w:val="20"/>
              </w:rPr>
            </w:r>
            <w:r>
              <w:rPr>
                <w:rFonts w:eastAsia="Arial Unicode MS"/>
                <w:sz w:val="20"/>
              </w:rPr>
            </w:r>
          </w:p>
        </w:tc>
        <w:tc>
          <w:tcPr>
            <w:tcW w:w="4004" w:type="dxa"/>
            <w:vAlign w:val="top"/>
            <w:textDirection w:val="lrTb"/>
            <w:noWrap w:val="false"/>
          </w:tcPr>
          <w:p>
            <w:pPr>
              <w:pStyle w:val="930"/>
              <w:rPr>
                <w:sz w:val="20"/>
              </w:rPr>
            </w:pPr>
            <w:r>
              <w:rPr>
                <w:sz w:val="20"/>
              </w:rPr>
              <w:t xml:space="preserve">Предоставление расшифровки о расчете комиссии за хранение</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1</w:t>
            </w:r>
            <w:r>
              <w:rPr>
                <w:sz w:val="20"/>
              </w:rPr>
              <w:t xml:space="preserve"> 0</w:t>
            </w:r>
            <w:r>
              <w:rPr>
                <w:sz w:val="20"/>
              </w:rPr>
              <w:t xml:space="preserve">00 руб.</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rFonts w:eastAsia="Arial Unicode MS"/>
                <w:sz w:val="20"/>
              </w:rPr>
            </w:pPr>
            <w:r>
              <w:rPr>
                <w:sz w:val="20"/>
              </w:rPr>
              <w:t xml:space="preserve">9.8.</w:t>
            </w:r>
            <w:r>
              <w:rPr>
                <w:sz w:val="20"/>
              </w:rPr>
              <w:t xml:space="preserve">3</w:t>
            </w:r>
            <w:r>
              <w:rPr>
                <w:sz w:val="20"/>
              </w:rPr>
              <w:t xml:space="preserve">.</w:t>
            </w:r>
            <w:r>
              <w:rPr>
                <w:rFonts w:eastAsia="Arial Unicode MS"/>
                <w:sz w:val="20"/>
              </w:rPr>
            </w:r>
            <w:r>
              <w:rPr>
                <w:rFonts w:eastAsia="Arial Unicode MS"/>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rFonts w:eastAsia="Arial Unicode MS"/>
                <w:sz w:val="20"/>
              </w:rPr>
            </w:pPr>
            <w:r>
              <w:rPr>
                <w:sz w:val="20"/>
              </w:rPr>
              <w:t xml:space="preserve">Комиссия не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16" w:type="dxa"/>
            <w:vAlign w:val="top"/>
            <w:textDirection w:val="lrTb"/>
            <w:noWrap w:val="false"/>
          </w:tcPr>
          <w:p>
            <w:pPr>
              <w:pStyle w:val="930"/>
              <w:jc w:val="center"/>
              <w:rPr>
                <w:rFonts w:eastAsia="Arial Unicode MS"/>
                <w:sz w:val="20"/>
              </w:rPr>
            </w:pPr>
            <w:r>
              <w:rPr>
                <w:sz w:val="20"/>
              </w:rPr>
              <w:t xml:space="preserve">9.8.</w:t>
            </w:r>
            <w:r>
              <w:rPr>
                <w:sz w:val="20"/>
              </w:rPr>
              <w:t xml:space="preserve">4</w:t>
            </w:r>
            <w:r>
              <w:rPr>
                <w:sz w:val="20"/>
              </w:rPr>
              <w:t xml:space="preserve">.</w:t>
            </w:r>
            <w:r>
              <w:rPr>
                <w:rFonts w:eastAsia="Arial Unicode MS"/>
                <w:sz w:val="20"/>
              </w:rPr>
            </w:r>
            <w:r>
              <w:rPr>
                <w:rFonts w:eastAsia="Arial Unicode MS"/>
                <w:sz w:val="20"/>
              </w:rPr>
            </w:r>
          </w:p>
        </w:tc>
        <w:tc>
          <w:tcPr>
            <w:tcBorders>
              <w:bottom w:val="none" w:color="000000" w:sz="4" w:space="0"/>
            </w:tcBorders>
            <w:tcW w:w="4004" w:type="dxa"/>
            <w:vAlign w:val="top"/>
            <w:textDirection w:val="lrTb"/>
            <w:noWrap w:val="false"/>
          </w:tcPr>
          <w:p>
            <w:pPr>
              <w:pStyle w:val="930"/>
              <w:rPr>
                <w:sz w:val="20"/>
              </w:rPr>
            </w:pPr>
            <w:r>
              <w:rPr>
                <w:sz w:val="20"/>
              </w:rPr>
              <w:t xml:space="preserve">Ответы на запросы клиентов, связанные с проведением операций, с выдачей исторических справок, подтверждений и пр.:</w:t>
            </w:r>
            <w:r>
              <w:rPr>
                <w:sz w:val="20"/>
              </w:rPr>
            </w:r>
            <w:r>
              <w:rPr>
                <w:sz w:val="20"/>
              </w:rPr>
            </w:r>
          </w:p>
        </w:tc>
        <w:tc>
          <w:tcPr>
            <w:gridSpan w:val="2"/>
            <w:tcBorders>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bottom w:val="non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за период до 1 года </w:t>
            </w:r>
            <w:r>
              <w:rPr>
                <w:sz w:val="20"/>
              </w:rPr>
            </w:r>
            <w:r>
              <w:rPr>
                <w:sz w:val="20"/>
              </w:rPr>
            </w:r>
          </w:p>
        </w:tc>
        <w:tc>
          <w:tcPr>
            <w:gridSpan w:val="2"/>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1 0</w:t>
            </w:r>
            <w:r>
              <w:rPr>
                <w:sz w:val="20"/>
              </w:rPr>
              <w:t xml:space="preserve">00 руб.</w:t>
            </w:r>
            <w:r>
              <w:rPr>
                <w:sz w:val="20"/>
              </w:rPr>
            </w:r>
            <w:r>
              <w:rPr>
                <w:sz w:val="20"/>
              </w:rPr>
            </w:r>
          </w:p>
        </w:tc>
        <w:tc>
          <w:tcPr>
            <w:tcBorders>
              <w:top w:val="none" w:color="000000" w:sz="4" w:space="0"/>
              <w:bottom w:val="none" w:color="000000" w:sz="4" w:space="0"/>
            </w:tcBorders>
            <w:tcW w:w="35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930"/>
              <w:rPr>
                <w:sz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
              <w:rPr>
                <w:sz w:val="20"/>
                <w:szCs w:val="20"/>
              </w:rPr>
            </w:r>
            <w:r>
              <w:rPr>
                <w:sz w:val="20"/>
              </w:rPr>
            </w:r>
            <w:r>
              <w:rPr>
                <w:sz w:val="20"/>
              </w:rPr>
            </w:r>
            <w:r>
              <w:rPr>
                <w:sz w:val="20"/>
              </w:rPr>
            </w:r>
          </w:p>
          <w:p>
            <w:pPr>
              <w:pStyle w:val="930"/>
              <w:rPr>
                <w:sz w:val="20"/>
              </w:rPr>
            </w:pPr>
            <w:r>
              <w:rPr>
                <w:sz w:val="20"/>
              </w:rPr>
            </w:r>
            <w:r>
              <w:rPr>
                <w:sz w:val="20"/>
              </w:rPr>
            </w:r>
            <w:r>
              <w:rPr>
                <w:sz w:val="20"/>
              </w:rPr>
            </w:r>
          </w:p>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bottom w:val="none" w:color="000000" w:sz="4" w:space="0"/>
            </w:tcBorders>
            <w:tcW w:w="4004" w:type="dxa"/>
            <w:vAlign w:val="top"/>
            <w:textDirection w:val="lrTb"/>
            <w:noWrap w:val="false"/>
          </w:tcPr>
          <w:p>
            <w:pPr>
              <w:pStyle w:val="930"/>
              <w:rPr>
                <w:sz w:val="20"/>
              </w:rPr>
            </w:pPr>
            <w:r>
              <w:rPr>
                <w:sz w:val="20"/>
              </w:rPr>
              <w:t xml:space="preserve">- за период от 1 года (включительно) до 3-х лет (включительно)</w:t>
            </w:r>
            <w:r>
              <w:rPr>
                <w:sz w:val="20"/>
              </w:rPr>
            </w:r>
            <w:r>
              <w:rPr>
                <w:sz w:val="20"/>
              </w:rPr>
            </w:r>
          </w:p>
        </w:tc>
        <w:tc>
          <w:tcPr>
            <w:gridSpan w:val="2"/>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3</w:t>
            </w:r>
            <w:r>
              <w:rPr>
                <w:sz w:val="20"/>
              </w:rPr>
              <w:t xml:space="preserve"> </w:t>
            </w:r>
            <w:r>
              <w:rPr>
                <w:sz w:val="20"/>
              </w:rPr>
              <w:t xml:space="preserve">000 руб.</w:t>
            </w:r>
            <w:r>
              <w:rPr>
                <w:sz w:val="20"/>
              </w:rPr>
            </w:r>
            <w:r>
              <w:rPr>
                <w:sz w:val="20"/>
              </w:rPr>
            </w:r>
          </w:p>
        </w:tc>
        <w:tc>
          <w:tcPr>
            <w:tcBorders>
              <w:top w:val="none" w:color="000000" w:sz="4" w:space="0"/>
              <w:bottom w:val="non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16"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none" w:color="000000" w:sz="4" w:space="0"/>
            </w:tcBorders>
            <w:tcW w:w="4004" w:type="dxa"/>
            <w:vAlign w:val="top"/>
            <w:textDirection w:val="lrTb"/>
            <w:noWrap w:val="false"/>
          </w:tcPr>
          <w:p>
            <w:pPr>
              <w:pStyle w:val="930"/>
              <w:rPr>
                <w:sz w:val="20"/>
              </w:rPr>
            </w:pPr>
            <w:r>
              <w:rPr>
                <w:sz w:val="20"/>
              </w:rPr>
              <w:t xml:space="preserve">- за период более 3-х лет </w:t>
            </w:r>
            <w:r>
              <w:rPr>
                <w:sz w:val="20"/>
              </w:rPr>
            </w:r>
            <w:r>
              <w:rPr>
                <w:sz w:val="20"/>
              </w:rPr>
            </w:r>
          </w:p>
        </w:tc>
        <w:tc>
          <w:tcPr>
            <w:gridSpan w:val="2"/>
            <w:tcBorders>
              <w:top w:val="none" w:color="000000" w:sz="4" w:space="0"/>
            </w:tcBorders>
            <w:tcW w:w="1985" w:type="dxa"/>
            <w:vAlign w:val="top"/>
            <w:textDirection w:val="lrTb"/>
            <w:noWrap w:val="false"/>
          </w:tcPr>
          <w:p>
            <w:pPr>
              <w:pStyle w:val="930"/>
              <w:jc w:val="center"/>
              <w:rPr>
                <w:sz w:val="20"/>
              </w:rPr>
            </w:pPr>
            <w:r>
              <w:rPr>
                <w:sz w:val="20"/>
              </w:rPr>
              <w:t xml:space="preserve">5</w:t>
            </w:r>
            <w:r>
              <w:rPr>
                <w:sz w:val="20"/>
              </w:rPr>
              <w:t xml:space="preserve"> 0</w:t>
            </w:r>
            <w:r>
              <w:rPr>
                <w:sz w:val="20"/>
              </w:rPr>
              <w:t xml:space="preserve">00 руб.</w:t>
            </w:r>
            <w:r>
              <w:rPr>
                <w:sz w:val="20"/>
              </w:rPr>
            </w:r>
            <w:r>
              <w:rPr>
                <w:sz w:val="20"/>
              </w:rPr>
            </w:r>
          </w:p>
        </w:tc>
        <w:tc>
          <w:tcPr>
            <w:tcBorders>
              <w:top w:val="non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16" w:type="dxa"/>
            <w:vAlign w:val="top"/>
            <w:textDirection w:val="lrTb"/>
            <w:noWrap w:val="false"/>
          </w:tcPr>
          <w:p>
            <w:pPr>
              <w:pStyle w:val="930"/>
              <w:jc w:val="center"/>
              <w:rPr>
                <w:rFonts w:eastAsia="Arial Unicode MS"/>
                <w:sz w:val="20"/>
              </w:rPr>
            </w:pPr>
            <w:r>
              <w:rPr>
                <w:sz w:val="20"/>
              </w:rPr>
              <w:t xml:space="preserve">9.8.</w:t>
            </w:r>
            <w:r>
              <w:rPr>
                <w:sz w:val="20"/>
              </w:rPr>
              <w:t xml:space="preserve">5</w:t>
            </w:r>
            <w:r>
              <w:rPr>
                <w:sz w:val="20"/>
              </w:rPr>
              <w:t xml:space="preserve">.</w:t>
            </w:r>
            <w:r>
              <w:rPr>
                <w:rFonts w:eastAsia="Arial Unicode MS"/>
                <w:sz w:val="20"/>
              </w:rPr>
            </w:r>
            <w:r>
              <w:rPr>
                <w:rFonts w:eastAsia="Arial Unicode MS"/>
                <w:sz w:val="20"/>
              </w:rPr>
            </w:r>
          </w:p>
        </w:tc>
        <w:tc>
          <w:tcPr>
            <w:tcBorders>
              <w:bottom w:val="single" w:color="000000" w:sz="4" w:space="0"/>
            </w:tcBorders>
            <w:tcW w:w="4004" w:type="dxa"/>
            <w:vAlign w:val="top"/>
            <w:textDirection w:val="lrTb"/>
            <w:noWrap w:val="false"/>
          </w:tcPr>
          <w:p>
            <w:pPr>
              <w:pStyle w:val="930"/>
              <w:rPr>
                <w:sz w:val="20"/>
              </w:rPr>
            </w:pPr>
            <w:r>
              <w:rPr>
                <w:sz w:val="20"/>
              </w:rPr>
              <w:t xml:space="preserve">Ответ на аудиторский запрос по счету депо Депонента</w:t>
            </w:r>
            <w:r>
              <w:rPr>
                <w:sz w:val="20"/>
              </w:rPr>
            </w:r>
            <w:r>
              <w:rPr>
                <w:sz w:val="20"/>
              </w:rPr>
            </w:r>
          </w:p>
        </w:tc>
        <w:tc>
          <w:tcPr>
            <w:gridSpan w:val="2"/>
            <w:tcBorders>
              <w:bottom w:val="single" w:color="000000" w:sz="4" w:space="0"/>
            </w:tcBorders>
            <w:tcW w:w="1985" w:type="dxa"/>
            <w:vAlign w:val="top"/>
            <w:textDirection w:val="lrTb"/>
            <w:noWrap w:val="false"/>
          </w:tcPr>
          <w:p>
            <w:pPr>
              <w:pStyle w:val="930"/>
              <w:jc w:val="center"/>
              <w:rPr>
                <w:sz w:val="20"/>
              </w:rPr>
            </w:pPr>
            <w:r>
              <w:rPr>
                <w:sz w:val="20"/>
              </w:rPr>
              <w:t xml:space="preserve">3 0</w:t>
            </w:r>
            <w:r>
              <w:rPr>
                <w:sz w:val="20"/>
              </w:rPr>
              <w:t xml:space="preserve">00 руб.</w:t>
            </w:r>
            <w:r>
              <w:rPr>
                <w:sz w:val="20"/>
              </w:rPr>
            </w:r>
            <w:r>
              <w:rPr>
                <w:sz w:val="20"/>
              </w:rPr>
            </w:r>
          </w:p>
        </w:tc>
        <w:tc>
          <w:tcPr>
            <w:tcBorders>
              <w:bottom w:val="single" w:color="000000" w:sz="4" w:space="0"/>
            </w:tcBorders>
            <w:tcW w:w="354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16" w:type="dxa"/>
            <w:vAlign w:val="top"/>
            <w:textDirection w:val="lrTb"/>
            <w:noWrap w:val="false"/>
          </w:tcPr>
          <w:p>
            <w:pPr>
              <w:pStyle w:val="930"/>
              <w:jc w:val="center"/>
              <w:rPr>
                <w:sz w:val="20"/>
              </w:rPr>
            </w:pPr>
            <w:r>
              <w:rPr>
                <w:sz w:val="20"/>
              </w:rPr>
              <w:t xml:space="preserve">9.8.6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004" w:type="dxa"/>
            <w:vAlign w:val="top"/>
            <w:textDirection w:val="lrTb"/>
            <w:noWrap w:val="false"/>
          </w:tcPr>
          <w:p>
            <w:pPr>
              <w:pStyle w:val="930"/>
              <w:rPr>
                <w:sz w:val="20"/>
              </w:rPr>
            </w:pPr>
            <w:r>
              <w:rPr>
                <w:sz w:val="20"/>
              </w:rPr>
              <w:t xml:space="preserve">Предоставление копий поручений, приложений, договоров и др. документов (за исключением документов, указанных в п.9.8.7 Тарифов) по запросу Депонента</w:t>
            </w:r>
            <w:r>
              <w:rPr>
                <w:sz w:val="20"/>
              </w:rPr>
            </w:r>
            <w:r>
              <w:rPr>
                <w:sz w:val="20"/>
              </w:rPr>
            </w:r>
          </w:p>
        </w:tc>
        <w:tc>
          <w:tcPr>
            <w:gridSpan w:val="2"/>
            <w:tcBorders>
              <w:top w:val="single" w:color="000000" w:sz="4" w:space="0"/>
              <w:left w:val="single" w:color="000000" w:sz="4" w:space="0"/>
              <w:bottom w:val="single" w:color="000000" w:sz="4" w:space="0"/>
            </w:tcBorders>
            <w:tcW w:w="1985" w:type="dxa"/>
            <w:vAlign w:val="top"/>
            <w:textDirection w:val="lrTb"/>
            <w:noWrap w:val="false"/>
          </w:tcPr>
          <w:p>
            <w:pPr>
              <w:pStyle w:val="930"/>
              <w:jc w:val="center"/>
              <w:rPr>
                <w:sz w:val="20"/>
              </w:rPr>
            </w:pPr>
            <w:r>
              <w:rPr>
                <w:sz w:val="20"/>
              </w:rPr>
              <w:t xml:space="preserve">На бумажном носителе - 100 руб. за лист</w:t>
            </w:r>
            <w:r>
              <w:rPr>
                <w:sz w:val="20"/>
              </w:rPr>
              <w:t xml:space="preserve">.</w:t>
            </w:r>
            <w:r>
              <w:rPr>
                <w:sz w:val="20"/>
              </w:rPr>
            </w:r>
            <w:r>
              <w:rPr>
                <w:sz w:val="20"/>
              </w:rPr>
            </w:r>
          </w:p>
        </w:tc>
        <w:tc>
          <w:tcPr>
            <w:tcBorders>
              <w:top w:val="single" w:color="000000" w:sz="4" w:space="0"/>
              <w:bottom w:val="single" w:color="000000" w:sz="4" w:space="0"/>
              <w:right w:val="single" w:color="000000" w:sz="4" w:space="0"/>
            </w:tcBorders>
            <w:tcW w:w="3543" w:type="dxa"/>
            <w:vAlign w:val="top"/>
            <w:textDirection w:val="lrTb"/>
            <w:noWrap w:val="false"/>
          </w:tcPr>
          <w:p>
            <w:pPr>
              <w:pStyle w:val="930"/>
              <w:rPr>
                <w:sz w:val="20"/>
              </w:rPr>
            </w:pPr>
            <w:r>
              <w:rPr>
                <w:sz w:val="20"/>
              </w:rPr>
            </w:r>
            <w:r>
              <w:rPr>
                <w:sz w:val="20"/>
              </w:rPr>
            </w:r>
            <w:r>
              <w:rPr>
                <w:sz w:val="20"/>
              </w:rPr>
            </w:r>
          </w:p>
        </w:tc>
      </w:tr>
    </w:tbl>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6"/>
        <w:gridCol w:w="4004"/>
        <w:gridCol w:w="1134"/>
        <w:gridCol w:w="851"/>
        <w:gridCol w:w="3543"/>
      </w:tblGrid>
      <w:tr>
        <w:tblPrEx/>
        <w:trPr>
          <w:trHeight w:val="227"/>
        </w:trPr>
        <w:tc>
          <w:tcPr>
            <w:tcW w:w="816" w:type="dxa"/>
            <w:vAlign w:val="top"/>
            <w:textDirection w:val="lrTb"/>
            <w:noWrap w:val="false"/>
          </w:tcPr>
          <w:p>
            <w:pPr>
              <w:pStyle w:val="930"/>
              <w:jc w:val="center"/>
              <w:rPr>
                <w:sz w:val="20"/>
              </w:rPr>
            </w:pPr>
            <w:r>
              <w:rPr>
                <w:sz w:val="20"/>
              </w:rPr>
              <w:t xml:space="preserve">9.8.7</w:t>
            </w:r>
            <w:r>
              <w:rPr>
                <w:sz w:val="20"/>
              </w:rPr>
              <w:t xml:space="preserve">.</w:t>
            </w:r>
            <w:r>
              <w:rPr>
                <w:sz w:val="20"/>
              </w:rPr>
            </w:r>
            <w:r>
              <w:rPr>
                <w:sz w:val="20"/>
              </w:rPr>
            </w:r>
          </w:p>
        </w:tc>
        <w:tc>
          <w:tcPr>
            <w:tcW w:w="4004" w:type="dxa"/>
            <w:vAlign w:val="top"/>
            <w:textDirection w:val="lrTb"/>
            <w:noWrap w:val="false"/>
          </w:tcPr>
          <w:p>
            <w:pPr>
              <w:pStyle w:val="930"/>
              <w:rPr>
                <w:sz w:val="20"/>
              </w:rPr>
            </w:pPr>
            <w:r>
              <w:rPr>
                <w:sz w:val="20"/>
              </w:rPr>
              <w:t xml:space="preserve">Предоставление отчетов и выписок со счета депо по запросу Депонента (за исключением документов, указанных в п.п. 9.8.1, 9.8.4 Тарифов)</w:t>
            </w:r>
            <w:r>
              <w:rPr>
                <w:sz w:val="20"/>
              </w:rPr>
            </w:r>
            <w:r>
              <w:rPr>
                <w:sz w:val="20"/>
              </w:rPr>
            </w:r>
          </w:p>
        </w:tc>
        <w:tc>
          <w:tcPr>
            <w:gridSpan w:val="2"/>
            <w:tcW w:w="1985" w:type="dxa"/>
            <w:vAlign w:val="top"/>
            <w:textDirection w:val="lrTb"/>
            <w:noWrap w:val="false"/>
          </w:tcPr>
          <w:p>
            <w:pPr>
              <w:pStyle w:val="930"/>
              <w:jc w:val="center"/>
              <w:rPr>
                <w:sz w:val="20"/>
              </w:rPr>
            </w:pPr>
            <w:r>
              <w:rPr>
                <w:sz w:val="20"/>
              </w:rPr>
              <w:t xml:space="preserve">На бумажном носителе - 150 руб. за документ (без учета количества листов)</w:t>
            </w:r>
            <w:r>
              <w:rPr>
                <w:sz w:val="20"/>
              </w:rPr>
              <w:t xml:space="preserve">.</w:t>
            </w:r>
            <w:r>
              <w:rPr>
                <w:sz w:val="20"/>
              </w:rPr>
            </w:r>
            <w:r>
              <w:rPr>
                <w:sz w:val="20"/>
              </w:rPr>
            </w:r>
          </w:p>
        </w:tc>
        <w:tc>
          <w:tcPr>
            <w:tcW w:w="3543" w:type="dxa"/>
            <w:vAlign w:val="top"/>
            <w:textDirection w:val="lrTb"/>
            <w:noWrap w:val="false"/>
          </w:tcPr>
          <w:p>
            <w:pPr>
              <w:pStyle w:val="930"/>
              <w:rPr>
                <w:sz w:val="20"/>
              </w:rPr>
            </w:pPr>
            <w:r>
              <w:rPr>
                <w:sz w:val="20"/>
              </w:rPr>
            </w:r>
            <w:r>
              <w:rPr>
                <w:sz w:val="20"/>
              </w:rPr>
            </w:r>
            <w:r>
              <w:rPr>
                <w:sz w:val="20"/>
              </w:rPr>
            </w:r>
          </w:p>
        </w:tc>
      </w:tr>
    </w:tbl>
    <w:p>
      <w:pPr>
        <w:pStyle w:val="930"/>
      </w:pPr>
      <w:r>
        <w:br w:type="page" w:clear="all"/>
      </w:r>
      <w:r/>
    </w:p>
    <w:p>
      <w:pPr>
        <w:pStyle w:val="934"/>
      </w:pPr>
      <w:r>
        <w:t xml:space="preserve">10. Услуги платежного агента (при обслуживании эмитентов облигаций)</w:t>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5"/>
        <w:gridCol w:w="3995"/>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825" w:type="dxa"/>
            <w:vAlign w:val="top"/>
            <w:textDirection w:val="lrTb"/>
            <w:noWrap w:val="false"/>
          </w:tcPr>
          <w:p>
            <w:pPr>
              <w:pStyle w:val="930"/>
              <w:jc w:val="center"/>
              <w:rPr>
                <w:b/>
                <w:sz w:val="20"/>
              </w:rPr>
            </w:pPr>
            <w:r>
              <w:rPr>
                <w:b/>
                <w:sz w:val="20"/>
              </w:rPr>
              <w:t xml:space="preserve">№ п/п</w:t>
            </w:r>
            <w:r>
              <w:rPr>
                <w:b/>
                <w:sz w:val="20"/>
              </w:rPr>
            </w:r>
            <w:r>
              <w:rPr>
                <w:b/>
                <w:sz w:val="20"/>
              </w:rPr>
            </w:r>
          </w:p>
        </w:tc>
        <w:tc>
          <w:tcPr>
            <w:tcBorders>
              <w:bottom w:val="single" w:color="000000" w:sz="4" w:space="0"/>
            </w:tcBorders>
            <w:tcW w:w="3995"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Borders>
              <w:bottom w:val="single" w:color="000000" w:sz="4" w:space="0"/>
            </w:tcBorders>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Borders>
              <w:bottom w:val="single" w:color="000000" w:sz="4" w:space="0"/>
            </w:tcBorders>
            <w:tcW w:w="3543"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825" w:type="dxa"/>
            <w:vAlign w:val="top"/>
            <w:textDirection w:val="lrTb"/>
            <w:noWrap w:val="false"/>
          </w:tcPr>
          <w:p>
            <w:pPr>
              <w:pStyle w:val="930"/>
              <w:jc w:val="center"/>
              <w:rPr>
                <w:sz w:val="20"/>
              </w:rPr>
            </w:pPr>
            <w:r>
              <w:rPr>
                <w:sz w:val="20"/>
              </w:rPr>
              <w:t xml:space="preserve">10.1.</w:t>
            </w:r>
            <w:r>
              <w:rPr>
                <w:sz w:val="20"/>
              </w:rPr>
            </w:r>
            <w:r>
              <w:rPr>
                <w:sz w:val="20"/>
              </w:rPr>
            </w:r>
          </w:p>
        </w:tc>
        <w:tc>
          <w:tcPr>
            <w:tcBorders>
              <w:bottom w:val="single" w:color="000000" w:sz="4" w:space="0"/>
            </w:tcBorders>
            <w:tcW w:w="3995" w:type="dxa"/>
            <w:vAlign w:val="top"/>
            <w:textDirection w:val="lrTb"/>
            <w:noWrap w:val="false"/>
          </w:tcPr>
          <w:p>
            <w:pPr>
              <w:pStyle w:val="930"/>
              <w:rPr>
                <w:sz w:val="20"/>
              </w:rPr>
            </w:pPr>
            <w:r>
              <w:rPr>
                <w:sz w:val="20"/>
              </w:rPr>
              <w:t xml:space="preserve">Ставки вознаграждения по видам о</w:t>
            </w:r>
            <w:r>
              <w:rPr>
                <w:sz w:val="20"/>
              </w:rPr>
              <w:t xml:space="preserve">блигаций</w:t>
            </w:r>
            <w:r>
              <w:rPr>
                <w:sz w:val="20"/>
              </w:rPr>
              <w:t xml:space="preserve"> </w:t>
            </w:r>
            <w:r>
              <w:rPr>
                <w:sz w:val="20"/>
              </w:rPr>
              <w:t xml:space="preserve">(в процентах от суммы к распределению)</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t xml:space="preserve">Ставка вознаграждения (% от суммы к распределению)</w:t>
            </w:r>
            <w:r>
              <w:rPr>
                <w:sz w:val="20"/>
              </w:rPr>
            </w:r>
            <w:r>
              <w:rPr>
                <w:sz w:val="20"/>
              </w:rPr>
            </w:r>
          </w:p>
        </w:tc>
        <w:tc>
          <w:tcPr>
            <w:tcBorders>
              <w:bottom w:val="single" w:color="000000" w:sz="4" w:space="0"/>
            </w:tcBorders>
            <w:tcW w:w="3543" w:type="dxa"/>
            <w:vAlign w:val="top"/>
            <w:textDirection w:val="lrTb"/>
            <w:noWrap w:val="false"/>
          </w:tcPr>
          <w:p>
            <w:pPr>
              <w:pStyle w:val="930"/>
              <w:jc w:val="center"/>
              <w:rPr>
                <w:b/>
                <w:sz w:val="20"/>
              </w:rPr>
            </w:pPr>
            <w:r>
              <w:rPr>
                <w:b/>
                <w:sz w:val="20"/>
              </w:rPr>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gridSpan w:val="3"/>
            <w:tcBorders>
              <w:bottom w:val="single" w:color="000000" w:sz="4" w:space="0"/>
            </w:tcBorders>
            <w:tcW w:w="6805" w:type="dxa"/>
            <w:vAlign w:val="top"/>
            <w:textDirection w:val="lrTb"/>
            <w:noWrap w:val="false"/>
          </w:tcPr>
          <w:p>
            <w:pPr>
              <w:pStyle w:val="930"/>
              <w:jc w:val="center"/>
              <w:rPr>
                <w:sz w:val="20"/>
              </w:rPr>
            </w:pPr>
            <w:r>
              <w:rPr>
                <w:b/>
                <w:sz w:val="20"/>
              </w:rPr>
              <w:t xml:space="preserve">Величина суммы к распределению</w:t>
            </w:r>
            <w:r>
              <w:rPr>
                <w:sz w:val="20"/>
                <w:vertAlign w:val="superscript"/>
              </w:rPr>
              <w:t xml:space="preserve">5</w:t>
            </w:r>
            <w:r>
              <w:rPr>
                <w:sz w:val="20"/>
              </w:rPr>
            </w:r>
            <w:r>
              <w:rPr>
                <w:sz w:val="20"/>
              </w:rPr>
            </w:r>
          </w:p>
        </w:tc>
        <w:tc>
          <w:tcPr>
            <w:tcBorders>
              <w:bottom w:val="single" w:color="000000" w:sz="4" w:space="0"/>
            </w:tcBorders>
            <w:tcW w:w="3543" w:type="dxa"/>
            <w:vAlign w:val="top"/>
            <w:textDirection w:val="lrTb"/>
            <w:noWrap w:val="false"/>
          </w:tcPr>
          <w:p>
            <w:pPr>
              <w:pStyle w:val="930"/>
              <w:jc w:val="center"/>
              <w:rPr>
                <w:b/>
                <w:sz w:val="20"/>
              </w:rPr>
            </w:pPr>
            <w:r>
              <w:rPr>
                <w:b/>
                <w:sz w:val="20"/>
              </w:rPr>
            </w:r>
            <w:r>
              <w:rPr>
                <w:b/>
                <w:sz w:val="20"/>
              </w:rPr>
            </w:r>
            <w:r>
              <w:rPr>
                <w:b/>
                <w:sz w:val="20"/>
              </w:rPr>
            </w:r>
          </w:p>
        </w:tc>
      </w:tr>
      <w:tr>
        <w:tblPrEx/>
        <w:trPr>
          <w:trHeight w:val="227"/>
        </w:trPr>
        <w:tc>
          <w:tcPr>
            <w:tcBorders>
              <w:top w:val="single" w:color="000000" w:sz="4" w:space="0"/>
              <w:left w:val="single" w:color="000000" w:sz="4" w:space="0"/>
              <w:right w:val="single" w:color="000000" w:sz="4" w:space="0"/>
            </w:tcBorders>
            <w:tcW w:w="825" w:type="dxa"/>
            <w:vAlign w:val="top"/>
            <w:textDirection w:val="lrTb"/>
            <w:noWrap w:val="false"/>
          </w:tcPr>
          <w:p>
            <w:pPr>
              <w:pStyle w:val="930"/>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995" w:type="dxa"/>
            <w:vAlign w:val="top"/>
            <w:textDirection w:val="lrTb"/>
            <w:noWrap w:val="false"/>
          </w:tcPr>
          <w:p>
            <w:pPr>
              <w:pStyle w:val="93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930"/>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rPr>
          <w:trHeight w:val="227"/>
        </w:trPr>
        <w:tc>
          <w:tcPr>
            <w:tcBorders>
              <w:left w:val="single" w:color="000000" w:sz="4" w:space="0"/>
              <w:right w:val="single" w:color="000000" w:sz="4" w:space="0"/>
            </w:tcBorders>
            <w:tcW w:w="825" w:type="dxa"/>
            <w:vAlign w:val="top"/>
            <w:textDirection w:val="lrTb"/>
            <w:noWrap w:val="false"/>
          </w:tcPr>
          <w:p>
            <w:pPr>
              <w:pStyle w:val="930"/>
              <w:jc w:val="center"/>
              <w:rPr>
                <w:sz w:val="20"/>
              </w:rPr>
            </w:pPr>
            <w:r>
              <w:rPr>
                <w:sz w:val="20"/>
              </w:rPr>
            </w:r>
            <w:r>
              <w:rPr>
                <w:sz w:val="20"/>
              </w:rPr>
            </w:r>
            <w:r>
              <w:rPr>
                <w:sz w:val="20"/>
              </w:rPr>
            </w:r>
          </w:p>
        </w:tc>
        <w:tc>
          <w:tcPr>
            <w:tcBorders>
              <w:left w:val="single" w:color="000000" w:sz="4" w:space="0"/>
              <w:right w:val="single" w:color="000000" w:sz="4" w:space="0"/>
            </w:tcBorders>
            <w:tcW w:w="3995" w:type="dxa"/>
            <w:vAlign w:val="top"/>
            <w:textDirection w:val="lrTb"/>
            <w:noWrap w:val="false"/>
          </w:tcPr>
          <w:p>
            <w:pPr>
              <w:pStyle w:val="930"/>
              <w:rPr>
                <w:sz w:val="20"/>
              </w:rPr>
            </w:pPr>
            <w:r>
              <w:rPr>
                <w:sz w:val="20"/>
              </w:rPr>
            </w:r>
            <w:r>
              <w:rPr>
                <w:sz w:val="20"/>
              </w:rPr>
            </w:r>
            <w:r>
              <w:rPr>
                <w:sz w:val="20"/>
              </w:rPr>
            </w:r>
          </w:p>
        </w:tc>
        <w:tc>
          <w:tcPr>
            <w:tcBorders>
              <w:left w:val="single" w:color="000000" w:sz="4" w:space="0"/>
              <w:right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left w:val="single" w:color="000000" w:sz="4" w:space="0"/>
              <w:bottom w:val="single" w:color="000000" w:sz="4" w:space="0"/>
            </w:tcBorders>
            <w:tcW w:w="3543" w:type="dxa"/>
            <w:vAlign w:val="top"/>
            <w:vMerge w:val="restart"/>
            <w:textDirection w:val="lrTb"/>
            <w:noWrap w:val="false"/>
          </w:tcPr>
          <w:p>
            <w:pPr>
              <w:pStyle w:val="930"/>
              <w:rPr>
                <w:sz w:val="20"/>
              </w:rPr>
            </w:pPr>
            <w:r>
              <w:rPr>
                <w:sz w:val="20"/>
              </w:rPr>
              <w:t xml:space="preserve">Вознаграждение Банка без учета НДС определяется по каждой выплате по выпуску облигаций.</w:t>
            </w:r>
            <w:r>
              <w:rPr>
                <w:sz w:val="20"/>
              </w:rPr>
            </w:r>
            <w:r>
              <w:rPr>
                <w:sz w:val="20"/>
              </w:rPr>
            </w:r>
          </w:p>
          <w:p>
            <w:pPr>
              <w:pStyle w:val="930"/>
              <w:rPr>
                <w:rFonts w:eastAsia="Arial Unicode MS"/>
                <w:sz w:val="20"/>
              </w:rPr>
            </w:pPr>
            <w:r>
              <w:rPr>
                <w:sz w:val="20"/>
              </w:rPr>
              <w:t xml:space="preserve">Ставка вознаграждения Банка указана в процентах за одно перечисление, осуществляемое Банком по поручению эмитента по выпуску облигаций в соответствии с заключенным договором платежного агента. НДС взимается дополнительно</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bottom w:val="none" w:color="000000" w:sz="4" w:space="0"/>
            </w:tcBorders>
            <w:tcW w:w="825" w:type="dxa"/>
            <w:vAlign w:val="top"/>
            <w:vMerge w:val="restart"/>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rFonts w:eastAsia="Arial Unicode MS"/>
                <w:b/>
                <w:sz w:val="20"/>
              </w:rPr>
            </w:pPr>
            <w:r>
              <w:rPr>
                <w:b/>
                <w:sz w:val="20"/>
              </w:rPr>
              <w:t xml:space="preserve">До 5 млн. руб.</w:t>
            </w:r>
            <w:r>
              <w:rPr>
                <w:rFonts w:eastAsia="Arial Unicode MS"/>
                <w:b/>
                <w:sz w:val="20"/>
              </w:rPr>
            </w:r>
            <w:r>
              <w:rPr>
                <w:rFonts w:eastAsia="Arial Unicode MS"/>
                <w:b/>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t xml:space="preserve">2000</w:t>
            </w:r>
            <w:r>
              <w:rPr>
                <w:sz w:val="20"/>
              </w:rPr>
            </w:r>
            <w:r>
              <w:rPr>
                <w:sz w:val="20"/>
              </w:rPr>
            </w:r>
          </w:p>
          <w:p>
            <w:pPr>
              <w:pStyle w:val="930"/>
              <w:jc w:val="center"/>
              <w:rPr>
                <w:rFonts w:eastAsia="Arial Unicode MS"/>
                <w:sz w:val="20"/>
              </w:rPr>
            </w:pPr>
            <w:r>
              <w:rPr>
                <w:sz w:val="20"/>
              </w:rPr>
              <w:t xml:space="preserve">(две тысячи) руб.</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sz w:val="20"/>
              </w:rPr>
            </w:pPr>
            <w:r>
              <w:rPr>
                <w:sz w:val="20"/>
              </w:rPr>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rFonts w:eastAsia="Arial Unicode MS"/>
                <w:b/>
                <w:sz w:val="20"/>
              </w:rPr>
            </w:pPr>
            <w:r>
              <w:rPr>
                <w:b/>
                <w:sz w:val="20"/>
              </w:rPr>
              <w:t xml:space="preserve">Более 5 млн. до 50 млн. руб.</w:t>
            </w:r>
            <w:r>
              <w:rPr>
                <w:rFonts w:eastAsia="Arial Unicode MS"/>
                <w:b/>
                <w:sz w:val="20"/>
              </w:rPr>
            </w:r>
            <w:r>
              <w:rPr>
                <w:rFonts w:eastAsia="Arial Unicode MS"/>
                <w:b/>
                <w:sz w:val="20"/>
              </w:rPr>
            </w:r>
          </w:p>
        </w:tc>
        <w:tc>
          <w:tcPr>
            <w:tcBorders>
              <w:top w:val="none" w:color="000000" w:sz="4" w:space="0"/>
              <w:bottom w:val="none" w:color="000000" w:sz="4" w:space="0"/>
            </w:tcBorders>
            <w:tcW w:w="1985" w:type="dxa"/>
            <w:vAlign w:val="top"/>
            <w:textDirection w:val="lrTb"/>
            <w:noWrap w:val="false"/>
          </w:tcPr>
          <w:p>
            <w:pPr>
              <w:pStyle w:val="930"/>
              <w:jc w:val="center"/>
              <w:rPr>
                <w:rFonts w:eastAsia="Arial Unicode MS"/>
                <w:sz w:val="20"/>
              </w:rPr>
            </w:pPr>
            <w:r>
              <w:rPr>
                <w:sz w:val="20"/>
              </w:rPr>
              <w:t xml:space="preserve">0,030%</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sz w:val="20"/>
              </w:rPr>
            </w:pPr>
            <w:r>
              <w:rPr>
                <w:sz w:val="20"/>
              </w:rPr>
              <w:t xml:space="preserve">Более 50 млн. до </w:t>
            </w:r>
            <w:r>
              <w:rPr>
                <w:sz w:val="20"/>
              </w:rPr>
            </w:r>
            <w:r>
              <w:rPr>
                <w:sz w:val="20"/>
              </w:rPr>
            </w:r>
          </w:p>
          <w:p>
            <w:pPr>
              <w:pStyle w:val="930"/>
              <w:rPr>
                <w:rFonts w:eastAsia="Arial Unicode MS"/>
                <w:b/>
                <w:sz w:val="20"/>
              </w:rPr>
            </w:pPr>
            <w:r>
              <w:rPr>
                <w:b/>
                <w:sz w:val="20"/>
              </w:rPr>
              <w:t xml:space="preserve">1 000 млн. руб.</w:t>
            </w:r>
            <w:r>
              <w:rPr>
                <w:rFonts w:eastAsia="Arial Unicode MS"/>
                <w:b/>
                <w:sz w:val="20"/>
              </w:rPr>
            </w:r>
            <w:r>
              <w:rPr>
                <w:rFonts w:eastAsia="Arial Unicode MS"/>
                <w:b/>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p>
            <w:pPr>
              <w:pStyle w:val="930"/>
              <w:jc w:val="center"/>
              <w:rPr>
                <w:rFonts w:eastAsia="Arial Unicode MS"/>
                <w:sz w:val="20"/>
              </w:rPr>
            </w:pPr>
            <w:r>
              <w:rPr>
                <w:sz w:val="20"/>
              </w:rPr>
              <w:t xml:space="preserve">0,025%</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sz w:val="20"/>
              </w:rPr>
            </w:pPr>
            <w:r>
              <w:rPr>
                <w:sz w:val="20"/>
              </w:rPr>
              <w:t xml:space="preserve">Более 1 000 млн. </w:t>
            </w:r>
            <w:r>
              <w:rPr>
                <w:sz w:val="20"/>
              </w:rPr>
            </w:r>
            <w:r>
              <w:rPr>
                <w:sz w:val="20"/>
              </w:rPr>
            </w:r>
          </w:p>
          <w:p>
            <w:pPr>
              <w:pStyle w:val="930"/>
              <w:rPr>
                <w:rFonts w:eastAsia="Arial Unicode MS"/>
                <w:b/>
                <w:sz w:val="20"/>
              </w:rPr>
            </w:pPr>
            <w:r>
              <w:rPr>
                <w:b/>
                <w:sz w:val="20"/>
              </w:rPr>
              <w:t xml:space="preserve">до 5 000 млн. руб.</w:t>
            </w:r>
            <w:r>
              <w:rPr>
                <w:rFonts w:eastAsia="Arial Unicode MS"/>
                <w:b/>
                <w:sz w:val="20"/>
              </w:rPr>
            </w:r>
            <w:r>
              <w:rPr>
                <w:rFonts w:eastAsia="Arial Unicode MS"/>
                <w:b/>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p>
            <w:pPr>
              <w:pStyle w:val="930"/>
              <w:jc w:val="center"/>
              <w:rPr>
                <w:rFonts w:eastAsia="Arial Unicode MS"/>
                <w:sz w:val="20"/>
              </w:rPr>
            </w:pPr>
            <w:r>
              <w:rPr>
                <w:sz w:val="20"/>
              </w:rPr>
              <w:t xml:space="preserve">0,020%</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bottom w:val="none" w:color="000000" w:sz="4" w:space="0"/>
            </w:tcBorders>
            <w:tcW w:w="3995" w:type="dxa"/>
            <w:vAlign w:val="top"/>
            <w:textDirection w:val="lrTb"/>
            <w:noWrap w:val="false"/>
          </w:tcPr>
          <w:p>
            <w:pPr>
              <w:pStyle w:val="930"/>
              <w:rPr>
                <w:sz w:val="20"/>
              </w:rPr>
            </w:pPr>
            <w:r>
              <w:rPr>
                <w:sz w:val="20"/>
              </w:rPr>
              <w:t xml:space="preserve">Более 5 000 млн.</w:t>
            </w:r>
            <w:r>
              <w:rPr>
                <w:sz w:val="20"/>
              </w:rPr>
            </w:r>
            <w:r>
              <w:rPr>
                <w:sz w:val="20"/>
              </w:rPr>
            </w:r>
          </w:p>
          <w:p>
            <w:pPr>
              <w:pStyle w:val="930"/>
              <w:rPr>
                <w:rFonts w:eastAsia="Arial Unicode MS"/>
                <w:b/>
                <w:sz w:val="20"/>
              </w:rPr>
            </w:pPr>
            <w:r>
              <w:rPr>
                <w:b/>
                <w:sz w:val="20"/>
              </w:rPr>
              <w:t xml:space="preserve">до 8 000 млн. руб.</w:t>
            </w:r>
            <w:r>
              <w:rPr>
                <w:rFonts w:eastAsia="Arial Unicode MS"/>
                <w:b/>
                <w:sz w:val="20"/>
              </w:rPr>
            </w:r>
            <w:r>
              <w:rPr>
                <w:rFonts w:eastAsia="Arial Unicode MS"/>
                <w:b/>
                <w:sz w:val="20"/>
              </w:rPr>
            </w:r>
          </w:p>
        </w:tc>
        <w:tc>
          <w:tcPr>
            <w:tcBorders>
              <w:top w:val="none" w:color="000000" w:sz="4" w:space="0"/>
              <w:bottom w:val="none" w:color="000000" w:sz="4" w:space="0"/>
            </w:tcBorders>
            <w:tcW w:w="1985" w:type="dxa"/>
            <w:vAlign w:val="top"/>
            <w:textDirection w:val="lrTb"/>
            <w:noWrap w:val="false"/>
          </w:tcPr>
          <w:p>
            <w:pPr>
              <w:pStyle w:val="930"/>
              <w:jc w:val="center"/>
              <w:rPr>
                <w:sz w:val="20"/>
              </w:rPr>
            </w:pPr>
            <w:r>
              <w:rPr>
                <w:sz w:val="20"/>
              </w:rPr>
            </w:r>
            <w:r>
              <w:rPr>
                <w:sz w:val="20"/>
              </w:rPr>
            </w:r>
            <w:r>
              <w:rPr>
                <w:sz w:val="20"/>
              </w:rPr>
            </w:r>
          </w:p>
          <w:p>
            <w:pPr>
              <w:pStyle w:val="930"/>
              <w:jc w:val="center"/>
              <w:rPr>
                <w:rFonts w:eastAsia="Arial Unicode MS"/>
                <w:sz w:val="20"/>
              </w:rPr>
            </w:pPr>
            <w:r>
              <w:rPr>
                <w:sz w:val="20"/>
              </w:rPr>
              <w:t xml:space="preserve">0,016%</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25" w:type="dxa"/>
            <w:vAlign w:val="top"/>
            <w:vMerge w:val="continue"/>
            <w:textDirection w:val="lrTb"/>
            <w:noWrap w:val="false"/>
          </w:tcPr>
          <w:p>
            <w:pPr>
              <w:pStyle w:val="930"/>
              <w:jc w:val="center"/>
              <w:rPr>
                <w:sz w:val="20"/>
              </w:rPr>
            </w:pPr>
            <w:r>
              <w:rPr>
                <w:sz w:val="20"/>
              </w:rPr>
            </w:r>
            <w:r>
              <w:rPr>
                <w:sz w:val="20"/>
              </w:rPr>
            </w:r>
            <w:r>
              <w:rPr>
                <w:sz w:val="20"/>
              </w:rPr>
            </w:r>
          </w:p>
        </w:tc>
        <w:tc>
          <w:tcPr>
            <w:tcBorders>
              <w:top w:val="none" w:color="000000" w:sz="4" w:space="0"/>
            </w:tcBorders>
            <w:tcW w:w="3995" w:type="dxa"/>
            <w:vAlign w:val="top"/>
            <w:textDirection w:val="lrTb"/>
            <w:noWrap w:val="false"/>
          </w:tcPr>
          <w:p>
            <w:pPr>
              <w:pStyle w:val="930"/>
              <w:rPr>
                <w:rFonts w:eastAsia="Arial Unicode MS"/>
                <w:b/>
                <w:sz w:val="20"/>
              </w:rPr>
            </w:pPr>
            <w:r>
              <w:rPr>
                <w:b/>
                <w:sz w:val="20"/>
              </w:rPr>
              <w:t xml:space="preserve">Более 8 000 млн. руб.</w:t>
            </w:r>
            <w:r>
              <w:rPr>
                <w:rFonts w:eastAsia="Arial Unicode MS"/>
                <w:b/>
                <w:sz w:val="20"/>
              </w:rPr>
            </w:r>
            <w:r>
              <w:rPr>
                <w:rFonts w:eastAsia="Arial Unicode MS"/>
                <w:b/>
                <w:sz w:val="20"/>
              </w:rPr>
            </w:r>
          </w:p>
        </w:tc>
        <w:tc>
          <w:tcPr>
            <w:tcBorders>
              <w:top w:val="none" w:color="000000" w:sz="4" w:space="0"/>
            </w:tcBorders>
            <w:tcW w:w="1985" w:type="dxa"/>
            <w:vAlign w:val="top"/>
            <w:textDirection w:val="lrTb"/>
            <w:noWrap w:val="false"/>
          </w:tcPr>
          <w:p>
            <w:pPr>
              <w:pStyle w:val="930"/>
              <w:jc w:val="center"/>
              <w:rPr>
                <w:sz w:val="20"/>
              </w:rPr>
            </w:pPr>
            <w:r>
              <w:rPr>
                <w:sz w:val="20"/>
              </w:rPr>
              <w:t xml:space="preserve">0,012%,</w:t>
            </w:r>
            <w:r>
              <w:rPr>
                <w:sz w:val="20"/>
              </w:rPr>
            </w:r>
            <w:r>
              <w:rPr>
                <w:sz w:val="20"/>
              </w:rPr>
            </w:r>
          </w:p>
          <w:p>
            <w:pPr>
              <w:pStyle w:val="930"/>
              <w:jc w:val="center"/>
              <w:rPr>
                <w:rFonts w:eastAsia="Arial Unicode MS"/>
                <w:sz w:val="20"/>
              </w:rPr>
            </w:pPr>
            <w:r>
              <w:rPr>
                <w:sz w:val="20"/>
              </w:rPr>
              <w:t xml:space="preserve">но не более 2 млн. руб.</w:t>
            </w:r>
            <w:r>
              <w:rPr>
                <w:rFonts w:eastAsia="Arial Unicode MS"/>
                <w:sz w:val="20"/>
              </w:rPr>
            </w:r>
            <w:r>
              <w:rPr>
                <w:rFonts w:eastAsia="Arial Unicode MS"/>
                <w:sz w:val="20"/>
              </w:rPr>
            </w:r>
          </w:p>
        </w:tc>
        <w:tc>
          <w:tcPr>
            <w:tcBorders>
              <w:top w:val="none" w:color="000000" w:sz="4" w:space="0"/>
            </w:tcBorders>
            <w:tcW w:w="3543" w:type="dxa"/>
            <w:vAlign w:val="top"/>
            <w:vMerge w:val="continue"/>
            <w:textDirection w:val="lrTb"/>
            <w:noWrap w:val="false"/>
          </w:tcPr>
          <w:p>
            <w:pPr>
              <w:pStyle w:val="930"/>
              <w:rPr>
                <w:rFonts w:eastAsia="Arial Unicode MS"/>
                <w:sz w:val="20"/>
              </w:rPr>
            </w:pPr>
            <w:r>
              <w:rPr>
                <w:rFonts w:eastAsia="Arial Unicode MS"/>
                <w:sz w:val="20"/>
              </w:rPr>
            </w:r>
            <w:r>
              <w:rPr>
                <w:rFonts w:eastAsia="Arial Unicode MS"/>
                <w:sz w:val="20"/>
              </w:rPr>
            </w:r>
            <w:r>
              <w:rPr>
                <w:rFonts w:eastAsia="Arial Unicode MS"/>
                <w:sz w:val="20"/>
              </w:rPr>
            </w:r>
          </w:p>
        </w:tc>
      </w:tr>
    </w:tbl>
    <w:p>
      <w:pPr>
        <w:pStyle w:val="930"/>
        <w:rPr>
          <w:i/>
          <w:sz w:val="16"/>
          <w:szCs w:val="16"/>
        </w:rPr>
      </w:pPr>
      <w:r>
        <w:rPr>
          <w:i/>
          <w:sz w:val="16"/>
          <w:szCs w:val="16"/>
        </w:rPr>
        <w:t xml:space="preserve">Справочно:</w:t>
      </w:r>
      <w:r>
        <w:rPr>
          <w:i/>
          <w:sz w:val="16"/>
          <w:szCs w:val="16"/>
        </w:rPr>
      </w:r>
      <w:r>
        <w:rPr>
          <w:i/>
          <w:sz w:val="16"/>
          <w:szCs w:val="16"/>
        </w:rPr>
      </w:r>
    </w:p>
    <w:p>
      <w:pPr>
        <w:pStyle w:val="930"/>
        <w:rPr>
          <w:i/>
          <w:sz w:val="16"/>
          <w:szCs w:val="16"/>
        </w:rPr>
      </w:pPr>
      <w:r>
        <w:rPr>
          <w:i/>
          <w:sz w:val="16"/>
          <w:szCs w:val="16"/>
        </w:rPr>
        <w:t xml:space="preserve">Облигации</w:t>
      </w:r>
      <w:r>
        <w:rPr>
          <w:i/>
          <w:sz w:val="16"/>
          <w:szCs w:val="16"/>
        </w:rPr>
        <w:t xml:space="preserve"> </w:t>
      </w:r>
      <w:r>
        <w:rPr>
          <w:i/>
          <w:sz w:val="16"/>
          <w:szCs w:val="16"/>
        </w:rPr>
        <w:t xml:space="preserve">-</w:t>
      </w:r>
      <w:r>
        <w:rPr>
          <w:i/>
          <w:sz w:val="16"/>
          <w:szCs w:val="16"/>
        </w:rPr>
        <w:t xml:space="preserve"> </w:t>
      </w:r>
      <w:r>
        <w:rPr>
          <w:i/>
          <w:sz w:val="16"/>
          <w:szCs w:val="16"/>
        </w:rPr>
        <w:t xml:space="preserve">облигации,</w:t>
      </w:r>
      <w:r>
        <w:rPr>
          <w:i/>
          <w:sz w:val="16"/>
          <w:szCs w:val="16"/>
        </w:rPr>
        <w:t xml:space="preserve"> </w:t>
      </w:r>
      <w:r>
        <w:rPr>
          <w:i/>
          <w:sz w:val="16"/>
          <w:szCs w:val="16"/>
        </w:rPr>
        <w:t xml:space="preserve">выпущенные</w:t>
      </w:r>
      <w:r>
        <w:rPr>
          <w:i/>
          <w:sz w:val="16"/>
          <w:szCs w:val="16"/>
        </w:rPr>
        <w:t xml:space="preserve"> </w:t>
      </w:r>
      <w:r>
        <w:rPr>
          <w:i/>
          <w:sz w:val="16"/>
          <w:szCs w:val="16"/>
        </w:rPr>
        <w:t xml:space="preserve">в</w:t>
      </w:r>
      <w:r>
        <w:rPr>
          <w:i/>
          <w:sz w:val="16"/>
          <w:szCs w:val="16"/>
        </w:rPr>
        <w:t xml:space="preserve"> </w:t>
      </w:r>
      <w:r>
        <w:rPr>
          <w:i/>
          <w:sz w:val="16"/>
          <w:szCs w:val="16"/>
        </w:rPr>
        <w:t xml:space="preserve">документарной</w:t>
      </w:r>
      <w:r>
        <w:rPr>
          <w:i/>
          <w:sz w:val="16"/>
          <w:szCs w:val="16"/>
        </w:rPr>
        <w:t xml:space="preserve"> </w:t>
      </w:r>
      <w:r>
        <w:rPr>
          <w:i/>
          <w:sz w:val="16"/>
          <w:szCs w:val="16"/>
        </w:rPr>
        <w:t xml:space="preserve">форме</w:t>
      </w:r>
      <w:r>
        <w:rPr>
          <w:i/>
          <w:sz w:val="16"/>
          <w:szCs w:val="16"/>
        </w:rPr>
        <w:t xml:space="preserve"> </w:t>
      </w:r>
      <w:r>
        <w:rPr>
          <w:i/>
          <w:sz w:val="16"/>
          <w:szCs w:val="16"/>
        </w:rPr>
        <w:t xml:space="preserve">с</w:t>
      </w:r>
      <w:r>
        <w:rPr>
          <w:i/>
          <w:sz w:val="16"/>
          <w:szCs w:val="16"/>
        </w:rPr>
        <w:t xml:space="preserve"> </w:t>
      </w:r>
      <w:r>
        <w:rPr>
          <w:i/>
          <w:sz w:val="16"/>
          <w:szCs w:val="16"/>
        </w:rPr>
        <w:t xml:space="preserve">обязательным</w:t>
      </w:r>
      <w:r>
        <w:rPr>
          <w:i/>
          <w:sz w:val="16"/>
          <w:szCs w:val="16"/>
        </w:rPr>
        <w:t xml:space="preserve"> </w:t>
      </w:r>
      <w:r>
        <w:rPr>
          <w:i/>
          <w:sz w:val="16"/>
          <w:szCs w:val="16"/>
        </w:rPr>
        <w:t xml:space="preserve">централизованным</w:t>
      </w:r>
      <w:r>
        <w:rPr>
          <w:i/>
          <w:sz w:val="16"/>
          <w:szCs w:val="16"/>
        </w:rPr>
        <w:t xml:space="preserve"> </w:t>
      </w:r>
      <w:r>
        <w:rPr>
          <w:i/>
          <w:sz w:val="16"/>
          <w:szCs w:val="16"/>
        </w:rPr>
        <w:t xml:space="preserve">хранением</w:t>
      </w:r>
      <w:r>
        <w:rPr>
          <w:i/>
          <w:sz w:val="16"/>
          <w:szCs w:val="16"/>
        </w:rPr>
        <w:t xml:space="preserve"> </w:t>
      </w:r>
      <w:r>
        <w:rPr>
          <w:i/>
          <w:sz w:val="16"/>
          <w:szCs w:val="16"/>
        </w:rPr>
        <w:t xml:space="preserve">в</w:t>
      </w:r>
      <w:r>
        <w:rPr>
          <w:i/>
          <w:sz w:val="16"/>
          <w:szCs w:val="16"/>
        </w:rPr>
        <w:t xml:space="preserve"> </w:t>
      </w:r>
      <w:r>
        <w:rPr>
          <w:i/>
          <w:sz w:val="16"/>
          <w:szCs w:val="16"/>
        </w:rPr>
        <w:t xml:space="preserve">уполномоченном</w:t>
      </w:r>
      <w:r>
        <w:rPr>
          <w:i/>
          <w:sz w:val="16"/>
          <w:szCs w:val="16"/>
        </w:rPr>
        <w:t xml:space="preserve"> </w:t>
      </w:r>
      <w:r>
        <w:rPr>
          <w:i/>
          <w:sz w:val="16"/>
          <w:szCs w:val="16"/>
        </w:rPr>
        <w:t xml:space="preserve">депозитарии</w:t>
      </w:r>
      <w:r>
        <w:rPr>
          <w:i/>
          <w:sz w:val="16"/>
          <w:szCs w:val="16"/>
        </w:rPr>
        <w:t xml:space="preserve"> </w:t>
      </w:r>
      <w:r>
        <w:rPr>
          <w:i/>
          <w:sz w:val="16"/>
          <w:szCs w:val="16"/>
        </w:rPr>
        <w:t xml:space="preserve">сертификата,</w:t>
      </w:r>
      <w:r>
        <w:rPr>
          <w:i/>
          <w:sz w:val="16"/>
          <w:szCs w:val="16"/>
        </w:rPr>
        <w:t xml:space="preserve"> </w:t>
      </w:r>
      <w:r>
        <w:rPr>
          <w:i/>
          <w:sz w:val="16"/>
          <w:szCs w:val="16"/>
        </w:rPr>
        <w:t xml:space="preserve">оформленного</w:t>
      </w:r>
      <w:r>
        <w:rPr>
          <w:i/>
          <w:sz w:val="16"/>
          <w:szCs w:val="16"/>
        </w:rPr>
        <w:t xml:space="preserve"> </w:t>
      </w:r>
      <w:r>
        <w:rPr>
          <w:i/>
          <w:sz w:val="16"/>
          <w:szCs w:val="16"/>
        </w:rPr>
        <w:t xml:space="preserve">на</w:t>
      </w:r>
      <w:r>
        <w:rPr>
          <w:i/>
          <w:sz w:val="16"/>
          <w:szCs w:val="16"/>
        </w:rPr>
        <w:t xml:space="preserve"> </w:t>
      </w:r>
      <w:r>
        <w:rPr>
          <w:i/>
          <w:sz w:val="16"/>
          <w:szCs w:val="16"/>
        </w:rPr>
        <w:t xml:space="preserve">весь</w:t>
      </w:r>
      <w:r>
        <w:rPr>
          <w:i/>
          <w:sz w:val="16"/>
          <w:szCs w:val="16"/>
        </w:rPr>
        <w:t xml:space="preserve"> </w:t>
      </w:r>
      <w:r>
        <w:rPr>
          <w:i/>
          <w:sz w:val="16"/>
          <w:szCs w:val="16"/>
        </w:rPr>
        <w:t xml:space="preserve">объем</w:t>
      </w:r>
      <w:r>
        <w:rPr>
          <w:i/>
          <w:sz w:val="16"/>
          <w:szCs w:val="16"/>
        </w:rPr>
        <w:t xml:space="preserve"> </w:t>
      </w:r>
      <w:r>
        <w:rPr>
          <w:i/>
          <w:sz w:val="16"/>
          <w:szCs w:val="16"/>
        </w:rPr>
        <w:t xml:space="preserve">выпуска.</w:t>
      </w:r>
      <w:r>
        <w:rPr>
          <w:i/>
          <w:sz w:val="16"/>
          <w:szCs w:val="16"/>
        </w:rPr>
      </w:r>
      <w:r>
        <w:rPr>
          <w:i/>
          <w:sz w:val="16"/>
          <w:szCs w:val="16"/>
        </w:rPr>
      </w:r>
    </w:p>
    <w:p>
      <w:pPr>
        <w:pStyle w:val="930"/>
        <w:rPr>
          <w:i/>
          <w:sz w:val="16"/>
          <w:szCs w:val="16"/>
        </w:rPr>
      </w:pPr>
      <w:r>
        <w:rPr>
          <w:i/>
          <w:sz w:val="16"/>
          <w:szCs w:val="16"/>
        </w:rPr>
        <w:t xml:space="preserve">1</w:t>
      </w:r>
      <w:r>
        <w:rPr>
          <w:i/>
          <w:sz w:val="16"/>
          <w:szCs w:val="16"/>
        </w:rPr>
        <w:t xml:space="preserve"> </w:t>
      </w:r>
      <w:r>
        <w:rPr>
          <w:i/>
          <w:sz w:val="16"/>
          <w:szCs w:val="16"/>
        </w:rPr>
        <w:t xml:space="preserve">Под</w:t>
      </w:r>
      <w:r>
        <w:rPr>
          <w:i/>
          <w:sz w:val="16"/>
          <w:szCs w:val="16"/>
        </w:rPr>
        <w:t xml:space="preserve"> </w:t>
      </w:r>
      <w:r>
        <w:rPr>
          <w:i/>
          <w:sz w:val="16"/>
          <w:szCs w:val="16"/>
        </w:rPr>
        <w:t xml:space="preserve">начисленным</w:t>
      </w:r>
      <w:r>
        <w:rPr>
          <w:i/>
          <w:sz w:val="16"/>
          <w:szCs w:val="16"/>
        </w:rPr>
        <w:t xml:space="preserve"> </w:t>
      </w:r>
      <w:r>
        <w:rPr>
          <w:i/>
          <w:sz w:val="16"/>
          <w:szCs w:val="16"/>
        </w:rPr>
        <w:t xml:space="preserve">периодом</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трехмесячный</w:t>
      </w:r>
      <w:r>
        <w:rPr>
          <w:i/>
          <w:sz w:val="16"/>
          <w:szCs w:val="16"/>
        </w:rPr>
        <w:t xml:space="preserve"> </w:t>
      </w:r>
      <w:r>
        <w:rPr>
          <w:i/>
          <w:sz w:val="16"/>
          <w:szCs w:val="16"/>
        </w:rPr>
        <w:t xml:space="preserve">период</w:t>
      </w:r>
      <w:r>
        <w:rPr>
          <w:i/>
          <w:sz w:val="16"/>
          <w:szCs w:val="16"/>
        </w:rPr>
        <w:t xml:space="preserve"> </w:t>
      </w:r>
      <w:r>
        <w:rPr>
          <w:i/>
          <w:sz w:val="16"/>
          <w:szCs w:val="16"/>
        </w:rPr>
        <w:t xml:space="preserve">или</w:t>
      </w:r>
      <w:r>
        <w:rPr>
          <w:i/>
          <w:sz w:val="16"/>
          <w:szCs w:val="16"/>
        </w:rPr>
        <w:t xml:space="preserve"> </w:t>
      </w:r>
      <w:r>
        <w:rPr>
          <w:i/>
          <w:sz w:val="16"/>
          <w:szCs w:val="16"/>
        </w:rPr>
        <w:t xml:space="preserve">его</w:t>
      </w:r>
      <w:r>
        <w:rPr>
          <w:i/>
          <w:sz w:val="16"/>
          <w:szCs w:val="16"/>
        </w:rPr>
        <w:t xml:space="preserve"> </w:t>
      </w:r>
      <w:r>
        <w:rPr>
          <w:i/>
          <w:sz w:val="16"/>
          <w:szCs w:val="16"/>
        </w:rPr>
        <w:t xml:space="preserve">часть,</w:t>
      </w:r>
      <w:r>
        <w:rPr>
          <w:i/>
          <w:sz w:val="16"/>
          <w:szCs w:val="16"/>
        </w:rPr>
        <w:t xml:space="preserve"> </w:t>
      </w:r>
      <w:r>
        <w:rPr>
          <w:i/>
          <w:sz w:val="16"/>
          <w:szCs w:val="16"/>
        </w:rPr>
        <w:t xml:space="preserve">за</w:t>
      </w:r>
      <w:r>
        <w:rPr>
          <w:i/>
          <w:sz w:val="16"/>
          <w:szCs w:val="16"/>
        </w:rPr>
        <w:t xml:space="preserve"> </w:t>
      </w:r>
      <w:r>
        <w:rPr>
          <w:i/>
          <w:sz w:val="16"/>
          <w:szCs w:val="16"/>
        </w:rPr>
        <w:t xml:space="preserve">который</w:t>
      </w:r>
      <w:r>
        <w:rPr>
          <w:i/>
          <w:sz w:val="16"/>
          <w:szCs w:val="16"/>
        </w:rPr>
        <w:t xml:space="preserve"> </w:t>
      </w:r>
      <w:r>
        <w:rPr>
          <w:i/>
          <w:sz w:val="16"/>
          <w:szCs w:val="16"/>
        </w:rPr>
        <w:t xml:space="preserve">клиентом</w:t>
      </w:r>
      <w:r>
        <w:rPr>
          <w:i/>
          <w:sz w:val="16"/>
          <w:szCs w:val="16"/>
        </w:rPr>
        <w:t xml:space="preserve"> </w:t>
      </w:r>
      <w:r>
        <w:rPr>
          <w:i/>
          <w:sz w:val="16"/>
          <w:szCs w:val="16"/>
        </w:rPr>
        <w:t xml:space="preserve">оплачена</w:t>
      </w:r>
      <w:r>
        <w:rPr>
          <w:i/>
          <w:sz w:val="16"/>
          <w:szCs w:val="16"/>
        </w:rPr>
        <w:t xml:space="preserve"> </w:t>
      </w:r>
      <w:r>
        <w:rPr>
          <w:i/>
          <w:sz w:val="16"/>
          <w:szCs w:val="16"/>
        </w:rPr>
        <w:t xml:space="preserve">соответствующая</w:t>
      </w:r>
      <w:r>
        <w:rPr>
          <w:i/>
          <w:sz w:val="16"/>
          <w:szCs w:val="16"/>
        </w:rPr>
        <w:t xml:space="preserve"> </w:t>
      </w:r>
      <w:r>
        <w:rPr>
          <w:i/>
          <w:sz w:val="16"/>
          <w:szCs w:val="16"/>
        </w:rPr>
        <w:t xml:space="preserve">комиссия</w:t>
      </w:r>
      <w:r>
        <w:rPr>
          <w:i/>
          <w:sz w:val="16"/>
          <w:szCs w:val="16"/>
        </w:rPr>
        <w:t xml:space="preserve"> </w:t>
      </w:r>
      <w:r>
        <w:rPr>
          <w:i/>
          <w:sz w:val="16"/>
          <w:szCs w:val="16"/>
        </w:rPr>
        <w:t xml:space="preserve">по</w:t>
      </w:r>
      <w:r>
        <w:rPr>
          <w:i/>
          <w:sz w:val="16"/>
          <w:szCs w:val="16"/>
        </w:rPr>
        <w:t xml:space="preserve"> </w:t>
      </w:r>
      <w:r>
        <w:rPr>
          <w:i/>
          <w:sz w:val="16"/>
          <w:szCs w:val="16"/>
        </w:rPr>
        <w:t xml:space="preserve">аккредитиву.</w:t>
      </w:r>
      <w:r>
        <w:rPr>
          <w:i/>
          <w:sz w:val="16"/>
          <w:szCs w:val="16"/>
        </w:rPr>
      </w:r>
      <w:r>
        <w:rPr>
          <w:i/>
          <w:sz w:val="16"/>
          <w:szCs w:val="16"/>
        </w:rPr>
      </w:r>
    </w:p>
    <w:p>
      <w:pPr>
        <w:pStyle w:val="930"/>
        <w:rPr>
          <w:i/>
          <w:sz w:val="16"/>
          <w:szCs w:val="16"/>
        </w:rPr>
      </w:pPr>
      <w:r>
        <w:rPr>
          <w:i/>
          <w:sz w:val="16"/>
          <w:szCs w:val="16"/>
        </w:rPr>
        <w:t xml:space="preserve">2</w:t>
      </w:r>
      <w:r>
        <w:rPr>
          <w:i/>
          <w:sz w:val="16"/>
          <w:szCs w:val="16"/>
        </w:rPr>
        <w:t xml:space="preserve"> </w:t>
      </w:r>
      <w:r>
        <w:rPr>
          <w:i/>
          <w:sz w:val="16"/>
          <w:szCs w:val="16"/>
        </w:rPr>
        <w:t xml:space="preserve">Расчет</w:t>
      </w:r>
      <w:r>
        <w:rPr>
          <w:i/>
          <w:sz w:val="16"/>
          <w:szCs w:val="16"/>
        </w:rPr>
        <w:t xml:space="preserve"> </w:t>
      </w:r>
      <w:r>
        <w:rPr>
          <w:i/>
          <w:sz w:val="16"/>
          <w:szCs w:val="16"/>
        </w:rPr>
        <w:t xml:space="preserve">производится</w:t>
      </w:r>
      <w:r>
        <w:rPr>
          <w:i/>
          <w:sz w:val="16"/>
          <w:szCs w:val="16"/>
        </w:rPr>
        <w:t xml:space="preserve"> </w:t>
      </w:r>
      <w:r>
        <w:rPr>
          <w:i/>
          <w:sz w:val="16"/>
          <w:szCs w:val="16"/>
        </w:rPr>
        <w:t xml:space="preserve">исходя</w:t>
      </w:r>
      <w:r>
        <w:rPr>
          <w:i/>
          <w:sz w:val="16"/>
          <w:szCs w:val="16"/>
        </w:rPr>
        <w:t xml:space="preserve"> </w:t>
      </w:r>
      <w:r>
        <w:rPr>
          <w:i/>
          <w:sz w:val="16"/>
          <w:szCs w:val="16"/>
        </w:rPr>
        <w:t xml:space="preserve">из</w:t>
      </w:r>
      <w:r>
        <w:rPr>
          <w:i/>
          <w:sz w:val="16"/>
          <w:szCs w:val="16"/>
        </w:rPr>
        <w:t xml:space="preserve"> </w:t>
      </w:r>
      <w:r>
        <w:rPr>
          <w:i/>
          <w:sz w:val="16"/>
          <w:szCs w:val="16"/>
        </w:rPr>
        <w:t xml:space="preserve">суммы</w:t>
      </w:r>
      <w:r>
        <w:rPr>
          <w:i/>
          <w:sz w:val="16"/>
          <w:szCs w:val="16"/>
        </w:rPr>
        <w:t xml:space="preserve"> </w:t>
      </w:r>
      <w:r>
        <w:rPr>
          <w:i/>
          <w:sz w:val="16"/>
          <w:szCs w:val="16"/>
        </w:rPr>
        <w:t xml:space="preserve">неиспользованного</w:t>
      </w:r>
      <w:r>
        <w:rPr>
          <w:i/>
          <w:sz w:val="16"/>
          <w:szCs w:val="16"/>
        </w:rPr>
        <w:t xml:space="preserve"> </w:t>
      </w:r>
      <w:r>
        <w:rPr>
          <w:i/>
          <w:sz w:val="16"/>
          <w:szCs w:val="16"/>
        </w:rPr>
        <w:t xml:space="preserve">остатка</w:t>
      </w:r>
      <w:r>
        <w:rPr>
          <w:i/>
          <w:sz w:val="16"/>
          <w:szCs w:val="16"/>
        </w:rPr>
        <w:t xml:space="preserve"> </w:t>
      </w:r>
      <w:r>
        <w:rPr>
          <w:i/>
          <w:sz w:val="16"/>
          <w:szCs w:val="16"/>
        </w:rPr>
        <w:t xml:space="preserve">средств</w:t>
      </w:r>
      <w:r>
        <w:rPr>
          <w:i/>
          <w:sz w:val="16"/>
          <w:szCs w:val="16"/>
        </w:rPr>
        <w:t xml:space="preserve"> </w:t>
      </w:r>
      <w:r>
        <w:rPr>
          <w:i/>
          <w:sz w:val="16"/>
          <w:szCs w:val="16"/>
        </w:rPr>
        <w:t xml:space="preserve">по</w:t>
      </w:r>
      <w:r>
        <w:rPr>
          <w:i/>
          <w:sz w:val="16"/>
          <w:szCs w:val="16"/>
        </w:rPr>
        <w:t xml:space="preserve"> </w:t>
      </w:r>
      <w:r>
        <w:rPr>
          <w:i/>
          <w:sz w:val="16"/>
          <w:szCs w:val="16"/>
        </w:rPr>
        <w:t xml:space="preserve">аккредитиву</w:t>
      </w:r>
      <w:r>
        <w:rPr>
          <w:i/>
          <w:sz w:val="16"/>
          <w:szCs w:val="16"/>
        </w:rPr>
        <w:t xml:space="preserve"> </w:t>
      </w:r>
      <w:r>
        <w:rPr>
          <w:i/>
          <w:sz w:val="16"/>
          <w:szCs w:val="16"/>
        </w:rPr>
        <w:t xml:space="preserve">по</w:t>
      </w:r>
      <w:r>
        <w:rPr>
          <w:i/>
          <w:sz w:val="16"/>
          <w:szCs w:val="16"/>
        </w:rPr>
        <w:t xml:space="preserve"> </w:t>
      </w:r>
      <w:r>
        <w:rPr>
          <w:i/>
          <w:sz w:val="16"/>
          <w:szCs w:val="16"/>
        </w:rPr>
        <w:t xml:space="preserve">состоянию</w:t>
      </w:r>
      <w:r>
        <w:rPr>
          <w:i/>
          <w:sz w:val="16"/>
          <w:szCs w:val="16"/>
        </w:rPr>
        <w:t xml:space="preserve"> </w:t>
      </w:r>
      <w:r>
        <w:rPr>
          <w:i/>
          <w:sz w:val="16"/>
          <w:szCs w:val="16"/>
        </w:rPr>
        <w:t xml:space="preserve">на</w:t>
      </w:r>
      <w:r>
        <w:rPr>
          <w:i/>
          <w:sz w:val="16"/>
          <w:szCs w:val="16"/>
        </w:rPr>
        <w:t xml:space="preserve"> </w:t>
      </w:r>
      <w:r>
        <w:rPr>
          <w:i/>
          <w:sz w:val="16"/>
          <w:szCs w:val="16"/>
        </w:rPr>
        <w:t xml:space="preserve">начало</w:t>
      </w:r>
      <w:r>
        <w:rPr>
          <w:i/>
          <w:sz w:val="16"/>
          <w:szCs w:val="16"/>
        </w:rPr>
        <w:t xml:space="preserve"> </w:t>
      </w:r>
      <w:r>
        <w:rPr>
          <w:i/>
          <w:sz w:val="16"/>
          <w:szCs w:val="16"/>
        </w:rPr>
        <w:t xml:space="preserve">первого</w:t>
      </w:r>
      <w:r>
        <w:rPr>
          <w:i/>
          <w:sz w:val="16"/>
          <w:szCs w:val="16"/>
        </w:rPr>
        <w:t xml:space="preserve"> </w:t>
      </w:r>
      <w:r>
        <w:rPr>
          <w:i/>
          <w:sz w:val="16"/>
          <w:szCs w:val="16"/>
        </w:rPr>
        <w:t xml:space="preserve">дня</w:t>
      </w:r>
      <w:r>
        <w:rPr>
          <w:i/>
          <w:sz w:val="16"/>
          <w:szCs w:val="16"/>
        </w:rPr>
        <w:t xml:space="preserve"> </w:t>
      </w:r>
      <w:r>
        <w:rPr>
          <w:i/>
          <w:sz w:val="16"/>
          <w:szCs w:val="16"/>
        </w:rPr>
        <w:t xml:space="preserve">квартала</w:t>
      </w:r>
      <w:r>
        <w:rPr>
          <w:i/>
          <w:sz w:val="16"/>
          <w:szCs w:val="16"/>
        </w:rPr>
        <w:t xml:space="preserve"> </w:t>
      </w:r>
      <w:r>
        <w:rPr>
          <w:i/>
          <w:sz w:val="16"/>
          <w:szCs w:val="16"/>
        </w:rPr>
        <w:t xml:space="preserve">или</w:t>
      </w:r>
      <w:r>
        <w:rPr>
          <w:i/>
          <w:sz w:val="16"/>
          <w:szCs w:val="16"/>
        </w:rPr>
        <w:t xml:space="preserve"> </w:t>
      </w:r>
      <w:r>
        <w:rPr>
          <w:i/>
          <w:sz w:val="16"/>
          <w:szCs w:val="16"/>
        </w:rPr>
        <w:t xml:space="preserve">исходя</w:t>
      </w:r>
      <w:r>
        <w:rPr>
          <w:i/>
          <w:sz w:val="16"/>
          <w:szCs w:val="16"/>
        </w:rPr>
        <w:t xml:space="preserve"> </w:t>
      </w:r>
      <w:r>
        <w:rPr>
          <w:i/>
          <w:sz w:val="16"/>
          <w:szCs w:val="16"/>
        </w:rPr>
        <w:t xml:space="preserve">из</w:t>
      </w:r>
      <w:r>
        <w:rPr>
          <w:i/>
          <w:sz w:val="16"/>
          <w:szCs w:val="16"/>
        </w:rPr>
        <w:t xml:space="preserve"> </w:t>
      </w:r>
      <w:r>
        <w:rPr>
          <w:i/>
          <w:sz w:val="16"/>
          <w:szCs w:val="16"/>
        </w:rPr>
        <w:t xml:space="preserve">суммы</w:t>
      </w:r>
      <w:r>
        <w:rPr>
          <w:i/>
          <w:sz w:val="16"/>
          <w:szCs w:val="16"/>
        </w:rPr>
        <w:t xml:space="preserve"> </w:t>
      </w:r>
      <w:r>
        <w:rPr>
          <w:i/>
          <w:sz w:val="16"/>
          <w:szCs w:val="16"/>
        </w:rPr>
        <w:t xml:space="preserve">тратты;</w:t>
      </w:r>
      <w:r>
        <w:rPr>
          <w:i/>
          <w:sz w:val="16"/>
          <w:szCs w:val="16"/>
        </w:rPr>
        <w:t xml:space="preserve"> </w:t>
      </w:r>
      <w:r>
        <w:rPr>
          <w:i/>
          <w:sz w:val="16"/>
          <w:szCs w:val="16"/>
        </w:rPr>
        <w:t xml:space="preserve">отсчет</w:t>
      </w:r>
      <w:r>
        <w:rPr>
          <w:i/>
          <w:sz w:val="16"/>
          <w:szCs w:val="16"/>
        </w:rPr>
        <w:t xml:space="preserve"> </w:t>
      </w:r>
      <w:r>
        <w:rPr>
          <w:i/>
          <w:sz w:val="16"/>
          <w:szCs w:val="16"/>
        </w:rPr>
        <w:t xml:space="preserve">кварталов</w:t>
      </w:r>
      <w:r>
        <w:rPr>
          <w:i/>
          <w:sz w:val="16"/>
          <w:szCs w:val="16"/>
        </w:rPr>
        <w:t xml:space="preserve"> </w:t>
      </w:r>
      <w:r>
        <w:rPr>
          <w:i/>
          <w:sz w:val="16"/>
          <w:szCs w:val="16"/>
        </w:rPr>
        <w:t xml:space="preserve">производится</w:t>
      </w:r>
      <w:r>
        <w:rPr>
          <w:i/>
          <w:sz w:val="16"/>
          <w:szCs w:val="16"/>
        </w:rPr>
        <w:t xml:space="preserve"> </w:t>
      </w:r>
      <w:r>
        <w:rPr>
          <w:i/>
          <w:sz w:val="16"/>
          <w:szCs w:val="16"/>
        </w:rPr>
        <w:t xml:space="preserve">с</w:t>
      </w:r>
      <w:r>
        <w:rPr>
          <w:i/>
          <w:sz w:val="16"/>
          <w:szCs w:val="16"/>
        </w:rPr>
        <w:t xml:space="preserve"> </w:t>
      </w:r>
      <w:r>
        <w:rPr>
          <w:i/>
          <w:sz w:val="16"/>
          <w:szCs w:val="16"/>
        </w:rPr>
        <w:t xml:space="preserve">даты</w:t>
      </w:r>
      <w:r>
        <w:rPr>
          <w:i/>
          <w:sz w:val="16"/>
          <w:szCs w:val="16"/>
        </w:rPr>
        <w:t xml:space="preserve"> </w:t>
      </w:r>
      <w:r>
        <w:rPr>
          <w:i/>
          <w:sz w:val="16"/>
          <w:szCs w:val="16"/>
        </w:rPr>
        <w:t xml:space="preserve">открытия</w:t>
      </w:r>
      <w:r>
        <w:rPr>
          <w:i/>
          <w:sz w:val="16"/>
          <w:szCs w:val="16"/>
        </w:rPr>
        <w:t xml:space="preserve"> </w:t>
      </w:r>
      <w:r>
        <w:rPr>
          <w:i/>
          <w:sz w:val="16"/>
          <w:szCs w:val="16"/>
        </w:rPr>
        <w:t xml:space="preserve">аккредитива.</w:t>
      </w:r>
      <w:r>
        <w:rPr>
          <w:i/>
          <w:sz w:val="16"/>
          <w:szCs w:val="16"/>
        </w:rPr>
      </w:r>
      <w:r>
        <w:rPr>
          <w:i/>
          <w:sz w:val="16"/>
          <w:szCs w:val="16"/>
        </w:rPr>
      </w:r>
    </w:p>
    <w:p>
      <w:pPr>
        <w:pStyle w:val="930"/>
        <w:rPr>
          <w:i/>
          <w:sz w:val="16"/>
          <w:szCs w:val="16"/>
        </w:rPr>
      </w:pPr>
      <w:r>
        <w:rPr>
          <w:i/>
          <w:sz w:val="16"/>
          <w:szCs w:val="16"/>
        </w:rPr>
        <w:t xml:space="preserve">3</w:t>
      </w:r>
      <w:r>
        <w:rPr>
          <w:i/>
          <w:sz w:val="16"/>
          <w:szCs w:val="16"/>
        </w:rPr>
        <w:t xml:space="preserve"> </w:t>
      </w:r>
      <w:r>
        <w:rPr>
          <w:i/>
          <w:sz w:val="16"/>
          <w:szCs w:val="16"/>
        </w:rP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i/>
          <w:sz w:val="16"/>
          <w:szCs w:val="16"/>
        </w:rPr>
        <w:t xml:space="preserve">.</w:t>
      </w:r>
      <w:r>
        <w:rPr>
          <w:i/>
          <w:sz w:val="16"/>
          <w:szCs w:val="16"/>
        </w:rPr>
      </w:r>
      <w:r>
        <w:rPr>
          <w:i/>
          <w:sz w:val="16"/>
          <w:szCs w:val="16"/>
        </w:rPr>
      </w:r>
    </w:p>
    <w:p>
      <w:pPr>
        <w:pStyle w:val="930"/>
        <w:rPr>
          <w:i/>
          <w:sz w:val="16"/>
          <w:szCs w:val="16"/>
        </w:rPr>
      </w:pPr>
      <w:r>
        <w:rPr>
          <w:i/>
          <w:sz w:val="16"/>
          <w:szCs w:val="16"/>
        </w:rPr>
        <w:t xml:space="preserve">4</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r>
      <w:r>
        <w:rPr>
          <w:i/>
          <w:sz w:val="16"/>
          <w:szCs w:val="16"/>
        </w:rPr>
      </w:r>
    </w:p>
    <w:p>
      <w:pPr>
        <w:pStyle w:val="930"/>
        <w:rPr>
          <w:i/>
          <w:sz w:val="16"/>
          <w:szCs w:val="16"/>
          <w:lang w:val="en-US"/>
        </w:rPr>
      </w:pPr>
      <w:r>
        <w:rPr>
          <w:i/>
          <w:sz w:val="16"/>
          <w:szCs w:val="16"/>
        </w:rPr>
        <w:t xml:space="preserve">5</w:t>
      </w:r>
      <w:r>
        <w:rPr>
          <w:i/>
          <w:sz w:val="16"/>
          <w:szCs w:val="16"/>
        </w:rPr>
        <w:t xml:space="preserve"> </w:t>
      </w:r>
      <w:r>
        <w:rPr>
          <w:i/>
          <w:sz w:val="16"/>
          <w:szCs w:val="16"/>
        </w:rPr>
        <w:t xml:space="preserve">Сумма</w:t>
      </w:r>
      <w:r>
        <w:rPr>
          <w:i/>
          <w:sz w:val="16"/>
          <w:szCs w:val="16"/>
        </w:rPr>
        <w:t xml:space="preserve"> </w:t>
      </w:r>
      <w:r>
        <w:rPr>
          <w:i/>
          <w:sz w:val="16"/>
          <w:szCs w:val="16"/>
        </w:rPr>
        <w:t xml:space="preserve">к</w:t>
      </w:r>
      <w:r>
        <w:rPr>
          <w:i/>
          <w:sz w:val="16"/>
          <w:szCs w:val="16"/>
        </w:rPr>
        <w:t xml:space="preserve"> </w:t>
      </w:r>
      <w:r>
        <w:rPr>
          <w:i/>
          <w:sz w:val="16"/>
          <w:szCs w:val="16"/>
        </w:rPr>
        <w:t xml:space="preserve">распределению</w:t>
      </w:r>
      <w:r>
        <w:rPr>
          <w:i/>
          <w:sz w:val="16"/>
          <w:szCs w:val="16"/>
        </w:rPr>
        <w:t xml:space="preserve"> </w:t>
      </w:r>
      <w:r>
        <w:rPr>
          <w:i/>
          <w:sz w:val="16"/>
          <w:szCs w:val="16"/>
        </w:rPr>
        <w:t xml:space="preserve">-</w:t>
      </w:r>
      <w:r>
        <w:rPr>
          <w:i/>
          <w:sz w:val="16"/>
          <w:szCs w:val="16"/>
        </w:rPr>
        <w:t xml:space="preserve"> </w:t>
      </w:r>
      <w:r>
        <w:rPr>
          <w:i/>
          <w:sz w:val="16"/>
          <w:szCs w:val="16"/>
        </w:rPr>
        <w:t xml:space="preserve">сумма</w:t>
      </w:r>
      <w:r>
        <w:rPr>
          <w:i/>
          <w:sz w:val="16"/>
          <w:szCs w:val="16"/>
        </w:rPr>
        <w:t xml:space="preserve"> </w:t>
      </w:r>
      <w:r>
        <w:rPr>
          <w:i/>
          <w:sz w:val="16"/>
          <w:szCs w:val="16"/>
        </w:rPr>
        <w:t xml:space="preserve">денежных</w:t>
      </w:r>
      <w:r>
        <w:rPr>
          <w:i/>
          <w:sz w:val="16"/>
          <w:szCs w:val="16"/>
        </w:rPr>
        <w:t xml:space="preserve"> </w:t>
      </w:r>
      <w:r>
        <w:rPr>
          <w:i/>
          <w:sz w:val="16"/>
          <w:szCs w:val="16"/>
        </w:rPr>
        <w:t xml:space="preserve">средств,</w:t>
      </w:r>
      <w:r>
        <w:rPr>
          <w:i/>
          <w:sz w:val="16"/>
          <w:szCs w:val="16"/>
        </w:rPr>
        <w:t xml:space="preserve"> </w:t>
      </w:r>
      <w:r>
        <w:rPr>
          <w:i/>
          <w:sz w:val="16"/>
          <w:szCs w:val="16"/>
        </w:rPr>
        <w:t xml:space="preserve">поступивших</w:t>
      </w:r>
      <w:r>
        <w:rPr>
          <w:i/>
          <w:sz w:val="16"/>
          <w:szCs w:val="16"/>
        </w:rPr>
        <w:t xml:space="preserve"> </w:t>
      </w:r>
      <w:r>
        <w:rPr>
          <w:i/>
          <w:sz w:val="16"/>
          <w:szCs w:val="16"/>
        </w:rPr>
        <w:t xml:space="preserve">от</w:t>
      </w:r>
      <w:r>
        <w:rPr>
          <w:i/>
          <w:sz w:val="16"/>
          <w:szCs w:val="16"/>
        </w:rPr>
        <w:t xml:space="preserve"> </w:t>
      </w:r>
      <w:r>
        <w:rPr>
          <w:i/>
          <w:sz w:val="16"/>
          <w:szCs w:val="16"/>
        </w:rPr>
        <w:t xml:space="preserve">эмитента</w:t>
      </w:r>
      <w:r>
        <w:rPr>
          <w:i/>
          <w:sz w:val="16"/>
          <w:szCs w:val="16"/>
        </w:rPr>
        <w:t xml:space="preserve"> </w:t>
      </w:r>
      <w:r>
        <w:rPr>
          <w:i/>
          <w:sz w:val="16"/>
          <w:szCs w:val="16"/>
        </w:rPr>
        <w:t xml:space="preserve">облигаций</w:t>
      </w:r>
      <w:r>
        <w:rPr>
          <w:i/>
          <w:sz w:val="16"/>
          <w:szCs w:val="16"/>
        </w:rPr>
        <w:t xml:space="preserve"> </w:t>
      </w:r>
      <w:r>
        <w:rPr>
          <w:i/>
          <w:sz w:val="16"/>
          <w:szCs w:val="16"/>
        </w:rPr>
        <w:t xml:space="preserve">для</w:t>
      </w:r>
      <w:r>
        <w:rPr>
          <w:i/>
          <w:sz w:val="16"/>
          <w:szCs w:val="16"/>
        </w:rPr>
        <w:t xml:space="preserve"> </w:t>
      </w:r>
      <w:r>
        <w:rPr>
          <w:i/>
          <w:sz w:val="16"/>
          <w:szCs w:val="16"/>
        </w:rPr>
        <w:t xml:space="preserve">перечисления</w:t>
      </w:r>
      <w:r>
        <w:rPr>
          <w:i/>
          <w:sz w:val="16"/>
          <w:szCs w:val="16"/>
        </w:rPr>
        <w:t xml:space="preserve"> </w:t>
      </w:r>
      <w:r>
        <w:rPr>
          <w:i/>
          <w:sz w:val="16"/>
          <w:szCs w:val="16"/>
        </w:rPr>
        <w:t xml:space="preserve">депонентам</w:t>
      </w:r>
      <w:r>
        <w:rPr>
          <w:i/>
          <w:sz w:val="16"/>
          <w:szCs w:val="16"/>
        </w:rPr>
        <w:t xml:space="preserve"> </w:t>
      </w:r>
      <w:r>
        <w:rPr>
          <w:i/>
          <w:sz w:val="16"/>
          <w:szCs w:val="16"/>
        </w:rPr>
        <w:t xml:space="preserve">уполномоченного</w:t>
      </w:r>
      <w:r>
        <w:rPr>
          <w:i/>
          <w:sz w:val="16"/>
          <w:szCs w:val="16"/>
        </w:rPr>
        <w:t xml:space="preserve"> </w:t>
      </w:r>
      <w:r>
        <w:rPr>
          <w:i/>
          <w:sz w:val="16"/>
          <w:szCs w:val="16"/>
        </w:rPr>
        <w:t xml:space="preserve">депозитария.</w:t>
      </w:r>
      <w:r>
        <w:rPr>
          <w:i/>
          <w:sz w:val="16"/>
          <w:szCs w:val="16"/>
          <w:lang w:val="en-US"/>
        </w:rPr>
      </w:r>
      <w:r>
        <w:rPr>
          <w:i/>
          <w:sz w:val="16"/>
          <w:szCs w:val="16"/>
          <w:lang w:val="en-US"/>
        </w:rPr>
      </w:r>
    </w:p>
    <w:p>
      <w:pPr>
        <w:pStyle w:val="930"/>
      </w:pPr>
      <w:r/>
      <w:r/>
    </w:p>
    <w:p>
      <w:pPr>
        <w:pStyle w:val="934"/>
      </w:pPr>
      <w:r>
        <w:t xml:space="preserve">11. Операции с монетами из драгоценных металлов</w:t>
      </w:r>
      <w:r>
        <w:t xml:space="preserve"> </w:t>
      </w:r>
      <w:r/>
    </w:p>
    <w:p>
      <w:pPr>
        <w:pStyle w:val="9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5"/>
        <w:gridCol w:w="3995"/>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25"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95"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825" w:type="dxa"/>
            <w:vAlign w:val="top"/>
            <w:textDirection w:val="lrTb"/>
            <w:noWrap w:val="false"/>
          </w:tcPr>
          <w:p>
            <w:pPr>
              <w:pStyle w:val="930"/>
              <w:jc w:val="center"/>
              <w:rPr>
                <w:sz w:val="20"/>
              </w:rPr>
            </w:pPr>
            <w:r>
              <w:rPr>
                <w:sz w:val="20"/>
              </w:rPr>
              <w:t xml:space="preserve">11.1.</w:t>
            </w:r>
            <w:r>
              <w:rPr>
                <w:sz w:val="20"/>
              </w:rPr>
            </w:r>
            <w:r>
              <w:rPr>
                <w:sz w:val="20"/>
              </w:rPr>
            </w:r>
          </w:p>
        </w:tc>
        <w:tc>
          <w:tcPr>
            <w:tcBorders>
              <w:bottom w:val="single" w:color="000000" w:sz="4" w:space="0"/>
            </w:tcBorders>
            <w:tcW w:w="3995" w:type="dxa"/>
            <w:vAlign w:val="top"/>
            <w:textDirection w:val="lrTb"/>
            <w:noWrap w:val="false"/>
          </w:tcPr>
          <w:p>
            <w:pPr>
              <w:pStyle w:val="930"/>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930"/>
              <w:rPr>
                <w:sz w:val="20"/>
              </w:rPr>
            </w:pPr>
            <w:r>
              <w:rPr>
                <w:sz w:val="20"/>
              </w:rPr>
              <w:t xml:space="preserve">Характеристика и количество монет:</w:t>
            </w:r>
            <w:r>
              <w:rPr>
                <w:sz w:val="20"/>
              </w:rPr>
            </w:r>
            <w:r>
              <w:rPr>
                <w:sz w:val="20"/>
              </w:rPr>
            </w:r>
          </w:p>
          <w:p>
            <w:pPr>
              <w:pStyle w:val="930"/>
              <w:rPr>
                <w:sz w:val="20"/>
              </w:rPr>
            </w:pPr>
            <w:r>
              <w:rPr>
                <w:sz w:val="20"/>
              </w:rPr>
              <w:t xml:space="preserve">- золото, качество чеканки «анциркулейтед», 7,78 г</w:t>
            </w:r>
            <w:r>
              <w:rPr>
                <w:sz w:val="20"/>
              </w:rPr>
            </w:r>
            <w:r>
              <w:rPr>
                <w:sz w:val="20"/>
              </w:rPr>
            </w:r>
          </w:p>
          <w:p>
            <w:pPr>
              <w:pStyle w:val="930"/>
              <w:rPr>
                <w:sz w:val="20"/>
              </w:rPr>
            </w:pPr>
            <w:r>
              <w:rPr>
                <w:sz w:val="20"/>
              </w:rPr>
              <w:t xml:space="preserve">от 300 до 499 шт.</w:t>
            </w:r>
            <w:r>
              <w:rPr>
                <w:sz w:val="20"/>
              </w:rPr>
            </w:r>
            <w:r>
              <w:rPr>
                <w:sz w:val="20"/>
              </w:rPr>
            </w:r>
          </w:p>
          <w:p>
            <w:pPr>
              <w:pStyle w:val="930"/>
              <w:rPr>
                <w:sz w:val="20"/>
              </w:rPr>
            </w:pPr>
            <w:r>
              <w:rPr>
                <w:sz w:val="20"/>
              </w:rPr>
              <w:t xml:space="preserve">от 500 до 999 шт.</w:t>
            </w:r>
            <w:r>
              <w:rPr>
                <w:sz w:val="20"/>
              </w:rPr>
            </w:r>
            <w:r>
              <w:rPr>
                <w:sz w:val="20"/>
              </w:rPr>
            </w:r>
          </w:p>
          <w:p>
            <w:pPr>
              <w:pStyle w:val="930"/>
              <w:rPr>
                <w:sz w:val="20"/>
              </w:rPr>
            </w:pPr>
            <w:r>
              <w:rPr>
                <w:sz w:val="20"/>
              </w:rPr>
              <w:t xml:space="preserve">от 1000 до 1499 шт.</w:t>
            </w:r>
            <w:r>
              <w:rPr>
                <w:sz w:val="20"/>
              </w:rPr>
            </w:r>
            <w:r>
              <w:rPr>
                <w:sz w:val="20"/>
              </w:rPr>
            </w:r>
          </w:p>
          <w:p>
            <w:pPr>
              <w:pStyle w:val="930"/>
              <w:rPr>
                <w:sz w:val="20"/>
                <w:lang w:val="en-US"/>
              </w:rPr>
            </w:pPr>
            <w:r>
              <w:rPr>
                <w:sz w:val="20"/>
              </w:rPr>
              <w:t xml:space="preserve">от 1500 и более шт.</w:t>
            </w:r>
            <w:r>
              <w:rPr>
                <w:sz w:val="20"/>
                <w:lang w:val="en-US"/>
              </w:rPr>
            </w:r>
            <w:r>
              <w:rPr>
                <w:sz w:val="20"/>
                <w:lang w:val="en-US"/>
              </w:rPr>
            </w:r>
          </w:p>
          <w:p>
            <w:pPr>
              <w:pStyle w:val="930"/>
              <w:rPr>
                <w:sz w:val="20"/>
                <w:lang w:val="en-US"/>
              </w:rPr>
            </w:pPr>
            <w:r>
              <w:rPr>
                <w:sz w:val="20"/>
                <w:lang w:val="en-US"/>
              </w:rPr>
            </w:r>
            <w:r>
              <w:rPr>
                <w:sz w:val="20"/>
                <w:lang w:val="en-US"/>
              </w:rPr>
            </w:r>
            <w:r>
              <w:rPr>
                <w:sz w:val="20"/>
                <w:lang w:val="en-US"/>
              </w:rPr>
            </w:r>
          </w:p>
          <w:p>
            <w:pPr>
              <w:pStyle w:val="930"/>
              <w:rPr>
                <w:sz w:val="20"/>
              </w:rPr>
            </w:pPr>
            <w:r>
              <w:rPr>
                <w:sz w:val="20"/>
              </w:rPr>
              <w:t xml:space="preserve">- серебро, качество чеканки «анциркулейтед», 31,1 г</w:t>
            </w:r>
            <w:r>
              <w:rPr>
                <w:sz w:val="20"/>
              </w:rPr>
            </w:r>
            <w:r>
              <w:rPr>
                <w:sz w:val="20"/>
              </w:rPr>
            </w:r>
          </w:p>
          <w:p>
            <w:pPr>
              <w:pStyle w:val="930"/>
              <w:rPr>
                <w:sz w:val="20"/>
              </w:rPr>
            </w:pPr>
            <w:r>
              <w:rPr>
                <w:sz w:val="20"/>
              </w:rPr>
              <w:t xml:space="preserve">от 500 и более шт.</w:t>
            </w:r>
            <w:r>
              <w:rPr>
                <w:sz w:val="20"/>
              </w:rPr>
            </w:r>
            <w:r>
              <w:rPr>
                <w:sz w:val="20"/>
              </w:rPr>
            </w:r>
          </w:p>
        </w:tc>
        <w:tc>
          <w:tcPr>
            <w:tcBorders>
              <w:bottom w:val="single" w:color="000000" w:sz="4" w:space="0"/>
            </w:tcBorders>
            <w:tcW w:w="1985" w:type="dxa"/>
            <w:vAlign w:val="top"/>
            <w:textDirection w:val="lrTb"/>
            <w:noWrap w:val="false"/>
          </w:tcPr>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t xml:space="preserve">300 руб./шт.</w:t>
            </w:r>
            <w:r>
              <w:rPr>
                <w:sz w:val="20"/>
              </w:rPr>
            </w:r>
            <w:r>
              <w:rPr>
                <w:sz w:val="20"/>
              </w:rPr>
            </w:r>
          </w:p>
          <w:p>
            <w:pPr>
              <w:pStyle w:val="930"/>
              <w:jc w:val="center"/>
              <w:rPr>
                <w:sz w:val="20"/>
              </w:rPr>
            </w:pPr>
            <w:r>
              <w:rPr>
                <w:sz w:val="20"/>
              </w:rPr>
              <w:t xml:space="preserve">280 руб./шт.</w:t>
            </w:r>
            <w:r>
              <w:rPr>
                <w:sz w:val="20"/>
              </w:rPr>
            </w:r>
            <w:r>
              <w:rPr>
                <w:sz w:val="20"/>
              </w:rPr>
            </w:r>
          </w:p>
          <w:p>
            <w:pPr>
              <w:pStyle w:val="930"/>
              <w:jc w:val="center"/>
              <w:rPr>
                <w:sz w:val="20"/>
              </w:rPr>
            </w:pPr>
            <w:r>
              <w:rPr>
                <w:sz w:val="20"/>
              </w:rPr>
              <w:t xml:space="preserve">260 руб./шт.</w:t>
            </w:r>
            <w:r>
              <w:rPr>
                <w:sz w:val="20"/>
              </w:rPr>
            </w:r>
            <w:r>
              <w:rPr>
                <w:sz w:val="20"/>
              </w:rPr>
            </w:r>
          </w:p>
          <w:p>
            <w:pPr>
              <w:pStyle w:val="930"/>
              <w:jc w:val="center"/>
              <w:rPr>
                <w:sz w:val="20"/>
              </w:rPr>
            </w:pPr>
            <w:r>
              <w:rPr>
                <w:sz w:val="20"/>
              </w:rPr>
              <w:t xml:space="preserve">240 руб./шт.</w:t>
            </w:r>
            <w:r>
              <w:rPr>
                <w:sz w:val="20"/>
              </w:rPr>
            </w:r>
            <w:r>
              <w:rPr>
                <w:sz w:val="20"/>
              </w:rPr>
            </w:r>
          </w:p>
          <w:p>
            <w:pPr>
              <w:pStyle w:val="930"/>
              <w:jc w:val="center"/>
              <w:rPr>
                <w:sz w:val="20"/>
              </w:rPr>
            </w:pPr>
            <w:r>
              <w:rPr>
                <w:sz w:val="20"/>
              </w:rPr>
            </w:r>
            <w:r>
              <w:rPr>
                <w:sz w:val="20"/>
              </w:rPr>
            </w:r>
            <w:r>
              <w:rPr>
                <w:sz w:val="20"/>
              </w:rPr>
            </w:r>
          </w:p>
          <w:p>
            <w:pPr>
              <w:pStyle w:val="930"/>
              <w:jc w:val="center"/>
              <w:rPr>
                <w:sz w:val="20"/>
              </w:rPr>
            </w:pPr>
            <w:r>
              <w:rPr>
                <w:sz w:val="20"/>
              </w:rPr>
              <w:t xml:space="preserve">150 руб./шт.</w:t>
            </w:r>
            <w:r>
              <w:rPr>
                <w:sz w:val="20"/>
              </w:rPr>
            </w:r>
            <w:r>
              <w:rPr>
                <w:sz w:val="20"/>
              </w:rPr>
            </w:r>
          </w:p>
        </w:tc>
        <w:tc>
          <w:tcPr>
            <w:tcBorders>
              <w:bottom w:val="single" w:color="000000" w:sz="4" w:space="0"/>
            </w:tcBorders>
            <w:tcW w:w="3543" w:type="dxa"/>
            <w:vAlign w:val="top"/>
            <w:textDirection w:val="lrTb"/>
            <w:noWrap w:val="false"/>
          </w:tcPr>
          <w:p>
            <w:pPr>
              <w:pStyle w:val="930"/>
              <w:rPr>
                <w:sz w:val="20"/>
              </w:rPr>
            </w:pPr>
            <w:r>
              <w:rPr>
                <w:sz w:val="20"/>
              </w:rPr>
              <w:t xml:space="preserve">Комиссия </w:t>
            </w:r>
            <w:r>
              <w:rPr>
                <w:sz w:val="20"/>
              </w:rPr>
              <w:t xml:space="preserve">включает НДС</w:t>
            </w:r>
            <w:r>
              <w:rPr>
                <w:sz w:val="20"/>
              </w:rPr>
            </w:r>
            <w:r>
              <w:rPr>
                <w:sz w:val="20"/>
              </w:rPr>
            </w:r>
          </w:p>
        </w:tc>
      </w:tr>
    </w:tbl>
    <w:p>
      <w:pPr>
        <w:pStyle w:val="930"/>
      </w:pPr>
      <w:r/>
      <w:r/>
    </w:p>
    <w:p>
      <w:pPr>
        <w:pStyle w:val="930"/>
        <w:ind w:left="720"/>
        <w:jc w:val="both"/>
        <w:spacing w:after="120"/>
        <w:rPr>
          <w:b/>
          <w:bCs/>
          <w:sz w:val="22"/>
          <w:szCs w:val="22"/>
        </w:rPr>
      </w:pPr>
      <w:r>
        <w:rPr>
          <w:b/>
          <w:bCs/>
          <w:sz w:val="22"/>
          <w:szCs w:val="22"/>
        </w:rPr>
        <w:t xml:space="preserve">                           </w:t>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3"/>
          <w:szCs w:val="23"/>
        </w:rPr>
      </w:pPr>
      <w:r>
        <w:rPr>
          <w:b/>
          <w:bCs/>
          <w:sz w:val="22"/>
          <w:szCs w:val="22"/>
        </w:rPr>
        <w:t xml:space="preserve">  </w:t>
      </w:r>
      <w:r>
        <w:rPr>
          <w:b/>
          <w:bCs/>
          <w:sz w:val="23"/>
          <w:szCs w:val="23"/>
        </w:rPr>
        <w:t xml:space="preserve">12. Услуги перевозки денежной наличности, других ценностей и обслуживания банкоматов, информационно-платежных терминалов</w:t>
      </w:r>
      <w:r>
        <w:rPr>
          <w:b/>
          <w:bCs/>
          <w:sz w:val="23"/>
          <w:szCs w:val="23"/>
        </w:rPr>
        <w:t xml:space="preserve">*</w:t>
      </w:r>
      <w:r>
        <w:rPr>
          <w:b/>
          <w:bCs/>
          <w:sz w:val="23"/>
          <w:szCs w:val="23"/>
        </w:rPr>
      </w:r>
      <w:r>
        <w:rPr>
          <w:b/>
          <w:bCs/>
          <w:sz w:val="23"/>
          <w:szCs w:val="23"/>
        </w:rPr>
      </w:r>
    </w:p>
    <w:p>
      <w:pPr>
        <w:pStyle w:val="930"/>
        <w:ind w:left="720"/>
        <w:jc w:val="both"/>
        <w:spacing w:after="120"/>
        <w:rPr>
          <w:bCs/>
          <w:color w:val="auto"/>
          <w:sz w:val="23"/>
          <w:szCs w:val="23"/>
        </w:rPr>
      </w:pPr>
      <w:r>
        <w:rPr>
          <w:bCs/>
          <w:color w:val="auto"/>
          <w:sz w:val="23"/>
          <w:szCs w:val="23"/>
        </w:rPr>
        <w:t xml:space="preserve">*</w:t>
      </w:r>
      <w:r>
        <w:rPr>
          <w:bCs/>
          <w:color w:val="auto"/>
          <w:sz w:val="23"/>
          <w:szCs w:val="23"/>
        </w:rPr>
        <w:t xml:space="preserve">Услуга </w:t>
      </w:r>
      <w:r>
        <w:rPr>
          <w:bCs/>
          <w:color w:val="auto"/>
          <w:sz w:val="23"/>
          <w:szCs w:val="23"/>
        </w:rPr>
        <w:t xml:space="preserve">РФ </w:t>
      </w:r>
      <w:r>
        <w:rPr>
          <w:bCs/>
          <w:color w:val="auto"/>
          <w:sz w:val="23"/>
          <w:szCs w:val="23"/>
        </w:rPr>
        <w:t xml:space="preserve">не предоставляется.</w:t>
      </w:r>
      <w:r>
        <w:rPr>
          <w:bCs/>
          <w:color w:val="auto"/>
          <w:sz w:val="23"/>
          <w:szCs w:val="23"/>
        </w:rPr>
      </w:r>
      <w:r>
        <w:rPr>
          <w:bCs/>
          <w:color w:val="auto"/>
          <w:sz w:val="23"/>
          <w:szCs w:val="23"/>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957"/>
        <w:gridCol w:w="1972"/>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b/>
                <w:sz w:val="20"/>
              </w:rPr>
            </w:pPr>
            <w:r>
              <w:rPr>
                <w:b/>
                <w:sz w:val="20"/>
              </w:rPr>
              <w:t xml:space="preserve">№ п/п</w:t>
            </w:r>
            <w:r>
              <w:rPr>
                <w:b/>
                <w:sz w:val="20"/>
              </w:rPr>
            </w:r>
            <w:r>
              <w:rPr>
                <w:b/>
                <w:sz w:val="20"/>
              </w:rPr>
            </w:r>
          </w:p>
        </w:tc>
        <w:tc>
          <w:tcPr>
            <w:tcW w:w="3957" w:type="dxa"/>
            <w:vAlign w:val="top"/>
            <w:textDirection w:val="lrTb"/>
            <w:noWrap w:val="false"/>
          </w:tcPr>
          <w:p>
            <w:pPr>
              <w:pStyle w:val="930"/>
              <w:jc w:val="center"/>
              <w:rPr>
                <w:b/>
                <w:sz w:val="20"/>
              </w:rPr>
            </w:pPr>
            <w:r>
              <w:rPr>
                <w:b/>
                <w:sz w:val="20"/>
              </w:rPr>
              <w:t xml:space="preserve">Наименование услуги</w:t>
            </w:r>
            <w:r>
              <w:rPr>
                <w:b/>
                <w:sz w:val="20"/>
              </w:rPr>
            </w:r>
            <w:r>
              <w:rPr>
                <w:b/>
                <w:sz w:val="20"/>
              </w:rPr>
            </w:r>
          </w:p>
        </w:tc>
        <w:tc>
          <w:tcPr>
            <w:tcW w:w="1972" w:type="dxa"/>
            <w:vAlign w:val="top"/>
            <w:textDirection w:val="lrTb"/>
            <w:noWrap w:val="false"/>
          </w:tcPr>
          <w:p>
            <w:pPr>
              <w:pStyle w:val="930"/>
              <w:jc w:val="center"/>
              <w:rPr>
                <w:b/>
                <w:sz w:val="20"/>
              </w:rPr>
            </w:pPr>
            <w:r>
              <w:rPr>
                <w:b/>
                <w:sz w:val="20"/>
              </w:rPr>
              <w:t xml:space="preserve">Тариф</w:t>
            </w:r>
            <w:r>
              <w:rPr>
                <w:b/>
                <w:sz w:val="20"/>
              </w:rPr>
            </w:r>
            <w:r>
              <w:rPr>
                <w:b/>
                <w:sz w:val="20"/>
              </w:rPr>
            </w:r>
          </w:p>
        </w:tc>
        <w:tc>
          <w:tcPr>
            <w:tcW w:w="3503" w:type="dxa"/>
            <w:vAlign w:val="top"/>
            <w:textDirection w:val="lrTb"/>
            <w:noWrap w:val="false"/>
          </w:tcPr>
          <w:p>
            <w:pPr>
              <w:pStyle w:val="930"/>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12.1.</w:t>
            </w:r>
            <w:r>
              <w:rPr>
                <w:sz w:val="20"/>
              </w:rPr>
            </w:r>
            <w:r>
              <w:rPr>
                <w:sz w:val="20"/>
              </w:rPr>
            </w:r>
          </w:p>
        </w:tc>
        <w:tc>
          <w:tcPr>
            <w:tcW w:w="3957" w:type="dxa"/>
            <w:vAlign w:val="top"/>
            <w:textDirection w:val="lrTb"/>
            <w:noWrap w:val="false"/>
          </w:tcPr>
          <w:p>
            <w:pPr>
              <w:pStyle w:val="930"/>
              <w:rPr>
                <w:sz w:val="20"/>
              </w:rPr>
            </w:pPr>
            <w:r>
              <w:rPr>
                <w:sz w:val="20"/>
              </w:rPr>
              <w:t xml:space="preserve">Доставка денежной наличности из учреждения Банка России в кредитную организацию</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1200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за одну доставку. 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916" w:type="dxa"/>
            <w:vAlign w:val="top"/>
            <w:textDirection w:val="lrTb"/>
            <w:noWrap w:val="false"/>
          </w:tcPr>
          <w:p>
            <w:pPr>
              <w:pStyle w:val="930"/>
              <w:jc w:val="center"/>
              <w:rPr>
                <w:sz w:val="20"/>
              </w:rPr>
            </w:pPr>
            <w:r>
              <w:rPr>
                <w:sz w:val="20"/>
              </w:rPr>
              <w:t xml:space="preserve">12.2</w:t>
            </w:r>
            <w:r>
              <w:rPr>
                <w:sz w:val="20"/>
              </w:rPr>
              <w:t xml:space="preserve">.</w:t>
            </w:r>
            <w:r>
              <w:rPr>
                <w:sz w:val="20"/>
              </w:rPr>
            </w:r>
            <w:r>
              <w:rPr>
                <w:sz w:val="20"/>
              </w:rPr>
            </w:r>
          </w:p>
        </w:tc>
        <w:tc>
          <w:tcPr>
            <w:tcBorders>
              <w:bottom w:val="single" w:color="000000" w:sz="4" w:space="0"/>
            </w:tcBorders>
            <w:tcW w:w="3957" w:type="dxa"/>
            <w:vAlign w:val="top"/>
            <w:textDirection w:val="lrTb"/>
            <w:noWrap w:val="false"/>
          </w:tcPr>
          <w:p>
            <w:pPr>
              <w:pStyle w:val="930"/>
              <w:rPr>
                <w:sz w:val="20"/>
              </w:rPr>
            </w:pPr>
            <w:r>
              <w:rPr>
                <w:sz w:val="20"/>
              </w:rPr>
              <w:t xml:space="preserve">Доставка денежной наличности в учреждение Банка России из кредитной организации</w:t>
            </w:r>
            <w:r>
              <w:rPr>
                <w:sz w:val="20"/>
              </w:rPr>
            </w:r>
            <w:r>
              <w:rPr>
                <w:sz w:val="20"/>
              </w:rPr>
            </w:r>
          </w:p>
        </w:tc>
        <w:tc>
          <w:tcPr>
            <w:tcBorders>
              <w:bottom w:val="single" w:color="000000" w:sz="4" w:space="0"/>
            </w:tcBorders>
            <w:tcW w:w="1972" w:type="dxa"/>
            <w:vAlign w:val="top"/>
            <w:textDirection w:val="lrTb"/>
            <w:noWrap w:val="false"/>
          </w:tcPr>
          <w:p>
            <w:pPr>
              <w:pStyle w:val="930"/>
              <w:jc w:val="center"/>
              <w:rPr>
                <w:sz w:val="20"/>
              </w:rPr>
            </w:pPr>
            <w:r>
              <w:rPr>
                <w:sz w:val="20"/>
              </w:rPr>
              <w:t xml:space="preserve">Не менее 1200 руб.</w:t>
            </w:r>
            <w:r>
              <w:rPr>
                <w:sz w:val="20"/>
              </w:rPr>
            </w:r>
            <w:r>
              <w:rPr>
                <w:sz w:val="20"/>
              </w:rPr>
            </w:r>
          </w:p>
        </w:tc>
        <w:tc>
          <w:tcPr>
            <w:tcBorders>
              <w:bottom w:val="single" w:color="000000" w:sz="4" w:space="0"/>
            </w:tcBorders>
            <w:tcW w:w="3503" w:type="dxa"/>
            <w:vAlign w:val="top"/>
            <w:textDirection w:val="lrTb"/>
            <w:noWrap w:val="false"/>
          </w:tcPr>
          <w:p>
            <w:pPr>
              <w:pStyle w:val="930"/>
              <w:rPr>
                <w:sz w:val="20"/>
              </w:rPr>
            </w:pPr>
            <w:r>
              <w:rPr>
                <w:sz w:val="20"/>
              </w:rPr>
              <w:t xml:space="preserve">Комиссия взимается за одну доставку. 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916" w:type="dxa"/>
            <w:vAlign w:val="top"/>
            <w:textDirection w:val="lrTb"/>
            <w:noWrap w:val="false"/>
          </w:tcPr>
          <w:p>
            <w:pPr>
              <w:pStyle w:val="930"/>
              <w:jc w:val="center"/>
              <w:rPr>
                <w:sz w:val="20"/>
              </w:rPr>
            </w:pPr>
            <w:r>
              <w:rPr>
                <w:sz w:val="20"/>
              </w:rPr>
              <w:t xml:space="preserve">12.3</w:t>
            </w:r>
            <w:r>
              <w:rPr>
                <w:sz w:val="20"/>
              </w:rPr>
              <w:t xml:space="preserve">.</w:t>
            </w:r>
            <w:r>
              <w:rPr>
                <w:sz w:val="20"/>
              </w:rPr>
            </w:r>
            <w:r>
              <w:rPr>
                <w:sz w:val="20"/>
              </w:rPr>
            </w:r>
          </w:p>
        </w:tc>
        <w:tc>
          <w:tcPr>
            <w:tcBorders>
              <w:bottom w:val="single" w:color="000000" w:sz="4" w:space="0"/>
            </w:tcBorders>
            <w:tcW w:w="3957" w:type="dxa"/>
            <w:vAlign w:val="top"/>
            <w:textDirection w:val="lrTb"/>
            <w:noWrap w:val="false"/>
          </w:tcPr>
          <w:p>
            <w:pPr>
              <w:pStyle w:val="930"/>
              <w:rPr>
                <w:sz w:val="20"/>
              </w:rPr>
            </w:pPr>
            <w:r>
              <w:rPr>
                <w:sz w:val="20"/>
              </w:rPr>
              <w:t xml:space="preserve">Перевозка денежной наличности и других ценностей:</w:t>
            </w:r>
            <w:r>
              <w:rPr>
                <w:sz w:val="20"/>
              </w:rPr>
            </w:r>
            <w:r>
              <w:rPr>
                <w:sz w:val="20"/>
              </w:rPr>
            </w:r>
          </w:p>
          <w:p>
            <w:pPr>
              <w:pStyle w:val="930"/>
              <w:rPr>
                <w:sz w:val="20"/>
              </w:rPr>
            </w:pPr>
            <w:r>
              <w:rPr>
                <w:sz w:val="20"/>
              </w:rPr>
              <w:t xml:space="preserve">- между подразделениями кредитной организации;</w:t>
            </w:r>
            <w:r>
              <w:rPr>
                <w:sz w:val="20"/>
              </w:rPr>
            </w:r>
            <w:r>
              <w:rPr>
                <w:sz w:val="20"/>
              </w:rPr>
            </w:r>
          </w:p>
          <w:p>
            <w:pPr>
              <w:pStyle w:val="930"/>
              <w:rPr>
                <w:sz w:val="20"/>
              </w:rPr>
            </w:pPr>
            <w:r>
              <w:rPr>
                <w:sz w:val="20"/>
              </w:rPr>
              <w:t xml:space="preserve">- между подразделениями кредитной организации и подразделениями АО «Россельхозбанк»1</w:t>
            </w:r>
            <w:r>
              <w:rPr>
                <w:sz w:val="20"/>
              </w:rPr>
            </w:r>
            <w:r>
              <w:rPr>
                <w:sz w:val="20"/>
              </w:rPr>
            </w:r>
          </w:p>
        </w:tc>
        <w:tc>
          <w:tcPr>
            <w:tcBorders>
              <w:bottom w:val="single" w:color="000000" w:sz="4" w:space="0"/>
            </w:tcBorders>
            <w:tcW w:w="1972" w:type="dxa"/>
            <w:vAlign w:val="top"/>
            <w:textDirection w:val="lrTb"/>
            <w:noWrap w:val="false"/>
          </w:tcPr>
          <w:p>
            <w:pPr>
              <w:pStyle w:val="930"/>
              <w:jc w:val="center"/>
              <w:rPr>
                <w:sz w:val="20"/>
              </w:rPr>
            </w:pPr>
            <w:r>
              <w:rPr>
                <w:sz w:val="20"/>
              </w:rPr>
              <w:t xml:space="preserve">Не менее 0,015% от суммы,</w:t>
            </w:r>
            <w:r>
              <w:rPr>
                <w:sz w:val="20"/>
              </w:rPr>
            </w:r>
            <w:r>
              <w:rPr>
                <w:sz w:val="20"/>
              </w:rPr>
            </w:r>
          </w:p>
          <w:p>
            <w:pPr>
              <w:pStyle w:val="930"/>
              <w:jc w:val="center"/>
              <w:rPr>
                <w:sz w:val="20"/>
              </w:rPr>
            </w:pPr>
            <w:r>
              <w:rPr>
                <w:sz w:val="20"/>
              </w:rPr>
              <w:t xml:space="preserve">минимум 1200 руб</w:t>
            </w:r>
            <w:r>
              <w:rPr>
                <w:sz w:val="20"/>
              </w:rPr>
              <w:t xml:space="preserve">.</w:t>
            </w:r>
            <w:r>
              <w:rPr>
                <w:sz w:val="20"/>
              </w:rPr>
            </w:r>
            <w:r>
              <w:rPr>
                <w:sz w:val="20"/>
              </w:rPr>
            </w:r>
          </w:p>
        </w:tc>
        <w:tc>
          <w:tcPr>
            <w:tcBorders>
              <w:bottom w:val="single" w:color="000000" w:sz="4" w:space="0"/>
            </w:tcBorders>
            <w:tcW w:w="3503" w:type="dxa"/>
            <w:vAlign w:val="top"/>
            <w:textDirection w:val="lrTb"/>
            <w:noWrap w:val="false"/>
          </w:tcPr>
          <w:p>
            <w:pPr>
              <w:pStyle w:val="930"/>
              <w:rPr>
                <w:sz w:val="20"/>
              </w:rPr>
            </w:pPr>
            <w:r>
              <w:rPr>
                <w:sz w:val="20"/>
              </w:rPr>
              <w:t xml:space="preserve">Комиссия взимается от суммы перевозимой денежной наличности за один заезд*.</w:t>
            </w:r>
            <w:r>
              <w:rPr>
                <w:sz w:val="20"/>
              </w:rPr>
            </w:r>
            <w:r>
              <w:rPr>
                <w:sz w:val="20"/>
              </w:rPr>
            </w:r>
          </w:p>
          <w:p>
            <w:pPr>
              <w:pStyle w:val="930"/>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916" w:type="dxa"/>
            <w:vAlign w:val="top"/>
            <w:textDirection w:val="lrTb"/>
            <w:noWrap w:val="false"/>
          </w:tcPr>
          <w:p>
            <w:pPr>
              <w:pStyle w:val="930"/>
              <w:jc w:val="center"/>
              <w:rPr>
                <w:sz w:val="20"/>
              </w:rPr>
            </w:pPr>
            <w:r>
              <w:rPr>
                <w:sz w:val="20"/>
              </w:rPr>
              <w:t xml:space="preserve">12.4</w:t>
            </w:r>
            <w:r>
              <w:rPr>
                <w:sz w:val="20"/>
              </w:rPr>
              <w:t xml:space="preserve">.</w:t>
            </w:r>
            <w:r>
              <w:rPr>
                <w:sz w:val="20"/>
              </w:rPr>
            </w:r>
            <w:r>
              <w:rPr>
                <w:sz w:val="20"/>
              </w:rPr>
            </w:r>
          </w:p>
        </w:tc>
        <w:tc>
          <w:tcPr>
            <w:gridSpan w:val="2"/>
            <w:tcBorders>
              <w:bottom w:val="single" w:color="000000" w:sz="4" w:space="0"/>
            </w:tcBorders>
            <w:tcW w:w="5929" w:type="dxa"/>
            <w:vAlign w:val="top"/>
            <w:textDirection w:val="lrTb"/>
            <w:noWrap w:val="false"/>
          </w:tcPr>
          <w:p>
            <w:pPr>
              <w:pStyle w:val="930"/>
              <w:rPr>
                <w:sz w:val="20"/>
              </w:rPr>
            </w:pPr>
            <w:r>
              <w:rPr>
                <w:sz w:val="20"/>
              </w:rPr>
              <w:t xml:space="preserve">Обслуживание банкоматов кредитной организации</w:t>
            </w:r>
            <w:r>
              <w:rPr>
                <w:sz w:val="20"/>
              </w:rPr>
            </w:r>
            <w:r>
              <w:rPr>
                <w:sz w:val="20"/>
              </w:rPr>
            </w:r>
          </w:p>
        </w:tc>
        <w:tc>
          <w:tcPr>
            <w:tcBorders>
              <w:bottom w:val="single" w:color="000000" w:sz="4" w:space="0"/>
            </w:tcBorders>
            <w:tcW w:w="3503" w:type="dxa"/>
            <w:vAlign w:val="top"/>
            <w:textDirection w:val="lrTb"/>
            <w:noWrap w:val="false"/>
          </w:tcPr>
          <w:p>
            <w:pPr>
              <w:pStyle w:val="93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12.4.1.</w:t>
            </w:r>
            <w:r>
              <w:rPr>
                <w:sz w:val="20"/>
              </w:rPr>
            </w:r>
            <w:r>
              <w:rPr>
                <w:sz w:val="20"/>
              </w:rPr>
            </w:r>
          </w:p>
        </w:tc>
        <w:tc>
          <w:tcPr>
            <w:tcW w:w="3957" w:type="dxa"/>
            <w:vAlign w:val="top"/>
            <w:textDirection w:val="lrTb"/>
            <w:noWrap w:val="false"/>
          </w:tcPr>
          <w:p>
            <w:pPr>
              <w:pStyle w:val="930"/>
              <w:rPr>
                <w:sz w:val="20"/>
              </w:rPr>
            </w:pPr>
            <w:r>
              <w:rPr>
                <w:sz w:val="20"/>
              </w:rPr>
              <w:t xml:space="preserve">Обслуживание банкоматов** с получением/доставкой кассет банкоматов в кассе(у) кредитной организации</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900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за обслуживание одного банкомата.</w:t>
            </w:r>
            <w:r>
              <w:rPr>
                <w:sz w:val="20"/>
              </w:rPr>
            </w:r>
            <w:r>
              <w:rPr>
                <w:sz w:val="20"/>
              </w:rPr>
            </w:r>
          </w:p>
          <w:p>
            <w:pPr>
              <w:pStyle w:val="930"/>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13"/>
                <w:szCs w:val="13"/>
              </w:rPr>
              <w:t xml:space="preserve">                  1</w:t>
            </w:r>
            <w:r>
              <w:rPr>
                <w:sz w:val="20"/>
              </w:rPr>
            </w:r>
            <w:r>
              <w:rPr>
                <w:sz w:val="20"/>
              </w:rPr>
            </w:r>
          </w:p>
          <w:p>
            <w:pPr>
              <w:pStyle w:val="930"/>
              <w:jc w:val="center"/>
              <w:rPr>
                <w:sz w:val="20"/>
              </w:rPr>
            </w:pPr>
            <w:r>
              <w:rPr>
                <w:sz w:val="20"/>
              </w:rPr>
              <w:t xml:space="preserve">12.4.2</w:t>
            </w:r>
            <w:r>
              <w:rPr>
                <w:sz w:val="20"/>
              </w:rPr>
            </w:r>
            <w:r>
              <w:rPr>
                <w:sz w:val="20"/>
              </w:rPr>
            </w:r>
          </w:p>
        </w:tc>
        <w:tc>
          <w:tcPr>
            <w:tcW w:w="3957" w:type="dxa"/>
            <w:vAlign w:val="top"/>
            <w:textDirection w:val="lrTb"/>
            <w:noWrap w:val="false"/>
          </w:tcPr>
          <w:p>
            <w:pPr>
              <w:pStyle w:val="930"/>
              <w:rPr>
                <w:sz w:val="20"/>
              </w:rPr>
            </w:pPr>
            <w:r>
              <w:rPr>
                <w:sz w:val="20"/>
              </w:rPr>
              <w:t xml:space="preserve">Кассово-инкассационное обслуживание банкоматов***</w:t>
            </w:r>
            <w:r>
              <w:rPr>
                <w:sz w:val="20"/>
              </w:rPr>
            </w:r>
            <w:r>
              <w:rPr>
                <w:sz w:val="20"/>
              </w:rPr>
            </w:r>
          </w:p>
        </w:tc>
        <w:tc>
          <w:tcPr>
            <w:tcW w:w="1972" w:type="dxa"/>
            <w:vAlign w:val="top"/>
            <w:textDirection w:val="lrTb"/>
            <w:noWrap w:val="false"/>
          </w:tcPr>
          <w:p>
            <w:pPr>
              <w:pStyle w:val="930"/>
              <w:jc w:val="center"/>
              <w:rPr>
                <w:sz w:val="20"/>
              </w:rPr>
            </w:pPr>
            <w:r>
              <w:rPr>
                <w:sz w:val="20"/>
              </w:rPr>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за кассово-инкассационное обслуживание одного банкомата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12.4.2.1.</w:t>
            </w:r>
            <w:r>
              <w:rPr>
                <w:sz w:val="20"/>
              </w:rPr>
            </w:r>
            <w:r>
              <w:rPr>
                <w:sz w:val="20"/>
              </w:rPr>
            </w:r>
          </w:p>
        </w:tc>
        <w:tc>
          <w:tcPr>
            <w:tcW w:w="3957" w:type="dxa"/>
            <w:vAlign w:val="top"/>
            <w:textDirection w:val="lrTb"/>
            <w:noWrap w:val="false"/>
          </w:tcPr>
          <w:p>
            <w:pPr>
              <w:pStyle w:val="930"/>
              <w:rPr>
                <w:sz w:val="20"/>
              </w:rPr>
            </w:pPr>
            <w:r>
              <w:rPr>
                <w:sz w:val="20"/>
              </w:rPr>
              <w:t xml:space="preserve">Заезд к банкомату, загрузка/выгрузка кассет в/из банкомат(а) и их доставка в кассу подразделения АО «Россельхозбанк»</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900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12.4.2.2.</w:t>
            </w:r>
            <w:r>
              <w:rPr>
                <w:sz w:val="20"/>
              </w:rPr>
            </w:r>
            <w:r>
              <w:rPr>
                <w:sz w:val="20"/>
              </w:rPr>
            </w:r>
          </w:p>
        </w:tc>
        <w:tc>
          <w:tcPr>
            <w:tcW w:w="3957" w:type="dxa"/>
            <w:vAlign w:val="top"/>
            <w:textDirection w:val="lrTb"/>
            <w:noWrap w:val="false"/>
          </w:tcPr>
          <w:p>
            <w:pPr>
              <w:pStyle w:val="930"/>
              <w:rPr>
                <w:sz w:val="20"/>
              </w:rPr>
            </w:pPr>
            <w:r>
              <w:rPr>
                <w:sz w:val="20"/>
              </w:rPr>
              <w:t xml:space="preserve">Загрузка денежной наличности в кассеты банкомата/выгрузка денежной наличности из кассет банкомата с зачислением на счет респондента</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0,15%</w:t>
            </w:r>
            <w:r>
              <w:rPr>
                <w:sz w:val="20"/>
              </w:rPr>
            </w:r>
            <w:r>
              <w:rPr>
                <w:sz w:val="20"/>
              </w:rPr>
            </w:r>
          </w:p>
          <w:p>
            <w:pPr>
              <w:pStyle w:val="930"/>
              <w:jc w:val="center"/>
              <w:rPr>
                <w:sz w:val="20"/>
              </w:rPr>
            </w:pPr>
            <w:r>
              <w:rPr>
                <w:sz w:val="20"/>
              </w:rPr>
              <w:t xml:space="preserve">от суммы загруженной/</w:t>
            </w:r>
            <w:r>
              <w:rPr>
                <w:sz w:val="20"/>
              </w:rPr>
            </w:r>
            <w:r>
              <w:rPr>
                <w:sz w:val="20"/>
              </w:rPr>
            </w:r>
          </w:p>
          <w:p>
            <w:pPr>
              <w:pStyle w:val="930"/>
              <w:jc w:val="center"/>
              <w:rPr>
                <w:sz w:val="20"/>
              </w:rPr>
            </w:pPr>
            <w:r>
              <w:rPr>
                <w:sz w:val="20"/>
              </w:rPr>
              <w:t xml:space="preserve">выгруженной денежной наличности, минимум 150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в день зачисления на счет респондента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12.5.</w:t>
            </w:r>
            <w:r>
              <w:rPr>
                <w:sz w:val="20"/>
              </w:rPr>
            </w:r>
            <w:r>
              <w:rPr>
                <w:sz w:val="20"/>
              </w:rPr>
            </w:r>
          </w:p>
        </w:tc>
        <w:tc>
          <w:tcPr>
            <w:gridSpan w:val="3"/>
            <w:tcW w:w="9432" w:type="dxa"/>
            <w:vAlign w:val="top"/>
            <w:textDirection w:val="lrTb"/>
            <w:noWrap w:val="false"/>
          </w:tcPr>
          <w:p>
            <w:pPr>
              <w:pStyle w:val="930"/>
              <w:rPr>
                <w:sz w:val="20"/>
              </w:rPr>
            </w:pPr>
            <w:r>
              <w:rPr>
                <w:sz w:val="20"/>
              </w:rPr>
              <w:t xml:space="preserve">Обслуживание информационно-платежных терминалов кредитной организации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12.5.1.</w:t>
            </w:r>
            <w:r>
              <w:rPr>
                <w:sz w:val="20"/>
              </w:rPr>
            </w:r>
            <w:r>
              <w:rPr>
                <w:sz w:val="20"/>
              </w:rPr>
            </w:r>
          </w:p>
        </w:tc>
        <w:tc>
          <w:tcPr>
            <w:tcW w:w="3957" w:type="dxa"/>
            <w:vAlign w:val="top"/>
            <w:textDirection w:val="lrTb"/>
            <w:noWrap w:val="false"/>
          </w:tcPr>
          <w:p>
            <w:pPr>
              <w:pStyle w:val="930"/>
              <w:rPr>
                <w:sz w:val="20"/>
              </w:rPr>
            </w:pPr>
            <w:r>
              <w:rPr>
                <w:sz w:val="20"/>
              </w:rPr>
              <w:t xml:space="preserve">Обслуживание информационно-платежных терминалов** с получением/доставкой кассет информационно-платежных терминалов в кассе(у) кредитной организации</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500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за обслуживание одного информационно-платежного терминала.</w:t>
            </w:r>
            <w:r>
              <w:rPr>
                <w:sz w:val="20"/>
              </w:rPr>
            </w:r>
            <w:r>
              <w:rPr>
                <w:sz w:val="20"/>
              </w:rPr>
            </w:r>
          </w:p>
          <w:p>
            <w:pPr>
              <w:pStyle w:val="930"/>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13"/>
                <w:szCs w:val="13"/>
              </w:rPr>
              <w:t xml:space="preserve">                  1</w:t>
            </w:r>
            <w:r>
              <w:rPr>
                <w:sz w:val="20"/>
              </w:rPr>
            </w:r>
            <w:r>
              <w:rPr>
                <w:sz w:val="20"/>
              </w:rPr>
            </w:r>
          </w:p>
          <w:p>
            <w:pPr>
              <w:pStyle w:val="930"/>
              <w:jc w:val="center"/>
              <w:rPr>
                <w:sz w:val="20"/>
              </w:rPr>
            </w:pPr>
            <w:r>
              <w:rPr>
                <w:sz w:val="20"/>
              </w:rPr>
              <w:t xml:space="preserve">12.5</w:t>
            </w:r>
            <w:r>
              <w:rPr>
                <w:sz w:val="20"/>
              </w:rPr>
              <w:t xml:space="preserve">.2</w:t>
            </w:r>
            <w:r>
              <w:rPr>
                <w:sz w:val="20"/>
              </w:rPr>
            </w:r>
            <w:r>
              <w:rPr>
                <w:sz w:val="20"/>
              </w:rPr>
            </w:r>
          </w:p>
        </w:tc>
        <w:tc>
          <w:tcPr>
            <w:tcW w:w="3957" w:type="dxa"/>
            <w:vAlign w:val="top"/>
            <w:textDirection w:val="lrTb"/>
            <w:noWrap w:val="false"/>
          </w:tcPr>
          <w:p>
            <w:pPr>
              <w:pStyle w:val="930"/>
              <w:rPr>
                <w:sz w:val="20"/>
              </w:rPr>
            </w:pPr>
            <w:r>
              <w:rPr>
                <w:sz w:val="20"/>
              </w:rPr>
              <w:t xml:space="preserve">Кассово-инкассационное обслуживание информационно-платежного терминала****</w:t>
            </w:r>
            <w:r>
              <w:rPr>
                <w:sz w:val="20"/>
              </w:rPr>
            </w:r>
            <w:r>
              <w:rPr>
                <w:sz w:val="20"/>
              </w:rPr>
            </w:r>
          </w:p>
        </w:tc>
        <w:tc>
          <w:tcPr>
            <w:tcW w:w="1972" w:type="dxa"/>
            <w:vAlign w:val="top"/>
            <w:textDirection w:val="lrTb"/>
            <w:noWrap w:val="false"/>
          </w:tcPr>
          <w:p>
            <w:pPr>
              <w:pStyle w:val="930"/>
              <w:jc w:val="center"/>
              <w:rPr>
                <w:sz w:val="20"/>
              </w:rPr>
            </w:pPr>
            <w:r>
              <w:rPr>
                <w:sz w:val="20"/>
              </w:rPr>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за кассово-инкассационное обслуживание одного информационно-платежного терминала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12.5.2.1</w:t>
            </w:r>
            <w:r>
              <w:rPr>
                <w:sz w:val="20"/>
              </w:rPr>
            </w:r>
            <w:r>
              <w:rPr>
                <w:sz w:val="20"/>
              </w:rPr>
            </w:r>
          </w:p>
        </w:tc>
        <w:tc>
          <w:tcPr>
            <w:tcW w:w="3957" w:type="dxa"/>
            <w:vAlign w:val="top"/>
            <w:textDirection w:val="lrTb"/>
            <w:noWrap w:val="false"/>
          </w:tcPr>
          <w:p>
            <w:pPr>
              <w:pStyle w:val="930"/>
              <w:rPr>
                <w:sz w:val="20"/>
              </w:rPr>
            </w:pPr>
            <w:r>
              <w:rPr>
                <w:sz w:val="20"/>
              </w:rP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500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930"/>
              <w:jc w:val="center"/>
              <w:rPr>
                <w:sz w:val="20"/>
              </w:rPr>
            </w:pPr>
            <w:r>
              <w:rPr>
                <w:sz w:val="20"/>
              </w:rPr>
              <w:t xml:space="preserve">12.5.2.2.</w:t>
            </w:r>
            <w:r>
              <w:rPr>
                <w:sz w:val="20"/>
              </w:rPr>
            </w:r>
            <w:r>
              <w:rPr>
                <w:sz w:val="20"/>
              </w:rPr>
            </w:r>
          </w:p>
        </w:tc>
        <w:tc>
          <w:tcPr>
            <w:tcW w:w="3957" w:type="dxa"/>
            <w:vAlign w:val="top"/>
            <w:textDirection w:val="lrTb"/>
            <w:noWrap w:val="false"/>
          </w:tcPr>
          <w:p>
            <w:pPr>
              <w:pStyle w:val="930"/>
              <w:rPr>
                <w:sz w:val="20"/>
              </w:rPr>
            </w:pPr>
            <w:r>
              <w:rPr>
                <w:sz w:val="20"/>
              </w:rPr>
              <w:t xml:space="preserve">Выгрузка денежной наличности из кассет информационно-платежного терминала с зачислением на счет респондента</w:t>
            </w:r>
            <w:r>
              <w:rPr>
                <w:sz w:val="20"/>
              </w:rPr>
            </w:r>
            <w:r>
              <w:rPr>
                <w:sz w:val="20"/>
              </w:rPr>
            </w:r>
          </w:p>
        </w:tc>
        <w:tc>
          <w:tcPr>
            <w:tcW w:w="1972" w:type="dxa"/>
            <w:vAlign w:val="top"/>
            <w:textDirection w:val="lrTb"/>
            <w:noWrap w:val="false"/>
          </w:tcPr>
          <w:p>
            <w:pPr>
              <w:pStyle w:val="930"/>
              <w:jc w:val="center"/>
              <w:rPr>
                <w:sz w:val="20"/>
              </w:rPr>
            </w:pPr>
            <w:r>
              <w:rPr>
                <w:sz w:val="20"/>
              </w:rPr>
              <w:t xml:space="preserve">Не менее 0,15%</w:t>
            </w:r>
            <w:r>
              <w:rPr>
                <w:sz w:val="20"/>
              </w:rPr>
            </w:r>
            <w:r>
              <w:rPr>
                <w:sz w:val="20"/>
              </w:rPr>
            </w:r>
          </w:p>
          <w:p>
            <w:pPr>
              <w:pStyle w:val="930"/>
              <w:jc w:val="center"/>
              <w:rPr>
                <w:sz w:val="20"/>
              </w:rPr>
            </w:pPr>
            <w:r>
              <w:rPr>
                <w:sz w:val="20"/>
              </w:rPr>
              <w:t xml:space="preserve">от суммы выгруженной денежной наличности, минимум 150 руб.</w:t>
            </w:r>
            <w:r>
              <w:rPr>
                <w:sz w:val="20"/>
              </w:rPr>
            </w:r>
            <w:r>
              <w:rPr>
                <w:sz w:val="20"/>
              </w:rPr>
            </w:r>
          </w:p>
        </w:tc>
        <w:tc>
          <w:tcPr>
            <w:tcW w:w="3503" w:type="dxa"/>
            <w:vAlign w:val="top"/>
            <w:textDirection w:val="lrTb"/>
            <w:noWrap w:val="false"/>
          </w:tcPr>
          <w:p>
            <w:pPr>
              <w:pStyle w:val="930"/>
              <w:rPr>
                <w:sz w:val="20"/>
              </w:rPr>
            </w:pPr>
            <w:r>
              <w:rPr>
                <w:sz w:val="20"/>
              </w:rPr>
              <w:t xml:space="preserve">Комиссия взимается в день зачисления на счет респондента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bottom w:val="single" w:color="000000" w:sz="4" w:space="0"/>
            </w:tcBorders>
            <w:tcW w:w="916"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957" w:type="dxa"/>
            <w:vAlign w:val="top"/>
            <w:textDirection w:val="lrTb"/>
            <w:noWrap w:val="false"/>
          </w:tcPr>
          <w:p>
            <w:pPr>
              <w:pStyle w:val="930"/>
              <w:rPr>
                <w:sz w:val="20"/>
              </w:rPr>
            </w:pPr>
            <w:r>
              <w:rPr>
                <w:sz w:val="20"/>
              </w:rPr>
            </w:r>
            <w:r>
              <w:rPr>
                <w:sz w:val="20"/>
              </w:rPr>
            </w:r>
            <w:r>
              <w:rPr>
                <w:sz w:val="20"/>
              </w:rPr>
            </w:r>
          </w:p>
        </w:tc>
        <w:tc>
          <w:tcPr>
            <w:tcBorders>
              <w:bottom w:val="single" w:color="000000" w:sz="4" w:space="0"/>
            </w:tcBorders>
            <w:tcW w:w="1972" w:type="dxa"/>
            <w:vAlign w:val="top"/>
            <w:textDirection w:val="lrTb"/>
            <w:noWrap w:val="false"/>
          </w:tcPr>
          <w:p>
            <w:pPr>
              <w:pStyle w:val="930"/>
              <w:jc w:val="center"/>
              <w:rPr>
                <w:sz w:val="20"/>
              </w:rPr>
            </w:pPr>
            <w:r>
              <w:rPr>
                <w:sz w:val="20"/>
              </w:rPr>
            </w:r>
            <w:r>
              <w:rPr>
                <w:sz w:val="20"/>
              </w:rPr>
            </w:r>
            <w:r>
              <w:rPr>
                <w:sz w:val="20"/>
              </w:rPr>
            </w:r>
          </w:p>
        </w:tc>
        <w:tc>
          <w:tcPr>
            <w:tcBorders>
              <w:bottom w:val="single" w:color="000000" w:sz="4" w:space="0"/>
            </w:tcBorders>
            <w:tcW w:w="3503" w:type="dxa"/>
            <w:vAlign w:val="top"/>
            <w:textDirection w:val="lrTb"/>
            <w:noWrap w:val="false"/>
          </w:tcPr>
          <w:p>
            <w:pPr>
              <w:pStyle w:val="930"/>
              <w:rPr>
                <w:sz w:val="20"/>
              </w:rPr>
            </w:pPr>
            <w:r>
              <w:rPr>
                <w:sz w:val="20"/>
              </w:rPr>
            </w:r>
            <w:r>
              <w:rPr>
                <w:sz w:val="20"/>
              </w:rPr>
            </w:r>
            <w:r>
              <w:rPr>
                <w:sz w:val="20"/>
              </w:rPr>
            </w:r>
          </w:p>
        </w:tc>
      </w:tr>
    </w:tbl>
    <w:p>
      <w:pPr>
        <w:pStyle w:val="958"/>
        <w:rPr>
          <w:sz w:val="20"/>
          <w:szCs w:val="20"/>
        </w:rPr>
      </w:pPr>
      <w:r>
        <w:rPr>
          <w:sz w:val="20"/>
          <w:szCs w:val="20"/>
        </w:rPr>
        <w:t xml:space="preserve">Примечание: </w:t>
      </w:r>
      <w:r>
        <w:rPr>
          <w:sz w:val="20"/>
          <w:szCs w:val="20"/>
        </w:rPr>
      </w:r>
      <w:r>
        <w:rPr>
          <w:sz w:val="20"/>
          <w:szCs w:val="20"/>
        </w:rPr>
      </w:r>
    </w:p>
    <w:p>
      <w:pPr>
        <w:pStyle w:val="958"/>
        <w:rPr>
          <w:sz w:val="20"/>
          <w:szCs w:val="20"/>
        </w:rPr>
      </w:pPr>
      <w:r>
        <w:rPr>
          <w:sz w:val="20"/>
          <w:szCs w:val="20"/>
        </w:rPr>
        <w:t xml:space="preserve">* </w:t>
      </w:r>
      <w:r>
        <w:rPr>
          <w:b/>
          <w:bCs/>
          <w:sz w:val="20"/>
          <w:szCs w:val="20"/>
        </w:rPr>
        <w:t xml:space="preserve">Заезд </w:t>
      </w:r>
      <w:r>
        <w:rPr>
          <w:sz w:val="20"/>
          <w:szCs w:val="20"/>
        </w:rPr>
        <w:t xml:space="preserve">–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 </w:t>
      </w:r>
      <w:r>
        <w:rPr>
          <w:sz w:val="20"/>
          <w:szCs w:val="20"/>
        </w:rPr>
      </w:r>
      <w:r>
        <w:rPr>
          <w:sz w:val="20"/>
          <w:szCs w:val="20"/>
        </w:rPr>
      </w:r>
    </w:p>
    <w:p>
      <w:pPr>
        <w:pStyle w:val="958"/>
        <w:rPr>
          <w:sz w:val="20"/>
          <w:szCs w:val="20"/>
        </w:rPr>
      </w:pPr>
      <w:r>
        <w:rPr>
          <w:sz w:val="20"/>
          <w:szCs w:val="20"/>
        </w:rPr>
        <w:t xml:space="preserve">** </w:t>
      </w:r>
      <w:r>
        <w:rPr>
          <w:b/>
          <w:bCs/>
          <w:sz w:val="20"/>
          <w:szCs w:val="20"/>
        </w:rPr>
        <w:t xml:space="preserve">Обслуживание банкомата/информационно-платежного терминала </w:t>
      </w:r>
      <w:r>
        <w:rPr>
          <w:sz w:val="20"/>
          <w:szCs w:val="20"/>
        </w:rPr>
        <w:t xml:space="preserve">– прибытие бригады инкассаторских работников в кассу клиента для получения кассет, подлежащих загрузке в банкомат/информационно-платежный </w:t>
      </w:r>
      <w:r>
        <w:rPr>
          <w:sz w:val="20"/>
          <w:szCs w:val="20"/>
        </w:rPr>
      </w:r>
      <w:r>
        <w:rPr>
          <w:sz w:val="20"/>
          <w:szCs w:val="20"/>
        </w:rPr>
      </w:r>
    </w:p>
    <w:p>
      <w:pPr>
        <w:pStyle w:val="958"/>
        <w:rPr>
          <w:sz w:val="20"/>
          <w:szCs w:val="20"/>
        </w:rPr>
      </w:pPr>
      <w:r>
        <w:rPr>
          <w:sz w:val="20"/>
          <w:szCs w:val="20"/>
        </w:rPr>
      </w:r>
      <w:r>
        <w:rPr>
          <w:sz w:val="20"/>
          <w:szCs w:val="20"/>
        </w:rPr>
      </w:r>
      <w:r>
        <w:rPr>
          <w:sz w:val="20"/>
          <w:szCs w:val="20"/>
        </w:rPr>
      </w:r>
    </w:p>
    <w:p>
      <w:pPr>
        <w:pStyle w:val="958"/>
        <w:rPr>
          <w:sz w:val="20"/>
          <w:szCs w:val="20"/>
        </w:rPr>
      </w:pPr>
      <w:r>
        <w:rPr>
          <w:sz w:val="20"/>
          <w:szCs w:val="20"/>
        </w:rPr>
        <w:t xml:space="preserve">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 </w:t>
      </w:r>
      <w:r>
        <w:rPr>
          <w:sz w:val="20"/>
          <w:szCs w:val="20"/>
        </w:rPr>
      </w:r>
      <w:r>
        <w:rPr>
          <w:sz w:val="20"/>
          <w:szCs w:val="20"/>
        </w:rPr>
      </w:r>
    </w:p>
    <w:p>
      <w:pPr>
        <w:pStyle w:val="958"/>
        <w:rPr>
          <w:sz w:val="20"/>
          <w:szCs w:val="20"/>
        </w:rPr>
      </w:pPr>
      <w:r>
        <w:rPr>
          <w:sz w:val="20"/>
          <w:szCs w:val="20"/>
        </w:rPr>
        <w:t xml:space="preserve">*** </w:t>
      </w:r>
      <w:r>
        <w:rPr>
          <w:b/>
          <w:bCs/>
          <w:sz w:val="20"/>
          <w:szCs w:val="20"/>
        </w:rPr>
        <w:t xml:space="preserve">Кассово-инкассационное обслуживание банкомата </w:t>
      </w:r>
      <w:r>
        <w:rPr>
          <w:sz w:val="20"/>
          <w:szCs w:val="20"/>
        </w:rPr>
        <w:t xml:space="preserve">– загрузка денежной наличности в кассеты банкомата, прибытие бригады инкассаторских работников к банкомату, за</w:t>
      </w:r>
      <w:r>
        <w:rPr>
          <w:sz w:val="20"/>
          <w:szCs w:val="20"/>
        </w:rP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rPr>
          <w:sz w:val="20"/>
          <w:szCs w:val="20"/>
        </w:rPr>
      </w:r>
      <w:r>
        <w:rPr>
          <w:sz w:val="20"/>
          <w:szCs w:val="20"/>
        </w:rPr>
      </w:r>
    </w:p>
    <w:p>
      <w:pPr>
        <w:pStyle w:val="958"/>
        <w:rPr>
          <w:sz w:val="20"/>
          <w:szCs w:val="20"/>
        </w:rPr>
      </w:pPr>
      <w:r>
        <w:rPr>
          <w:sz w:val="20"/>
          <w:szCs w:val="20"/>
        </w:rPr>
        <w:t xml:space="preserve">**** </w:t>
      </w:r>
      <w:r>
        <w:rPr>
          <w:b/>
          <w:bCs/>
          <w:sz w:val="20"/>
          <w:szCs w:val="20"/>
        </w:rPr>
        <w:t xml:space="preserve">Кассово-инкассационное обслуживание информационно-платежного терминала (ИПТ) </w:t>
      </w:r>
      <w:r>
        <w:rPr>
          <w:sz w:val="20"/>
          <w:szCs w:val="20"/>
        </w:rPr>
        <w:t xml:space="preserve">– прибытие бригады инкассаторских работников к ИПТ</w:t>
      </w:r>
      <w:r>
        <w:rPr>
          <w:sz w:val="20"/>
          <w:szCs w:val="20"/>
        </w:rPr>
        <w:t xml:space="preserve">,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 </w:t>
      </w:r>
      <w:r>
        <w:rPr>
          <w:sz w:val="20"/>
          <w:szCs w:val="20"/>
        </w:rPr>
      </w:r>
      <w:r>
        <w:rPr>
          <w:sz w:val="20"/>
          <w:szCs w:val="20"/>
        </w:rPr>
      </w:r>
    </w:p>
    <w:p>
      <w:pPr>
        <w:pStyle w:val="958"/>
        <w:rPr>
          <w:sz w:val="20"/>
          <w:szCs w:val="20"/>
        </w:rPr>
      </w:pPr>
      <w:r>
        <w:rPr>
          <w:sz w:val="20"/>
          <w:szCs w:val="20"/>
        </w:rPr>
        <w:t xml:space="preserve">_______________ </w:t>
      </w:r>
      <w:r>
        <w:rPr>
          <w:sz w:val="20"/>
          <w:szCs w:val="20"/>
        </w:rPr>
      </w:r>
      <w:r>
        <w:rPr>
          <w:sz w:val="20"/>
          <w:szCs w:val="20"/>
        </w:rPr>
      </w:r>
    </w:p>
    <w:p>
      <w:pPr>
        <w:pStyle w:val="930"/>
        <w:jc w:val="both"/>
        <w:spacing w:after="120"/>
        <w:rPr>
          <w:sz w:val="20"/>
        </w:rPr>
      </w:pPr>
      <w:r>
        <w:rPr>
          <w:sz w:val="13"/>
          <w:szCs w:val="13"/>
        </w:rPr>
        <w:t xml:space="preserve">1 </w:t>
      </w:r>
      <w:r>
        <w:rPr>
          <w:sz w:val="20"/>
        </w:rPr>
        <w:t xml:space="preserve">При наличии корреспондентского счета в АО «Россельхозбанк».</w:t>
      </w:r>
      <w:r>
        <w:rPr>
          <w:sz w:val="20"/>
        </w:rPr>
      </w:r>
      <w:r>
        <w:rPr>
          <w:sz w:val="20"/>
        </w:rPr>
      </w:r>
    </w:p>
    <w:p>
      <w:pPr>
        <w:pStyle w:val="930"/>
        <w:jc w:val="both"/>
        <w:spacing w:after="120"/>
        <w:rPr>
          <w:b/>
          <w:bCs/>
          <w:sz w:val="22"/>
          <w:szCs w:val="22"/>
        </w:rPr>
      </w:pPr>
      <w:r>
        <w:rPr>
          <w:b/>
          <w:bCs/>
          <w:sz w:val="22"/>
          <w:szCs w:val="22"/>
        </w:rPr>
      </w:r>
      <w:r>
        <w:rPr>
          <w:b/>
          <w:bCs/>
          <w:sz w:val="22"/>
          <w:szCs w:val="22"/>
        </w:rPr>
      </w:r>
      <w:r>
        <w:rPr>
          <w:b/>
          <w:bCs/>
          <w:sz w:val="22"/>
          <w:szCs w:val="22"/>
        </w:rPr>
      </w:r>
    </w:p>
    <w:p>
      <w:pPr>
        <w:pStyle w:val="930"/>
        <w:ind w:left="720"/>
        <w:jc w:val="both"/>
        <w:spacing w:after="120"/>
        <w:rPr>
          <w:b/>
          <w:bCs/>
          <w:sz w:val="22"/>
          <w:szCs w:val="22"/>
        </w:rPr>
      </w:pPr>
      <w:r>
        <w:rPr>
          <w:b/>
          <w:bCs/>
          <w:sz w:val="22"/>
          <w:szCs w:val="22"/>
        </w:rPr>
        <w:t xml:space="preserve">                               </w:t>
      </w:r>
      <w:r>
        <w:rPr>
          <w:b/>
          <w:bCs/>
          <w:sz w:val="22"/>
          <w:szCs w:val="22"/>
        </w:rPr>
        <w:t xml:space="preserve">1</w:t>
      </w:r>
      <w:r>
        <w:rPr>
          <w:b/>
          <w:bCs/>
          <w:sz w:val="22"/>
          <w:szCs w:val="22"/>
        </w:rPr>
        <w:t xml:space="preserve">3</w:t>
      </w:r>
      <w:r>
        <w:rPr>
          <w:b/>
          <w:bCs/>
          <w:sz w:val="22"/>
          <w:szCs w:val="22"/>
        </w:rPr>
        <w:t xml:space="preserve">. Сделки на Монетной площадке Банка России</w:t>
      </w:r>
      <w:r>
        <w:rPr>
          <w:b/>
          <w:bCs/>
          <w:sz w:val="22"/>
          <w:szCs w:val="22"/>
        </w:rPr>
      </w:r>
      <w:r>
        <w:rPr>
          <w:b/>
          <w:bCs/>
          <w:sz w:val="22"/>
          <w:szCs w:val="22"/>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929"/>
        <w:gridCol w:w="4857"/>
        <w:gridCol w:w="2037"/>
        <w:gridCol w:w="2191"/>
      </w:tblGrid>
      <w:tr>
        <w:tblPrEx/>
        <w:trPr/>
        <w:tc>
          <w:tcPr>
            <w:tcBorders>
              <w:top w:val="single" w:color="000000" w:sz="4" w:space="0"/>
              <w:left w:val="single" w:color="000000" w:sz="4" w:space="0"/>
              <w:bottom w:val="single" w:color="000000" w:sz="4" w:space="0"/>
              <w:right w:val="single" w:color="000000" w:sz="4" w:space="0"/>
            </w:tcBorders>
            <w:tcW w:w="464" w:type="pct"/>
            <w:vAlign w:val="center"/>
            <w:textDirection w:val="lrTb"/>
            <w:noWrap w:val="false"/>
          </w:tcPr>
          <w:p>
            <w:pPr>
              <w:pStyle w:val="930"/>
              <w:rPr>
                <w:bCs/>
                <w:szCs w:val="24"/>
              </w:rPr>
            </w:pPr>
            <w:r>
              <w:rPr>
                <w:bCs/>
                <w:szCs w:val="24"/>
              </w:rPr>
              <w:t xml:space="preserve">№ п/п</w:t>
            </w:r>
            <w:r>
              <w:rPr>
                <w:bCs/>
                <w:szCs w:val="24"/>
              </w:rPr>
            </w:r>
            <w:r>
              <w:rPr>
                <w:bCs/>
                <w:szCs w:val="24"/>
              </w:rPr>
            </w:r>
          </w:p>
        </w:tc>
        <w:tc>
          <w:tcPr>
            <w:tcBorders>
              <w:top w:val="single" w:color="000000" w:sz="4" w:space="0"/>
              <w:left w:val="single" w:color="000000" w:sz="4" w:space="0"/>
              <w:bottom w:val="single" w:color="000000" w:sz="4" w:space="0"/>
              <w:right w:val="single" w:color="000000" w:sz="4" w:space="0"/>
            </w:tcBorders>
            <w:tcW w:w="2425" w:type="pct"/>
            <w:vAlign w:val="center"/>
            <w:textDirection w:val="lrTb"/>
            <w:noWrap w:val="false"/>
          </w:tcPr>
          <w:p>
            <w:pPr>
              <w:pStyle w:val="930"/>
              <w:rPr>
                <w:bCs/>
                <w:szCs w:val="24"/>
              </w:rPr>
            </w:pPr>
            <w:r>
              <w:rPr>
                <w:bCs/>
                <w:szCs w:val="24"/>
              </w:rPr>
              <w:t xml:space="preserve">Наименование услуги</w:t>
            </w:r>
            <w:r>
              <w:rPr>
                <w:bCs/>
                <w:szCs w:val="24"/>
              </w:rPr>
            </w:r>
            <w:r>
              <w:rPr>
                <w:bCs/>
                <w:szCs w:val="24"/>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30"/>
              <w:rPr>
                <w:bCs/>
                <w:szCs w:val="24"/>
              </w:rPr>
            </w:pPr>
            <w:r>
              <w:rPr>
                <w:bCs/>
                <w:szCs w:val="24"/>
              </w:rPr>
              <w:t xml:space="preserve">Тариф</w:t>
            </w:r>
            <w:r>
              <w:rPr>
                <w:bCs/>
                <w:szCs w:val="24"/>
              </w:rPr>
            </w:r>
            <w:r>
              <w:rPr>
                <w:bCs/>
                <w:szCs w:val="24"/>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30"/>
              <w:rPr>
                <w:bCs/>
                <w:szCs w:val="24"/>
              </w:rPr>
            </w:pPr>
            <w:r>
              <w:rPr>
                <w:bCs/>
                <w:szCs w:val="24"/>
              </w:rPr>
              <w:t xml:space="preserve">Примечание</w:t>
            </w:r>
            <w:r>
              <w:rPr>
                <w:bCs/>
                <w:szCs w:val="24"/>
              </w:rPr>
            </w:r>
            <w:r>
              <w:rPr>
                <w:bCs/>
                <w:szCs w:val="24"/>
              </w:rPr>
            </w:r>
          </w:p>
        </w:tc>
      </w:tr>
      <w:tr>
        <w:tblPrEx/>
        <w:trPr/>
        <w:tc>
          <w:tcPr>
            <w:tcBorders>
              <w:top w:val="single" w:color="000000" w:sz="4" w:space="0"/>
              <w:left w:val="single" w:color="000000" w:sz="4" w:space="0"/>
              <w:bottom w:val="single" w:color="000000" w:sz="4" w:space="0"/>
              <w:right w:val="single" w:color="000000" w:sz="4" w:space="0"/>
            </w:tcBorders>
            <w:tcW w:w="464" w:type="pct"/>
            <w:vAlign w:val="top"/>
            <w:textDirection w:val="lrTb"/>
            <w:noWrap w:val="false"/>
          </w:tcPr>
          <w:p>
            <w:pPr>
              <w:pStyle w:val="930"/>
              <w:rPr>
                <w:bCs/>
                <w:sz w:val="20"/>
              </w:rPr>
            </w:pPr>
            <w:r>
              <w:rPr>
                <w:bCs/>
                <w:sz w:val="20"/>
              </w:rPr>
              <w:t xml:space="preserve">1</w:t>
            </w:r>
            <w:r>
              <w:rPr>
                <w:bCs/>
                <w:sz w:val="20"/>
              </w:rPr>
              <w:t xml:space="preserve">2</w:t>
            </w:r>
            <w:r>
              <w:rPr>
                <w:bCs/>
                <w:sz w:val="20"/>
              </w:rPr>
              <w:t xml:space="preserve">.1.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5" w:type="pct"/>
            <w:vAlign w:val="top"/>
            <w:textDirection w:val="lrTb"/>
            <w:noWrap w:val="false"/>
          </w:tcPr>
          <w:p>
            <w:pPr>
              <w:pStyle w:val="930"/>
              <w:rPr>
                <w:bCs/>
                <w:sz w:val="20"/>
              </w:rPr>
            </w:pPr>
            <w:r>
              <w:rPr>
                <w:bCs/>
                <w:sz w:val="20"/>
              </w:rPr>
              <w:t xml:space="preserve">Выдача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30"/>
              <w:spacing w:before="120" w:after="120"/>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30"/>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согласованных на Монетной площадке Банка России.</w:t>
            </w:r>
            <w:r>
              <w:rPr>
                <w:bCs/>
                <w:sz w:val="20"/>
              </w:rPr>
            </w:r>
            <w:r>
              <w:rPr>
                <w:bCs/>
                <w:sz w:val="20"/>
              </w:rPr>
            </w:r>
          </w:p>
          <w:p>
            <w:pPr>
              <w:pStyle w:val="930"/>
              <w:spacing w:before="120" w:after="120"/>
              <w:rPr>
                <w:bCs/>
                <w:sz w:val="20"/>
              </w:rPr>
            </w:pPr>
            <w:r>
              <w:rPr>
                <w:bCs/>
                <w:sz w:val="20"/>
              </w:rPr>
              <w:t xml:space="preserve">Комиссия указана за одну сделку, взимается в дату, указанную в Заявке на получение монеты Банка России.</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464" w:type="pct"/>
            <w:vAlign w:val="top"/>
            <w:textDirection w:val="lrTb"/>
            <w:noWrap w:val="false"/>
          </w:tcPr>
          <w:p>
            <w:pPr>
              <w:pStyle w:val="930"/>
              <w:rPr>
                <w:bCs/>
                <w:sz w:val="20"/>
              </w:rPr>
            </w:pPr>
            <w:r>
              <w:rPr>
                <w:bCs/>
                <w:sz w:val="20"/>
              </w:rPr>
              <w:t xml:space="preserve">1</w:t>
            </w:r>
            <w:r>
              <w:rPr>
                <w:bCs/>
                <w:sz w:val="20"/>
              </w:rPr>
              <w:t xml:space="preserve">2</w:t>
            </w:r>
            <w:r>
              <w:rPr>
                <w:bCs/>
                <w:sz w:val="20"/>
              </w:rPr>
              <w:t xml:space="preserve">.2.</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5" w:type="pct"/>
            <w:vAlign w:val="top"/>
            <w:textDirection w:val="lrTb"/>
            <w:noWrap w:val="false"/>
          </w:tcPr>
          <w:p>
            <w:pPr>
              <w:pStyle w:val="930"/>
              <w:rPr>
                <w:bCs/>
                <w:sz w:val="20"/>
              </w:rPr>
            </w:pPr>
            <w:r>
              <w:rPr>
                <w:bCs/>
                <w:sz w:val="20"/>
              </w:rPr>
              <w:t xml:space="preserve">Размен банкнот на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30"/>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30"/>
              <w:jc w:val="both"/>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bCs/>
                <w:sz w:val="20"/>
              </w:rPr>
            </w:r>
            <w:r>
              <w:rPr>
                <w:bCs/>
                <w:sz w:val="20"/>
              </w:rPr>
            </w:r>
          </w:p>
          <w:p>
            <w:pPr>
              <w:pStyle w:val="930"/>
              <w:jc w:val="both"/>
              <w:rPr>
                <w:bCs/>
                <w:sz w:val="20"/>
              </w:rPr>
            </w:pPr>
            <w:r>
              <w:rPr>
                <w:bCs/>
                <w:sz w:val="20"/>
              </w:rPr>
              <w:t xml:space="preserve">согласованных на Монетной площадке Банка России. </w:t>
            </w:r>
            <w:r>
              <w:rPr>
                <w:bCs/>
                <w:sz w:val="20"/>
              </w:rPr>
            </w:r>
            <w:r>
              <w:rPr>
                <w:bCs/>
                <w:sz w:val="20"/>
              </w:rPr>
            </w:r>
          </w:p>
          <w:p>
            <w:pPr>
              <w:pStyle w:val="930"/>
              <w:jc w:val="both"/>
              <w:rPr>
                <w:bCs/>
                <w:sz w:val="20"/>
              </w:rPr>
            </w:pPr>
            <w:r>
              <w:rPr>
                <w:bCs/>
                <w:sz w:val="20"/>
              </w:rPr>
              <w:t xml:space="preserve">Комиссия указана за одну сделку, взимается в дату, указанную в Заявке о размене банкнот Банка России на монету Банка России.</w:t>
            </w:r>
            <w:r>
              <w:rPr>
                <w:bCs/>
                <w:sz w:val="20"/>
              </w:rPr>
            </w:r>
            <w:r>
              <w:rPr>
                <w:bCs/>
                <w:sz w:val="20"/>
              </w:rPr>
            </w:r>
          </w:p>
        </w:tc>
      </w:tr>
    </w:tbl>
    <w:p>
      <w:pPr>
        <w:pStyle w:val="930"/>
        <w:ind w:left="360"/>
        <w:jc w:val="both"/>
        <w:rPr>
          <w:szCs w:val="24"/>
        </w:rPr>
      </w:pPr>
      <w:r>
        <w:rPr>
          <w:szCs w:val="24"/>
        </w:rPr>
      </w:r>
      <w:r>
        <w:rPr>
          <w:szCs w:val="24"/>
        </w:rPr>
      </w:r>
      <w:r>
        <w:rPr>
          <w:szCs w:val="24"/>
        </w:rPr>
      </w:r>
    </w:p>
    <w:sectPr>
      <w:headerReference w:type="default" r:id="rId9"/>
      <w:headerReference w:type="first" r:id="rId10"/>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30"/>
        <w:jc w:val="both"/>
        <w:rPr>
          <w:bCs/>
          <w:sz w:val="20"/>
        </w:rPr>
      </w:pPr>
      <w:r>
        <w:rPr>
          <w:rStyle w:val="953"/>
          <w:sz w:val="20"/>
        </w:rPr>
        <w:footnoteRef/>
      </w:r>
      <w:r>
        <w:rPr>
          <w:sz w:val="20"/>
        </w:rPr>
        <w:t xml:space="preserve"> [</w:t>
      </w:r>
      <w:r>
        <w:rPr>
          <w:sz w:val="20"/>
        </w:rPr>
        <w:t xml:space="preserve">номер сноски указывается в соответствии с нумерацией сносок в </w:t>
      </w:r>
      <w:r>
        <w:rPr>
          <w:bCs/>
          <w:sz w:val="20"/>
        </w:rPr>
        <w:t xml:space="preserve">Тарифы комиссионного вознаграждения </w:t>
      </w:r>
      <w:r>
        <w:rPr>
          <w:bCs/>
          <w:sz w:val="20"/>
        </w:rPr>
      </w:r>
      <w:r>
        <w:rPr>
          <w:bCs/>
          <w:sz w:val="20"/>
        </w:rPr>
      </w:r>
    </w:p>
    <w:p>
      <w:pPr>
        <w:pStyle w:val="952"/>
        <w:jc w:val="both"/>
        <w:rPr>
          <w:sz w:val="20"/>
        </w:rPr>
      </w:pPr>
      <w:r>
        <w:rPr>
          <w:bCs/>
          <w:sz w:val="20"/>
        </w:rPr>
        <w:t xml:space="preserve">АО «Россельхозбанк» на услуги кредитным организациям</w:t>
      </w:r>
      <w:r>
        <w:rPr>
          <w:sz w:val="20"/>
        </w:rPr>
        <w:t xml:space="preserve">]</w:t>
      </w:r>
      <w:r>
        <w:rPr>
          <w:sz w:val="20"/>
        </w:rPr>
      </w:r>
      <w:r>
        <w:rPr>
          <w:sz w:val="20"/>
        </w:rPr>
      </w:r>
    </w:p>
    <w:p>
      <w:pPr>
        <w:pStyle w:val="952"/>
        <w:jc w:val="both"/>
        <w:rPr>
          <w:sz w:val="20"/>
        </w:rPr>
      </w:pPr>
      <w:r>
        <w:rPr>
          <w:sz w:val="20"/>
        </w:rPr>
        <w:t xml:space="preserve">Пункт не распространяется на корреспондентские счета в драгоценных металлах. </w:t>
      </w:r>
      <w:r>
        <w:rPr>
          <w:sz w:val="20"/>
        </w:rPr>
      </w:r>
      <w:r>
        <w:rPr>
          <w:sz w:val="20"/>
        </w:rPr>
      </w:r>
    </w:p>
  </w:footnote>
  <w:footnote w:id="3">
    <w:p>
      <w:pPr>
        <w:pStyle w:val="913"/>
        <w:rPr>
          <w:color w:val="auto"/>
        </w:rPr>
      </w:pPr>
      <w:r>
        <w:rPr>
          <w:rStyle w:val="915"/>
        </w:rPr>
        <w:footnoteRef/>
      </w:r>
      <w:r>
        <w:rPr>
          <w:bCs/>
          <w:iCs/>
          <w:color w:val="auto"/>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color w:val="auto"/>
        </w:rPr>
        <w:t xml:space="preserve"> </w:t>
      </w:r>
      <w:r>
        <w:rPr>
          <w:color w:val="auto"/>
        </w:rPr>
      </w:r>
      <w:r>
        <w:rPr>
          <w:color w:val="auto"/>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rPr>
        <w:rStyle w:val="948"/>
      </w:rPr>
      <w:framePr w:vAnchor="text" w:hAnchor="margin" w:xAlign="center" w:y="1"/>
    </w:pPr>
    <w:r>
      <w:rPr>
        <w:rStyle w:val="948"/>
      </w:rPr>
      <w:fldChar w:fldCharType="begin"/>
    </w:r>
    <w:r>
      <w:rPr>
        <w:rStyle w:val="948"/>
      </w:rPr>
      <w:instrText xml:space="preserve">PAGE  </w:instrText>
    </w:r>
    <w:r>
      <w:rPr>
        <w:rStyle w:val="948"/>
      </w:rPr>
      <w:fldChar w:fldCharType="separate"/>
    </w:r>
    <w:r>
      <w:rPr>
        <w:rStyle w:val="948"/>
      </w:rPr>
      <w:t xml:space="preserve">2</w:t>
    </w:r>
    <w:r>
      <w:rPr>
        <w:rStyle w:val="948"/>
      </w:rPr>
      <w:fldChar w:fldCharType="end"/>
    </w:r>
    <w:r>
      <w:rPr>
        <w:rStyle w:val="948"/>
      </w:rPr>
    </w:r>
    <w:r>
      <w:rPr>
        <w:rStyle w:val="948"/>
      </w:rPr>
    </w:r>
  </w:p>
  <w:p>
    <w:pPr>
      <w:pStyle w:val="94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rPr>
        <w:color w:val="ffffff"/>
        <w:lang w:val="ru-RU"/>
      </w:rPr>
    </w:pPr>
    <w:r>
      <w:rPr>
        <w:color w:val="ffffff"/>
        <w:lang w:val="ru-RU"/>
      </w:rPr>
      <w:t xml:space="preserve">2013.09.30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70"/>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8"/>
  </w:num>
  <w:num w:numId="2">
    <w:abstractNumId w:val="13"/>
  </w:num>
  <w:num w:numId="3">
    <w:abstractNumId w:val="16"/>
  </w:num>
  <w:num w:numId="4">
    <w:abstractNumId w:val="1"/>
  </w:num>
  <w:num w:numId="5">
    <w:abstractNumId w:val="12"/>
  </w:num>
  <w:num w:numId="6">
    <w:abstractNumId w:val="15"/>
  </w:num>
  <w:num w:numId="7">
    <w:abstractNumId w:val="10"/>
  </w:num>
  <w:num w:numId="8">
    <w:abstractNumId w:val="20"/>
  </w:num>
  <w:num w:numId="9">
    <w:abstractNumId w:val="6"/>
  </w:num>
  <w:num w:numId="10">
    <w:abstractNumId w:val="2"/>
  </w:num>
  <w:num w:numId="11">
    <w:abstractNumId w:val="8"/>
  </w:num>
  <w:num w:numId="12">
    <w:abstractNumId w:val="4"/>
  </w:num>
  <w:num w:numId="13">
    <w:abstractNumId w:val="0"/>
  </w:num>
  <w:num w:numId="14">
    <w:abstractNumId w:val="17"/>
  </w:num>
  <w:num w:numId="15">
    <w:abstractNumId w:val="9"/>
  </w:num>
  <w:num w:numId="16">
    <w:abstractNumId w:val="19"/>
  </w:num>
  <w:num w:numId="17">
    <w:abstractNumId w:val="7"/>
  </w:num>
  <w:num w:numId="18">
    <w:abstractNumId w:val="3"/>
  </w:num>
  <w:num w:numId="19">
    <w:abstractNumId w:val="11"/>
  </w:num>
  <w:num w:numId="20">
    <w:abstractNumId w:val="1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2">
    <w:name w:val="Heading 1"/>
    <w:basedOn w:val="930"/>
    <w:next w:val="930"/>
    <w:link w:val="753"/>
    <w:uiPriority w:val="9"/>
    <w:qFormat/>
    <w:pPr>
      <w:keepLines/>
      <w:keepNext/>
      <w:spacing w:before="480" w:after="200"/>
      <w:outlineLvl w:val="0"/>
    </w:pPr>
    <w:rPr>
      <w:rFonts w:ascii="Arial" w:hAnsi="Arial" w:eastAsia="Arial" w:cs="Arial"/>
      <w:sz w:val="40"/>
      <w:szCs w:val="40"/>
    </w:rPr>
  </w:style>
  <w:style w:type="character" w:styleId="753">
    <w:name w:val="Heading 1 Char"/>
    <w:link w:val="752"/>
    <w:uiPriority w:val="9"/>
    <w:rPr>
      <w:rFonts w:ascii="Arial" w:hAnsi="Arial" w:eastAsia="Arial" w:cs="Arial"/>
      <w:sz w:val="40"/>
      <w:szCs w:val="40"/>
    </w:rPr>
  </w:style>
  <w:style w:type="paragraph" w:styleId="754">
    <w:name w:val="Heading 2"/>
    <w:basedOn w:val="930"/>
    <w:next w:val="930"/>
    <w:link w:val="755"/>
    <w:uiPriority w:val="9"/>
    <w:unhideWhenUsed/>
    <w:qFormat/>
    <w:pPr>
      <w:keepLines/>
      <w:keepNext/>
      <w:spacing w:before="360" w:after="200"/>
      <w:outlineLvl w:val="1"/>
    </w:pPr>
    <w:rPr>
      <w:rFonts w:ascii="Arial" w:hAnsi="Arial" w:eastAsia="Arial" w:cs="Arial"/>
      <w:sz w:val="34"/>
    </w:rPr>
  </w:style>
  <w:style w:type="character" w:styleId="755">
    <w:name w:val="Heading 2 Char"/>
    <w:link w:val="754"/>
    <w:uiPriority w:val="9"/>
    <w:rPr>
      <w:rFonts w:ascii="Arial" w:hAnsi="Arial" w:eastAsia="Arial" w:cs="Arial"/>
      <w:sz w:val="34"/>
    </w:rPr>
  </w:style>
  <w:style w:type="paragraph" w:styleId="756">
    <w:name w:val="Heading 3"/>
    <w:basedOn w:val="930"/>
    <w:next w:val="930"/>
    <w:link w:val="757"/>
    <w:uiPriority w:val="9"/>
    <w:unhideWhenUsed/>
    <w:qFormat/>
    <w:pPr>
      <w:keepLines/>
      <w:keepNext/>
      <w:spacing w:before="320" w:after="200"/>
      <w:outlineLvl w:val="2"/>
    </w:pPr>
    <w:rPr>
      <w:rFonts w:ascii="Arial" w:hAnsi="Arial" w:eastAsia="Arial" w:cs="Arial"/>
      <w:sz w:val="30"/>
      <w:szCs w:val="30"/>
    </w:rPr>
  </w:style>
  <w:style w:type="character" w:styleId="757">
    <w:name w:val="Heading 3 Char"/>
    <w:link w:val="756"/>
    <w:uiPriority w:val="9"/>
    <w:rPr>
      <w:rFonts w:ascii="Arial" w:hAnsi="Arial" w:eastAsia="Arial" w:cs="Arial"/>
      <w:sz w:val="30"/>
      <w:szCs w:val="30"/>
    </w:rPr>
  </w:style>
  <w:style w:type="paragraph" w:styleId="758">
    <w:name w:val="Heading 4"/>
    <w:basedOn w:val="930"/>
    <w:next w:val="930"/>
    <w:link w:val="759"/>
    <w:uiPriority w:val="9"/>
    <w:unhideWhenUsed/>
    <w:qFormat/>
    <w:pPr>
      <w:keepLines/>
      <w:keepNext/>
      <w:spacing w:before="320" w:after="200"/>
      <w:outlineLvl w:val="3"/>
    </w:pPr>
    <w:rPr>
      <w:rFonts w:ascii="Arial" w:hAnsi="Arial" w:eastAsia="Arial" w:cs="Arial"/>
      <w:b/>
      <w:bCs/>
      <w:sz w:val="26"/>
      <w:szCs w:val="26"/>
    </w:rPr>
  </w:style>
  <w:style w:type="character" w:styleId="759">
    <w:name w:val="Heading 4 Char"/>
    <w:link w:val="758"/>
    <w:uiPriority w:val="9"/>
    <w:rPr>
      <w:rFonts w:ascii="Arial" w:hAnsi="Arial" w:eastAsia="Arial" w:cs="Arial"/>
      <w:b/>
      <w:bCs/>
      <w:sz w:val="26"/>
      <w:szCs w:val="26"/>
    </w:rPr>
  </w:style>
  <w:style w:type="paragraph" w:styleId="760">
    <w:name w:val="Heading 5"/>
    <w:basedOn w:val="930"/>
    <w:next w:val="930"/>
    <w:link w:val="761"/>
    <w:uiPriority w:val="9"/>
    <w:unhideWhenUsed/>
    <w:qFormat/>
    <w:pPr>
      <w:keepLines/>
      <w:keepNext/>
      <w:spacing w:before="320" w:after="200"/>
      <w:outlineLvl w:val="4"/>
    </w:pPr>
    <w:rPr>
      <w:rFonts w:ascii="Arial" w:hAnsi="Arial" w:eastAsia="Arial" w:cs="Arial"/>
      <w:b/>
      <w:bCs/>
      <w:sz w:val="24"/>
      <w:szCs w:val="24"/>
    </w:rPr>
  </w:style>
  <w:style w:type="character" w:styleId="761">
    <w:name w:val="Heading 5 Char"/>
    <w:link w:val="760"/>
    <w:uiPriority w:val="9"/>
    <w:rPr>
      <w:rFonts w:ascii="Arial" w:hAnsi="Arial" w:eastAsia="Arial" w:cs="Arial"/>
      <w:b/>
      <w:bCs/>
      <w:sz w:val="24"/>
      <w:szCs w:val="24"/>
    </w:rPr>
  </w:style>
  <w:style w:type="paragraph" w:styleId="762">
    <w:name w:val="Heading 6"/>
    <w:basedOn w:val="930"/>
    <w:next w:val="930"/>
    <w:link w:val="763"/>
    <w:uiPriority w:val="9"/>
    <w:unhideWhenUsed/>
    <w:qFormat/>
    <w:pPr>
      <w:keepLines/>
      <w:keepNext/>
      <w:spacing w:before="320" w:after="200"/>
      <w:outlineLvl w:val="5"/>
    </w:pPr>
    <w:rPr>
      <w:rFonts w:ascii="Arial" w:hAnsi="Arial" w:eastAsia="Arial" w:cs="Arial"/>
      <w:b/>
      <w:bCs/>
      <w:sz w:val="22"/>
      <w:szCs w:val="22"/>
    </w:rPr>
  </w:style>
  <w:style w:type="character" w:styleId="763">
    <w:name w:val="Heading 6 Char"/>
    <w:link w:val="762"/>
    <w:uiPriority w:val="9"/>
    <w:rPr>
      <w:rFonts w:ascii="Arial" w:hAnsi="Arial" w:eastAsia="Arial" w:cs="Arial"/>
      <w:b/>
      <w:bCs/>
      <w:sz w:val="22"/>
      <w:szCs w:val="22"/>
    </w:rPr>
  </w:style>
  <w:style w:type="paragraph" w:styleId="764">
    <w:name w:val="Heading 7"/>
    <w:basedOn w:val="930"/>
    <w:next w:val="930"/>
    <w:link w:val="765"/>
    <w:uiPriority w:val="9"/>
    <w:unhideWhenUsed/>
    <w:qFormat/>
    <w:pPr>
      <w:keepLines/>
      <w:keepNext/>
      <w:spacing w:before="320" w:after="200"/>
      <w:outlineLvl w:val="6"/>
    </w:pPr>
    <w:rPr>
      <w:rFonts w:ascii="Arial" w:hAnsi="Arial" w:eastAsia="Arial" w:cs="Arial"/>
      <w:b/>
      <w:bCs/>
      <w:i/>
      <w:iCs/>
      <w:sz w:val="22"/>
      <w:szCs w:val="22"/>
    </w:rPr>
  </w:style>
  <w:style w:type="character" w:styleId="765">
    <w:name w:val="Heading 7 Char"/>
    <w:link w:val="764"/>
    <w:uiPriority w:val="9"/>
    <w:rPr>
      <w:rFonts w:ascii="Arial" w:hAnsi="Arial" w:eastAsia="Arial" w:cs="Arial"/>
      <w:b/>
      <w:bCs/>
      <w:i/>
      <w:iCs/>
      <w:sz w:val="22"/>
      <w:szCs w:val="22"/>
    </w:rPr>
  </w:style>
  <w:style w:type="paragraph" w:styleId="766">
    <w:name w:val="Heading 8"/>
    <w:basedOn w:val="930"/>
    <w:next w:val="930"/>
    <w:link w:val="767"/>
    <w:uiPriority w:val="9"/>
    <w:unhideWhenUsed/>
    <w:qFormat/>
    <w:pPr>
      <w:keepLines/>
      <w:keepNext/>
      <w:spacing w:before="320" w:after="200"/>
      <w:outlineLvl w:val="7"/>
    </w:pPr>
    <w:rPr>
      <w:rFonts w:ascii="Arial" w:hAnsi="Arial" w:eastAsia="Arial" w:cs="Arial"/>
      <w:i/>
      <w:iCs/>
      <w:sz w:val="22"/>
      <w:szCs w:val="22"/>
    </w:rPr>
  </w:style>
  <w:style w:type="character" w:styleId="767">
    <w:name w:val="Heading 8 Char"/>
    <w:link w:val="766"/>
    <w:uiPriority w:val="9"/>
    <w:rPr>
      <w:rFonts w:ascii="Arial" w:hAnsi="Arial" w:eastAsia="Arial" w:cs="Arial"/>
      <w:i/>
      <w:iCs/>
      <w:sz w:val="22"/>
      <w:szCs w:val="22"/>
    </w:rPr>
  </w:style>
  <w:style w:type="paragraph" w:styleId="768">
    <w:name w:val="Heading 9"/>
    <w:basedOn w:val="930"/>
    <w:next w:val="930"/>
    <w:link w:val="769"/>
    <w:uiPriority w:val="9"/>
    <w:unhideWhenUsed/>
    <w:qFormat/>
    <w:pPr>
      <w:keepLines/>
      <w:keepNext/>
      <w:spacing w:before="320" w:after="200"/>
      <w:outlineLvl w:val="8"/>
    </w:pPr>
    <w:rPr>
      <w:rFonts w:ascii="Arial" w:hAnsi="Arial" w:eastAsia="Arial" w:cs="Arial"/>
      <w:i/>
      <w:iCs/>
      <w:sz w:val="21"/>
      <w:szCs w:val="21"/>
    </w:rPr>
  </w:style>
  <w:style w:type="character" w:styleId="769">
    <w:name w:val="Heading 9 Char"/>
    <w:link w:val="768"/>
    <w:uiPriority w:val="9"/>
    <w:rPr>
      <w:rFonts w:ascii="Arial" w:hAnsi="Arial" w:eastAsia="Arial" w:cs="Arial"/>
      <w:i/>
      <w:iCs/>
      <w:sz w:val="21"/>
      <w:szCs w:val="21"/>
    </w:rPr>
  </w:style>
  <w:style w:type="paragraph" w:styleId="770">
    <w:name w:val="List Paragraph"/>
    <w:basedOn w:val="930"/>
    <w:uiPriority w:val="34"/>
    <w:qFormat/>
    <w:pPr>
      <w:contextualSpacing/>
      <w:ind w:left="720"/>
    </w:pPr>
  </w:style>
  <w:style w:type="paragraph" w:styleId="771">
    <w:name w:val="No Spacing"/>
    <w:uiPriority w:val="1"/>
    <w:qFormat/>
    <w:pPr>
      <w:spacing w:before="0" w:after="0" w:line="240" w:lineRule="auto"/>
    </w:pPr>
  </w:style>
  <w:style w:type="paragraph" w:styleId="772">
    <w:name w:val="Title"/>
    <w:basedOn w:val="930"/>
    <w:next w:val="930"/>
    <w:link w:val="773"/>
    <w:uiPriority w:val="10"/>
    <w:qFormat/>
    <w:pPr>
      <w:contextualSpacing/>
      <w:spacing w:before="300" w:after="200"/>
    </w:pPr>
    <w:rPr>
      <w:sz w:val="48"/>
      <w:szCs w:val="48"/>
    </w:rPr>
  </w:style>
  <w:style w:type="character" w:styleId="773">
    <w:name w:val="Title Char"/>
    <w:link w:val="772"/>
    <w:uiPriority w:val="10"/>
    <w:rPr>
      <w:sz w:val="48"/>
      <w:szCs w:val="48"/>
    </w:rPr>
  </w:style>
  <w:style w:type="paragraph" w:styleId="774">
    <w:name w:val="Subtitle"/>
    <w:basedOn w:val="930"/>
    <w:next w:val="930"/>
    <w:link w:val="775"/>
    <w:uiPriority w:val="11"/>
    <w:qFormat/>
    <w:pPr>
      <w:spacing w:before="200" w:after="200"/>
    </w:pPr>
    <w:rPr>
      <w:sz w:val="24"/>
      <w:szCs w:val="24"/>
    </w:rPr>
  </w:style>
  <w:style w:type="character" w:styleId="775">
    <w:name w:val="Subtitle Char"/>
    <w:link w:val="774"/>
    <w:uiPriority w:val="11"/>
    <w:rPr>
      <w:sz w:val="24"/>
      <w:szCs w:val="24"/>
    </w:rPr>
  </w:style>
  <w:style w:type="paragraph" w:styleId="776">
    <w:name w:val="Quote"/>
    <w:basedOn w:val="930"/>
    <w:next w:val="930"/>
    <w:link w:val="777"/>
    <w:uiPriority w:val="29"/>
    <w:qFormat/>
    <w:pPr>
      <w:ind w:left="720" w:right="720"/>
    </w:pPr>
    <w:rPr>
      <w:i/>
    </w:rPr>
  </w:style>
  <w:style w:type="character" w:styleId="777">
    <w:name w:val="Quote Char"/>
    <w:link w:val="776"/>
    <w:uiPriority w:val="29"/>
    <w:rPr>
      <w:i/>
    </w:rPr>
  </w:style>
  <w:style w:type="paragraph" w:styleId="778">
    <w:name w:val="Intense Quote"/>
    <w:basedOn w:val="930"/>
    <w:next w:val="930"/>
    <w:link w:val="7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name w:val="Intense Quote Char"/>
    <w:link w:val="778"/>
    <w:uiPriority w:val="30"/>
    <w:rPr>
      <w:i/>
    </w:rPr>
  </w:style>
  <w:style w:type="paragraph" w:styleId="780">
    <w:name w:val="Header"/>
    <w:basedOn w:val="930"/>
    <w:link w:val="781"/>
    <w:uiPriority w:val="99"/>
    <w:unhideWhenUsed/>
    <w:pPr>
      <w:spacing w:after="0" w:line="240" w:lineRule="auto"/>
      <w:tabs>
        <w:tab w:val="center" w:pos="7143" w:leader="none"/>
        <w:tab w:val="right" w:pos="14287" w:leader="none"/>
      </w:tabs>
    </w:pPr>
  </w:style>
  <w:style w:type="character" w:styleId="781">
    <w:name w:val="Header Char"/>
    <w:link w:val="780"/>
    <w:uiPriority w:val="99"/>
  </w:style>
  <w:style w:type="paragraph" w:styleId="782">
    <w:name w:val="Footer"/>
    <w:basedOn w:val="930"/>
    <w:link w:val="783"/>
    <w:uiPriority w:val="99"/>
    <w:unhideWhenUsed/>
    <w:pPr>
      <w:spacing w:after="0" w:line="240" w:lineRule="auto"/>
      <w:tabs>
        <w:tab w:val="center" w:pos="7143" w:leader="none"/>
        <w:tab w:val="right" w:pos="14287" w:leader="none"/>
      </w:tabs>
    </w:pPr>
  </w:style>
  <w:style w:type="character" w:styleId="783">
    <w:name w:val="Footer Char"/>
    <w:link w:val="782"/>
    <w:uiPriority w:val="99"/>
  </w:style>
  <w:style w:type="paragraph" w:styleId="784">
    <w:name w:val="Caption"/>
    <w:basedOn w:val="930"/>
    <w:next w:val="930"/>
    <w:link w:val="785"/>
    <w:uiPriority w:val="35"/>
    <w:semiHidden/>
    <w:unhideWhenUsed/>
    <w:qFormat/>
    <w:pPr>
      <w:spacing w:line="276" w:lineRule="auto"/>
    </w:pPr>
    <w:rPr>
      <w:b/>
      <w:bCs/>
      <w:color w:val="4f81bd" w:themeColor="accent1"/>
      <w:sz w:val="18"/>
      <w:szCs w:val="18"/>
    </w:rPr>
  </w:style>
  <w:style w:type="character" w:styleId="785">
    <w:name w:val="Caption Char"/>
    <w:link w:val="784"/>
    <w:uiPriority w:val="35"/>
    <w:rPr>
      <w:b/>
      <w:bCs/>
      <w:color w:val="4f81bd" w:themeColor="accent1"/>
      <w:sz w:val="18"/>
      <w:szCs w:val="18"/>
    </w:rPr>
  </w:style>
  <w:style w:type="table" w:styleId="78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2">
    <w:name w:val="Hyperlink"/>
    <w:uiPriority w:val="99"/>
    <w:unhideWhenUsed/>
    <w:rPr>
      <w:color w:val="0000ff" w:themeColor="hyperlink"/>
      <w:u w:val="single"/>
    </w:rPr>
  </w:style>
  <w:style w:type="paragraph" w:styleId="913">
    <w:name w:val="footnote text"/>
    <w:basedOn w:val="930"/>
    <w:link w:val="914"/>
    <w:uiPriority w:val="99"/>
    <w:semiHidden/>
    <w:unhideWhenUsed/>
    <w:pPr>
      <w:spacing w:after="40" w:line="240" w:lineRule="auto"/>
    </w:pPr>
    <w:rPr>
      <w:sz w:val="18"/>
    </w:rPr>
  </w:style>
  <w:style w:type="character" w:styleId="914">
    <w:name w:val="Footnote Text Char"/>
    <w:link w:val="913"/>
    <w:uiPriority w:val="99"/>
    <w:rPr>
      <w:sz w:val="18"/>
    </w:rPr>
  </w:style>
  <w:style w:type="character" w:styleId="915">
    <w:name w:val="footnote reference"/>
    <w:uiPriority w:val="99"/>
    <w:unhideWhenUsed/>
    <w:rPr>
      <w:vertAlign w:val="superscript"/>
    </w:rPr>
  </w:style>
  <w:style w:type="paragraph" w:styleId="916">
    <w:name w:val="endnote text"/>
    <w:basedOn w:val="930"/>
    <w:link w:val="917"/>
    <w:uiPriority w:val="99"/>
    <w:semiHidden/>
    <w:unhideWhenUsed/>
    <w:pPr>
      <w:spacing w:after="0" w:line="240" w:lineRule="auto"/>
    </w:pPr>
    <w:rPr>
      <w:sz w:val="20"/>
    </w:rPr>
  </w:style>
  <w:style w:type="character" w:styleId="917">
    <w:name w:val="Endnote Text Char"/>
    <w:link w:val="916"/>
    <w:uiPriority w:val="99"/>
    <w:rPr>
      <w:sz w:val="20"/>
    </w:rPr>
  </w:style>
  <w:style w:type="character" w:styleId="918">
    <w:name w:val="endnote reference"/>
    <w:uiPriority w:val="99"/>
    <w:semiHidden/>
    <w:unhideWhenUsed/>
    <w:rPr>
      <w:vertAlign w:val="superscript"/>
    </w:rPr>
  </w:style>
  <w:style w:type="paragraph" w:styleId="919">
    <w:name w:val="toc 1"/>
    <w:basedOn w:val="930"/>
    <w:next w:val="930"/>
    <w:uiPriority w:val="39"/>
    <w:unhideWhenUsed/>
    <w:pPr>
      <w:ind w:left="0" w:right="0" w:firstLine="0"/>
      <w:spacing w:after="57"/>
    </w:pPr>
  </w:style>
  <w:style w:type="paragraph" w:styleId="920">
    <w:name w:val="toc 2"/>
    <w:basedOn w:val="930"/>
    <w:next w:val="930"/>
    <w:uiPriority w:val="39"/>
    <w:unhideWhenUsed/>
    <w:pPr>
      <w:ind w:left="283" w:right="0" w:firstLine="0"/>
      <w:spacing w:after="57"/>
    </w:pPr>
  </w:style>
  <w:style w:type="paragraph" w:styleId="921">
    <w:name w:val="toc 3"/>
    <w:basedOn w:val="930"/>
    <w:next w:val="930"/>
    <w:uiPriority w:val="39"/>
    <w:unhideWhenUsed/>
    <w:pPr>
      <w:ind w:left="567" w:right="0" w:firstLine="0"/>
      <w:spacing w:after="57"/>
    </w:pPr>
  </w:style>
  <w:style w:type="paragraph" w:styleId="922">
    <w:name w:val="toc 4"/>
    <w:basedOn w:val="930"/>
    <w:next w:val="930"/>
    <w:uiPriority w:val="39"/>
    <w:unhideWhenUsed/>
    <w:pPr>
      <w:ind w:left="850" w:right="0" w:firstLine="0"/>
      <w:spacing w:after="57"/>
    </w:pPr>
  </w:style>
  <w:style w:type="paragraph" w:styleId="923">
    <w:name w:val="toc 5"/>
    <w:basedOn w:val="930"/>
    <w:next w:val="930"/>
    <w:uiPriority w:val="39"/>
    <w:unhideWhenUsed/>
    <w:pPr>
      <w:ind w:left="1134" w:right="0" w:firstLine="0"/>
      <w:spacing w:after="57"/>
    </w:pPr>
  </w:style>
  <w:style w:type="paragraph" w:styleId="924">
    <w:name w:val="toc 6"/>
    <w:basedOn w:val="930"/>
    <w:next w:val="930"/>
    <w:uiPriority w:val="39"/>
    <w:unhideWhenUsed/>
    <w:pPr>
      <w:ind w:left="1417" w:right="0" w:firstLine="0"/>
      <w:spacing w:after="57"/>
    </w:pPr>
  </w:style>
  <w:style w:type="paragraph" w:styleId="925">
    <w:name w:val="toc 7"/>
    <w:basedOn w:val="930"/>
    <w:next w:val="930"/>
    <w:uiPriority w:val="39"/>
    <w:unhideWhenUsed/>
    <w:pPr>
      <w:ind w:left="1701" w:right="0" w:firstLine="0"/>
      <w:spacing w:after="57"/>
    </w:pPr>
  </w:style>
  <w:style w:type="paragraph" w:styleId="926">
    <w:name w:val="toc 8"/>
    <w:basedOn w:val="930"/>
    <w:next w:val="930"/>
    <w:uiPriority w:val="39"/>
    <w:unhideWhenUsed/>
    <w:pPr>
      <w:ind w:left="1984" w:right="0" w:firstLine="0"/>
      <w:spacing w:after="57"/>
    </w:pPr>
  </w:style>
  <w:style w:type="paragraph" w:styleId="927">
    <w:name w:val="toc 9"/>
    <w:basedOn w:val="930"/>
    <w:next w:val="930"/>
    <w:uiPriority w:val="39"/>
    <w:unhideWhenUsed/>
    <w:pPr>
      <w:ind w:left="2268" w:right="0" w:firstLine="0"/>
      <w:spacing w:after="57"/>
    </w:pPr>
  </w:style>
  <w:style w:type="paragraph" w:styleId="928">
    <w:name w:val="TOC Heading"/>
    <w:uiPriority w:val="39"/>
    <w:unhideWhenUsed/>
  </w:style>
  <w:style w:type="paragraph" w:styleId="929">
    <w:name w:val="table of figures"/>
    <w:basedOn w:val="930"/>
    <w:next w:val="930"/>
    <w:uiPriority w:val="99"/>
    <w:unhideWhenUsed/>
    <w:pPr>
      <w:spacing w:after="0" w:afterAutospacing="0"/>
    </w:pPr>
  </w:style>
  <w:style w:type="paragraph" w:styleId="930" w:default="1">
    <w:name w:val="Normal"/>
    <w:next w:val="930"/>
    <w:link w:val="930"/>
    <w:qFormat/>
    <w:rPr>
      <w:sz w:val="24"/>
      <w:lang w:val="ru-RU" w:eastAsia="ru-RU" w:bidi="ar-SA"/>
    </w:rPr>
  </w:style>
  <w:style w:type="paragraph" w:styleId="931">
    <w:name w:val="Заголовок 1"/>
    <w:basedOn w:val="930"/>
    <w:next w:val="930"/>
    <w:link w:val="975"/>
    <w:qFormat/>
    <w:pPr>
      <w:jc w:val="both"/>
      <w:keepNext/>
      <w:outlineLvl w:val="0"/>
    </w:pPr>
    <w:rPr>
      <w:b/>
      <w:bCs/>
      <w:sz w:val="22"/>
      <w:szCs w:val="22"/>
    </w:rPr>
  </w:style>
  <w:style w:type="paragraph" w:styleId="932">
    <w:name w:val="Заголовок 2"/>
    <w:basedOn w:val="930"/>
    <w:next w:val="930"/>
    <w:link w:val="954"/>
    <w:qFormat/>
    <w:pPr>
      <w:jc w:val="center"/>
      <w:keepNext/>
      <w:outlineLvl w:val="1"/>
    </w:pPr>
    <w:rPr>
      <w:b/>
      <w:bCs/>
      <w:sz w:val="18"/>
      <w:szCs w:val="18"/>
    </w:rPr>
  </w:style>
  <w:style w:type="paragraph" w:styleId="933">
    <w:name w:val="Заголовок 3"/>
    <w:basedOn w:val="930"/>
    <w:next w:val="930"/>
    <w:link w:val="976"/>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34">
    <w:name w:val="Заголовок 4"/>
    <w:basedOn w:val="930"/>
    <w:next w:val="930"/>
    <w:link w:val="930"/>
    <w:qFormat/>
    <w:pPr>
      <w:ind w:left="421" w:right="-18" w:hanging="529"/>
      <w:jc w:val="center"/>
      <w:keepNext/>
      <w:spacing w:line="240" w:lineRule="atLeast"/>
      <w:tabs>
        <w:tab w:val="left" w:pos="4464" w:leader="none"/>
        <w:tab w:val="left" w:pos="5760" w:leader="none"/>
      </w:tabs>
      <w:outlineLvl w:val="3"/>
    </w:pPr>
    <w:rPr>
      <w:b/>
      <w:bCs/>
      <w:sz w:val="22"/>
      <w:szCs w:val="18"/>
    </w:rPr>
  </w:style>
  <w:style w:type="paragraph" w:styleId="935">
    <w:name w:val="Заголовок 5"/>
    <w:basedOn w:val="930"/>
    <w:next w:val="930"/>
    <w:link w:val="955"/>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36">
    <w:name w:val="Заголовок 6"/>
    <w:basedOn w:val="930"/>
    <w:next w:val="930"/>
    <w:link w:val="930"/>
    <w:qFormat/>
    <w:pPr>
      <w:ind w:left="-108" w:right="-18"/>
      <w:jc w:val="both"/>
      <w:keepNext/>
      <w:spacing w:line="240" w:lineRule="atLeast"/>
      <w:tabs>
        <w:tab w:val="left" w:pos="4464" w:leader="none"/>
        <w:tab w:val="left" w:pos="5760" w:leader="none"/>
      </w:tabs>
      <w:outlineLvl w:val="5"/>
    </w:pPr>
    <w:rPr>
      <w:b/>
      <w:bCs/>
    </w:rPr>
  </w:style>
  <w:style w:type="paragraph" w:styleId="937">
    <w:name w:val="Заголовок 7"/>
    <w:basedOn w:val="930"/>
    <w:next w:val="930"/>
    <w:link w:val="930"/>
    <w:qFormat/>
    <w:pPr>
      <w:ind w:left="-108"/>
      <w:keepNext/>
      <w:outlineLvl w:val="6"/>
    </w:pPr>
    <w:rPr>
      <w:b/>
      <w:bCs/>
    </w:rPr>
  </w:style>
  <w:style w:type="paragraph" w:styleId="938">
    <w:name w:val="Заголовок 8"/>
    <w:basedOn w:val="930"/>
    <w:next w:val="930"/>
    <w:link w:val="977"/>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39">
    <w:name w:val="Основной шрифт абзаца"/>
    <w:next w:val="939"/>
    <w:link w:val="930"/>
    <w:semiHidden/>
  </w:style>
  <w:style w:type="table" w:styleId="940">
    <w:name w:val="Обычная таблица"/>
    <w:next w:val="940"/>
    <w:link w:val="930"/>
    <w:semiHidden/>
    <w:tblPr/>
  </w:style>
  <w:style w:type="numbering" w:styleId="941">
    <w:name w:val="Нет списка"/>
    <w:next w:val="941"/>
    <w:link w:val="930"/>
    <w:semiHidden/>
  </w:style>
  <w:style w:type="paragraph" w:styleId="942">
    <w:name w:val="Цитата"/>
    <w:basedOn w:val="930"/>
    <w:next w:val="942"/>
    <w:link w:val="930"/>
    <w:pPr>
      <w:ind w:left="780" w:right="626"/>
      <w:jc w:val="both"/>
    </w:pPr>
    <w:rPr>
      <w:sz w:val="24"/>
      <w:szCs w:val="24"/>
    </w:rPr>
  </w:style>
  <w:style w:type="paragraph" w:styleId="943">
    <w:name w:val="Основной текст 2"/>
    <w:basedOn w:val="930"/>
    <w:next w:val="943"/>
    <w:link w:val="930"/>
    <w:pPr>
      <w:jc w:val="both"/>
    </w:pPr>
    <w:rPr>
      <w:i/>
      <w:iCs/>
    </w:rPr>
  </w:style>
  <w:style w:type="paragraph" w:styleId="944">
    <w:name w:val="Основной текст с отступом 2"/>
    <w:basedOn w:val="930"/>
    <w:next w:val="944"/>
    <w:link w:val="930"/>
    <w:pPr>
      <w:ind w:left="-108"/>
      <w:jc w:val="both"/>
    </w:pPr>
    <w:rPr>
      <w:b/>
      <w:bCs/>
    </w:rPr>
  </w:style>
  <w:style w:type="paragraph" w:styleId="945">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930"/>
    <w:next w:val="945"/>
    <w:link w:val="962"/>
    <w:uiPriority w:val="99"/>
    <w:pPr>
      <w:tabs>
        <w:tab w:val="center" w:pos="4320" w:leader="none"/>
        <w:tab w:val="right" w:pos="8640" w:leader="none"/>
      </w:tabs>
    </w:pPr>
    <w:rPr>
      <w:lang w:val="en-GB" w:eastAsia="en-US"/>
    </w:rPr>
  </w:style>
  <w:style w:type="paragraph" w:styleId="946">
    <w:name w:val="Основной текст"/>
    <w:basedOn w:val="930"/>
    <w:next w:val="946"/>
    <w:link w:val="978"/>
    <w:pPr>
      <w:jc w:val="both"/>
      <w:spacing w:line="312" w:lineRule="atLeast"/>
    </w:pPr>
    <w:rPr>
      <w:rFonts w:ascii="Times New Roman CYR" w:hAnsi="Times New Roman CYR" w:cs="Times New Roman CYR"/>
      <w:sz w:val="22"/>
      <w:szCs w:val="22"/>
    </w:rPr>
  </w:style>
  <w:style w:type="paragraph" w:styleId="947">
    <w:name w:val="Основной текст с отступом 3"/>
    <w:basedOn w:val="930"/>
    <w:next w:val="947"/>
    <w:link w:val="956"/>
    <w:pPr>
      <w:ind w:right="624" w:firstLine="709"/>
      <w:jc w:val="both"/>
      <w:spacing w:before="120"/>
    </w:pPr>
    <w:rPr>
      <w:sz w:val="22"/>
      <w:szCs w:val="22"/>
    </w:rPr>
  </w:style>
  <w:style w:type="character" w:styleId="948">
    <w:name w:val="Номер страницы"/>
    <w:next w:val="948"/>
    <w:link w:val="930"/>
    <w:rPr>
      <w:rFonts w:cs="Times New Roman"/>
    </w:rPr>
  </w:style>
  <w:style w:type="paragraph" w:styleId="949">
    <w:name w:val="Нижний колонтитул"/>
    <w:basedOn w:val="930"/>
    <w:next w:val="949"/>
    <w:link w:val="930"/>
    <w:pPr>
      <w:tabs>
        <w:tab w:val="center" w:pos="4677" w:leader="none"/>
        <w:tab w:val="right" w:pos="9355" w:leader="none"/>
      </w:tabs>
    </w:pPr>
  </w:style>
  <w:style w:type="paragraph" w:styleId="950">
    <w:name w:val="Текст выноски"/>
    <w:basedOn w:val="930"/>
    <w:next w:val="950"/>
    <w:link w:val="930"/>
    <w:semiHidden/>
    <w:rPr>
      <w:rFonts w:ascii="Tahoma" w:hAnsi="Tahoma" w:cs="Tahoma"/>
      <w:sz w:val="16"/>
      <w:szCs w:val="16"/>
    </w:rPr>
  </w:style>
  <w:style w:type="paragraph" w:styleId="951">
    <w:name w:val="Основной текст с отступом"/>
    <w:basedOn w:val="930"/>
    <w:next w:val="951"/>
    <w:link w:val="930"/>
    <w:pPr>
      <w:ind w:left="283"/>
      <w:spacing w:after="120"/>
    </w:pPr>
  </w:style>
  <w:style w:type="paragraph" w:styleId="95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30"/>
    <w:next w:val="952"/>
    <w:link w:val="974"/>
  </w:style>
  <w:style w:type="character" w:styleId="95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53"/>
    <w:link w:val="930"/>
    <w:qFormat/>
    <w:rPr>
      <w:rFonts w:cs="Times New Roman"/>
      <w:vertAlign w:val="superscript"/>
    </w:rPr>
  </w:style>
  <w:style w:type="character" w:styleId="954">
    <w:name w:val="Заголовок 2 Знак"/>
    <w:next w:val="954"/>
    <w:link w:val="932"/>
    <w:semiHidden/>
    <w:rPr>
      <w:rFonts w:cs="Times New Roman"/>
      <w:b/>
      <w:bCs/>
      <w:sz w:val="18"/>
      <w:szCs w:val="18"/>
      <w:lang w:val="ru-RU" w:eastAsia="ru-RU" w:bidi="ar-SA"/>
    </w:rPr>
  </w:style>
  <w:style w:type="character" w:styleId="955">
    <w:name w:val="Заголовок 5 Знак"/>
    <w:next w:val="955"/>
    <w:link w:val="935"/>
    <w:semiHidden/>
    <w:rPr>
      <w:rFonts w:cs="Times New Roman"/>
      <w:b/>
      <w:bCs/>
      <w:sz w:val="22"/>
      <w:szCs w:val="22"/>
      <w:lang w:val="ru-RU" w:eastAsia="ru-RU" w:bidi="ar-SA"/>
    </w:rPr>
  </w:style>
  <w:style w:type="character" w:styleId="956">
    <w:name w:val="Основной текст с отступом 3 Знак"/>
    <w:next w:val="956"/>
    <w:link w:val="947"/>
    <w:semiHidden/>
    <w:rPr>
      <w:rFonts w:cs="Times New Roman"/>
      <w:sz w:val="22"/>
      <w:szCs w:val="22"/>
      <w:lang w:val="ru-RU" w:eastAsia="ru-RU" w:bidi="ar-SA"/>
    </w:rPr>
  </w:style>
  <w:style w:type="table" w:styleId="957">
    <w:name w:val="Сетка таблицы"/>
    <w:basedOn w:val="940"/>
    <w:next w:val="957"/>
    <w:link w:val="930"/>
    <w:tblPr/>
  </w:style>
  <w:style w:type="paragraph" w:styleId="958">
    <w:name w:val="Default"/>
    <w:next w:val="958"/>
    <w:link w:val="930"/>
    <w:rPr>
      <w:color w:val="000000"/>
      <w:sz w:val="24"/>
      <w:szCs w:val="24"/>
      <w:lang w:val="ru-RU" w:eastAsia="ru-RU" w:bidi="ar-SA"/>
    </w:rPr>
  </w:style>
  <w:style w:type="character" w:styleId="959">
    <w:name w:val="Знак концевой сноски"/>
    <w:next w:val="959"/>
    <w:link w:val="930"/>
    <w:rPr>
      <w:vertAlign w:val="superscript"/>
    </w:rPr>
  </w:style>
  <w:style w:type="paragraph" w:styleId="960">
    <w:name w:val="Без интервала"/>
    <w:next w:val="960"/>
    <w:link w:val="961"/>
    <w:qFormat/>
    <w:rPr>
      <w:rFonts w:ascii="Calibri" w:hAnsi="Calibri"/>
      <w:sz w:val="22"/>
      <w:szCs w:val="22"/>
      <w:lang w:val="ru-RU" w:eastAsia="en-US" w:bidi="ar-SA"/>
    </w:rPr>
  </w:style>
  <w:style w:type="character" w:styleId="961">
    <w:name w:val="Без интервала Знак"/>
    <w:next w:val="961"/>
    <w:link w:val="960"/>
    <w:rPr>
      <w:rFonts w:ascii="Calibri" w:hAnsi="Calibri"/>
      <w:sz w:val="22"/>
      <w:szCs w:val="22"/>
      <w:lang w:eastAsia="en-US" w:bidi="ar-SA"/>
    </w:rPr>
  </w:style>
  <w:style w:type="character" w:styleId="962">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962"/>
    <w:link w:val="945"/>
    <w:uiPriority w:val="99"/>
    <w:rPr>
      <w:sz w:val="24"/>
      <w:lang w:val="en-GB"/>
    </w:rPr>
  </w:style>
  <w:style w:type="paragraph" w:styleId="963">
    <w:name w:val="Оглавление 1"/>
    <w:basedOn w:val="930"/>
    <w:next w:val="930"/>
    <w:link w:val="930"/>
    <w:uiPriority w:val="39"/>
    <w:pPr>
      <w:spacing w:line="360" w:lineRule="auto"/>
      <w:tabs>
        <w:tab w:val="right" w:pos="9889" w:leader="dot"/>
      </w:tabs>
    </w:pPr>
  </w:style>
  <w:style w:type="character" w:styleId="964">
    <w:name w:val="Гиперссылка"/>
    <w:next w:val="964"/>
    <w:link w:val="930"/>
    <w:uiPriority w:val="99"/>
    <w:unhideWhenUsed/>
    <w:rPr>
      <w:color w:val="0000ff"/>
      <w:u w:val="single"/>
    </w:rPr>
  </w:style>
  <w:style w:type="character" w:styleId="965">
    <w:name w:val="Знак примечания"/>
    <w:next w:val="965"/>
    <w:link w:val="930"/>
    <w:rPr>
      <w:sz w:val="16"/>
      <w:szCs w:val="16"/>
    </w:rPr>
  </w:style>
  <w:style w:type="paragraph" w:styleId="966">
    <w:name w:val="Текст примечания"/>
    <w:basedOn w:val="930"/>
    <w:next w:val="966"/>
    <w:link w:val="967"/>
    <w:rPr>
      <w:sz w:val="20"/>
    </w:rPr>
  </w:style>
  <w:style w:type="character" w:styleId="967">
    <w:name w:val="Текст примечания Знак"/>
    <w:basedOn w:val="939"/>
    <w:next w:val="967"/>
    <w:link w:val="966"/>
  </w:style>
  <w:style w:type="paragraph" w:styleId="968">
    <w:name w:val="Тема примечания"/>
    <w:basedOn w:val="966"/>
    <w:next w:val="966"/>
    <w:link w:val="969"/>
    <w:rPr>
      <w:b/>
      <w:bCs/>
      <w:lang w:val="en-US" w:eastAsia="en-US"/>
    </w:rPr>
  </w:style>
  <w:style w:type="character" w:styleId="969">
    <w:name w:val="Тема примечания Знак"/>
    <w:next w:val="969"/>
    <w:link w:val="968"/>
    <w:rPr>
      <w:b/>
      <w:bCs/>
      <w:lang w:val="en-US" w:eastAsia="en-US"/>
    </w:rPr>
  </w:style>
  <w:style w:type="paragraph" w:styleId="970">
    <w:name w:val="Маркированный список"/>
    <w:basedOn w:val="930"/>
    <w:next w:val="970"/>
    <w:link w:val="930"/>
    <w:pPr>
      <w:numPr>
        <w:ilvl w:val="0"/>
        <w:numId w:val="13"/>
      </w:numPr>
      <w:contextualSpacing/>
    </w:pPr>
    <w:rPr>
      <w:sz w:val="20"/>
    </w:rPr>
  </w:style>
  <w:style w:type="paragraph" w:styleId="971">
    <w:name w:val="Текст концевой сноски"/>
    <w:basedOn w:val="930"/>
    <w:next w:val="971"/>
    <w:link w:val="972"/>
    <w:rPr>
      <w:sz w:val="20"/>
    </w:rPr>
  </w:style>
  <w:style w:type="character" w:styleId="972">
    <w:name w:val="Текст концевой сноски Знак"/>
    <w:basedOn w:val="939"/>
    <w:next w:val="972"/>
    <w:link w:val="971"/>
  </w:style>
  <w:style w:type="paragraph" w:styleId="973">
    <w:name w:val="Рецензия"/>
    <w:next w:val="973"/>
    <w:link w:val="930"/>
    <w:hidden/>
    <w:uiPriority w:val="99"/>
    <w:semiHidden/>
    <w:rPr>
      <w:lang w:val="ru-RU" w:eastAsia="ru-RU" w:bidi="ar-SA"/>
    </w:rPr>
  </w:style>
  <w:style w:type="character" w:styleId="97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74"/>
    <w:link w:val="952"/>
    <w:rPr>
      <w:sz w:val="24"/>
    </w:rPr>
  </w:style>
  <w:style w:type="character" w:styleId="975">
    <w:name w:val="Заголовок 1 Знак"/>
    <w:next w:val="975"/>
    <w:link w:val="931"/>
    <w:rPr>
      <w:b/>
      <w:bCs/>
      <w:sz w:val="22"/>
      <w:szCs w:val="22"/>
    </w:rPr>
  </w:style>
  <w:style w:type="character" w:styleId="976">
    <w:name w:val="Заголовок 3 Знак"/>
    <w:next w:val="976"/>
    <w:link w:val="933"/>
    <w:rPr>
      <w:b/>
      <w:bCs/>
      <w:sz w:val="18"/>
      <w:szCs w:val="18"/>
    </w:rPr>
  </w:style>
  <w:style w:type="character" w:styleId="977">
    <w:name w:val="Заголовок 8 Знак"/>
    <w:next w:val="977"/>
    <w:link w:val="938"/>
    <w:rPr>
      <w:i/>
      <w:iCs/>
      <w:sz w:val="24"/>
      <w:szCs w:val="24"/>
    </w:rPr>
  </w:style>
  <w:style w:type="character" w:styleId="978">
    <w:name w:val="Основной текст Знак"/>
    <w:next w:val="978"/>
    <w:link w:val="946"/>
    <w:rPr>
      <w:rFonts w:ascii="Times New Roman CYR" w:hAnsi="Times New Roman CYR" w:cs="Times New Roman CYR"/>
      <w:sz w:val="22"/>
      <w:szCs w:val="22"/>
    </w:rPr>
  </w:style>
  <w:style w:type="character" w:styleId="979" w:default="1">
    <w:name w:val="Default Paragraph Font"/>
    <w:uiPriority w:val="1"/>
    <w:semiHidden/>
    <w:unhideWhenUsed/>
  </w:style>
  <w:style w:type="numbering" w:styleId="980" w:default="1">
    <w:name w:val="No List"/>
    <w:uiPriority w:val="99"/>
    <w:semiHidden/>
    <w:unhideWhenUsed/>
  </w:style>
  <w:style w:type="table" w:styleId="98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lastModifiedBy>myslovskaya-nv</cp:lastModifiedBy>
  <cp:revision>96</cp:revision>
  <dcterms:created xsi:type="dcterms:W3CDTF">2023-11-30T11:26:00Z</dcterms:created>
  <dcterms:modified xsi:type="dcterms:W3CDTF">2025-11-21T09:38:17Z</dcterms:modified>
  <cp:version>1048576</cp:version>
</cp:coreProperties>
</file>