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77"/>
              <w:jc w:val="center"/>
              <w:rPr>
                <w:rFonts w:ascii="Cambria" w:hAnsi="Cambria"/>
                <w:caps/>
                <w:sz w:val="32"/>
                <w:szCs w:val="32"/>
                <w:lang w:eastAsia="en-US"/>
              </w:rPr>
            </w:pPr>
            <w:r>
              <w:rPr>
                <w:rFonts w:ascii="Cambria" w:hAnsi="Cambria"/>
                <w:caps/>
                <w:sz w:val="32"/>
                <w:szCs w:val="32"/>
                <w:lang w:eastAsia="en-US"/>
              </w:rPr>
              <w:t xml:space="preserve">псковский РЕГИОНАЛЬНЫЙ ФИЛИАЛ</w:t>
            </w:r>
            <w:r>
              <w:rPr>
                <w:rFonts w:ascii="Cambria" w:hAnsi="Cambria"/>
                <w:caps/>
                <w:sz w:val="32"/>
                <w:szCs w:val="32"/>
                <w:lang w:eastAsia="en-US"/>
              </w:rPr>
            </w:r>
            <w:r>
              <w:rPr>
                <w:rFonts w:ascii="Cambria" w:hAnsi="Cambria"/>
                <w:caps/>
                <w:sz w:val="32"/>
                <w:szCs w:val="32"/>
                <w:lang w:eastAsia="en-US"/>
              </w:rPr>
            </w:r>
          </w:p>
          <w:p>
            <w:pPr>
              <w:pStyle w:val="1177"/>
              <w:jc w:val="center"/>
              <w:rPr>
                <w:rFonts w:ascii="Cambria" w:hAnsi="Cambria"/>
                <w:caps/>
                <w:sz w:val="32"/>
                <w:szCs w:val="32"/>
                <w:lang w:eastAsia="en-US"/>
              </w:rPr>
            </w:pPr>
            <w:r>
              <w:rPr>
                <w:rFonts w:ascii="Cambria" w:hAnsi="Cambria"/>
                <w:caps/>
                <w:sz w:val="32"/>
                <w:szCs w:val="32"/>
                <w:lang w:eastAsia="en-US"/>
              </w:rPr>
              <w:t xml:space="preserve">АО «РОССЕЛЬХОЗБАНК»</w:t>
            </w:r>
            <w:r>
              <w:rPr>
                <w:rFonts w:ascii="Cambria" w:hAnsi="Cambria"/>
                <w:caps/>
                <w:sz w:val="32"/>
                <w:szCs w:val="32"/>
                <w:lang w:eastAsia="en-US"/>
              </w:rPr>
            </w:r>
            <w:r>
              <w:rPr>
                <w:rFonts w:ascii="Cambria" w:hAnsi="Cambria"/>
                <w:caps/>
                <w:sz w:val="32"/>
                <w:szCs w:val="32"/>
                <w:lang w:eastAsia="en-US"/>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mbria"/>
                <w:sz w:val="48"/>
                <w:szCs w:val="48"/>
                <w:lang w:eastAsia="en-US"/>
              </w:rPr>
            </w:pPr>
            <w:r>
              <w:rPr>
                <w:rFonts w:ascii="Cambria" w:hAnsi="Cambria" w:cs="Cambria"/>
                <w:sz w:val="48"/>
                <w:szCs w:val="48"/>
                <w:lang w:eastAsia="en-US"/>
              </w:rPr>
              <w:t xml:space="preserve">ТАРИФЫ КОМИССИОННОГО</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ВОЗНАГРАЖДЕНИЯ НА УСЛУГИ</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ЮРИДИЧЕСКИМ ЛИЦАМ</w:t>
            </w:r>
            <w:r>
              <w:rPr>
                <w:rFonts w:ascii="Cambria" w:hAnsi="Cambria" w:cs="Cambria"/>
                <w:sz w:val="48"/>
                <w:szCs w:val="48"/>
                <w:lang w:eastAsia="en-US"/>
              </w:rPr>
              <w:t xml:space="preserve">, СУБЪЕКТАМ РОССИЙСКОЙ ФЕДЕРАЦИИ, МУНИЦИПАЛЬНЫМ ОБРАЗОВАНИЯМ, </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ИНДИВИДУАЛЬНЫМ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ПРЕДПРИНИМАТЕЛЯМ И ФИЗИЧЕСКИМ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ЛИЦАМ, ЗАНИМАЮЩИМСЯ В</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УСТАНОВЛЕННОМ ЗАКОНОДАТЕЛЬСТВОМ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РОССИЙ</w:t>
            </w:r>
            <w:r>
              <w:rPr>
                <w:rFonts w:ascii="Cambria" w:hAnsi="Cambria" w:cs="Cambria"/>
                <w:sz w:val="48"/>
                <w:szCs w:val="48"/>
                <w:lang w:eastAsia="en-US"/>
              </w:rPr>
              <w:t xml:space="preserve">С</w:t>
            </w:r>
            <w:r>
              <w:rPr>
                <w:rFonts w:ascii="Cambria" w:hAnsi="Cambria" w:cs="Cambria"/>
                <w:sz w:val="48"/>
                <w:szCs w:val="48"/>
                <w:lang w:eastAsia="en-US"/>
              </w:rPr>
              <w:t xml:space="preserve">КОЙ ФЕДЕРАЦИИ ПОРЯДКЕ</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sz w:val="80"/>
                <w:szCs w:val="80"/>
                <w:lang w:eastAsia="en-US"/>
              </w:rPr>
            </w:pPr>
            <w:r>
              <w:rPr>
                <w:rFonts w:ascii="Cambria" w:hAnsi="Cambria" w:cs="Cambria"/>
                <w:sz w:val="48"/>
                <w:szCs w:val="48"/>
                <w:lang w:eastAsia="en-US"/>
              </w:rPr>
              <w:t xml:space="preserve">ЧАСТНОЙ ПРАКТИКОЙ</w:t>
            </w:r>
            <w:r>
              <w:rPr>
                <w:rFonts w:ascii="Cambria" w:hAnsi="Cambria"/>
                <w:sz w:val="80"/>
                <w:szCs w:val="80"/>
                <w:lang w:eastAsia="en-US"/>
              </w:rPr>
            </w:r>
            <w:r>
              <w:rPr>
                <w:rFonts w:ascii="Cambria" w:hAnsi="Cambria"/>
                <w:sz w:val="80"/>
                <w:szCs w:val="80"/>
                <w:lang w:eastAsia="en-US"/>
              </w:rPr>
            </w:r>
          </w:p>
        </w:tc>
      </w:tr>
      <w:tr>
        <w:tblPrEx/>
        <w:trPr>
          <w:trHeight w:val="360"/>
        </w:trPr>
        <w:tc>
          <w:tcPr>
            <w:tcBorders>
              <w:bottom w:val="single" w:color="008444" w:sz="12" w:space="0"/>
            </w:tcBorders>
            <w:tcW w:w="5000" w:type="pct"/>
            <w:vAlign w:val="center"/>
            <w:textDirection w:val="lrTb"/>
            <w:noWrap w:val="false"/>
          </w:tcPr>
          <w:p>
            <w:pPr>
              <w:pStyle w:val="1177"/>
              <w:jc w:val="center"/>
              <w:rPr>
                <w:rFonts w:ascii="Calibri" w:hAnsi="Calibri"/>
                <w:sz w:val="22"/>
                <w:szCs w:val="22"/>
                <w:lang w:eastAsia="en-US"/>
              </w:rPr>
            </w:pPr>
            <w:r>
              <w:rPr>
                <w:rFonts w:ascii="Calibri" w:hAnsi="Calibri"/>
                <w:sz w:val="22"/>
                <w:szCs w:val="22"/>
                <w:lang w:eastAsia="en-US"/>
              </w:rPr>
            </w:r>
            <w:r>
              <w:rPr>
                <w:rFonts w:ascii="Calibri" w:hAnsi="Calibri"/>
                <w:sz w:val="22"/>
                <w:szCs w:val="22"/>
                <w:lang w:eastAsia="en-US"/>
              </w:rPr>
            </w:r>
            <w:r>
              <w:rPr>
                <w:rFonts w:ascii="Calibri" w:hAnsi="Calibri"/>
                <w:sz w:val="22"/>
                <w:szCs w:val="22"/>
                <w:lang w:eastAsia="en-US"/>
              </w:rPr>
            </w:r>
          </w:p>
        </w:tc>
      </w:tr>
      <w:tr>
        <w:tblPrEx/>
        <w:trPr>
          <w:trHeight w:val="360"/>
        </w:trPr>
        <w:tc>
          <w:tcPr>
            <w:tcBorders>
              <w:top w:val="single" w:color="008444" w:sz="12" w:space="0"/>
            </w:tcBorders>
            <w:tcW w:w="5000" w:type="pct"/>
            <w:vAlign w:val="center"/>
            <w:textDirection w:val="lrTb"/>
            <w:noWrap w:val="false"/>
          </w:tcPr>
          <w:p>
            <w:pPr>
              <w:pStyle w:val="1177"/>
              <w:jc w:val="center"/>
              <w:rPr>
                <w:rFonts w:ascii="Calibri" w:hAnsi="Calibri"/>
                <w:b/>
                <w:bCs/>
                <w:sz w:val="22"/>
                <w:szCs w:val="22"/>
                <w:lang w:eastAsia="en-US"/>
              </w:rPr>
            </w:pPr>
            <w:r>
              <w:rPr>
                <w:rFonts w:ascii="Calibri" w:hAnsi="Calibri"/>
                <w:b/>
                <w:bCs/>
                <w:sz w:val="22"/>
                <w:szCs w:val="22"/>
                <w:lang w:eastAsia="en-US"/>
              </w:rPr>
            </w:r>
            <w:r>
              <w:rPr>
                <w:rFonts w:ascii="Calibri" w:hAnsi="Calibri"/>
                <w:b/>
                <w:bCs/>
                <w:sz w:val="22"/>
                <w:szCs w:val="22"/>
                <w:lang w:eastAsia="en-US"/>
              </w:rPr>
            </w:r>
            <w:r>
              <w:rPr>
                <w:rFonts w:ascii="Calibri" w:hAnsi="Calibri"/>
                <w:b/>
                <w:bCs/>
                <w:sz w:val="22"/>
                <w:szCs w:val="22"/>
                <w:lang w:eastAsia="en-U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libri" w:hAnsi="Calibri"/>
                <w:bCs/>
                <w:sz w:val="32"/>
                <w:szCs w:val="32"/>
                <w:lang w:eastAsia="en-US"/>
              </w:rPr>
            </w:pPr>
            <w:r>
              <w:rPr>
                <w:rFonts w:ascii="Calibri" w:hAnsi="Calibri"/>
                <w:bCs/>
                <w:sz w:val="32"/>
                <w:szCs w:val="32"/>
                <w:lang w:eastAsia="en-US"/>
              </w:rPr>
              <w:t xml:space="preserve">действуют с</w:t>
            </w:r>
            <w:r>
              <w:rPr>
                <w:rFonts w:ascii="Calibri" w:hAnsi="Calibri"/>
                <w:bCs/>
                <w:sz w:val="32"/>
                <w:szCs w:val="32"/>
                <w:lang w:eastAsia="en-US"/>
              </w:rPr>
              <w:t xml:space="preserve"> </w:t>
            </w:r>
            <w:r>
              <w:rPr>
                <w:rFonts w:ascii="Calibri" w:hAnsi="Calibri"/>
                <w:bCs/>
                <w:sz w:val="32"/>
                <w:szCs w:val="32"/>
                <w:lang w:eastAsia="en-US"/>
              </w:rPr>
              <w:t xml:space="preserve">30.</w:t>
            </w:r>
            <w:r>
              <w:rPr>
                <w:rFonts w:ascii="Calibri" w:hAnsi="Calibri"/>
                <w:bCs/>
                <w:sz w:val="32"/>
                <w:szCs w:val="32"/>
                <w:lang w:eastAsia="en-US"/>
              </w:rPr>
              <w:t xml:space="preserve">06.20</w:t>
            </w:r>
            <w:r>
              <w:rPr>
                <w:rFonts w:ascii="Calibri" w:hAnsi="Calibri"/>
                <w:bCs/>
                <w:sz w:val="32"/>
                <w:szCs w:val="32"/>
                <w:lang w:eastAsia="en-US"/>
              </w:rPr>
              <w:t xml:space="preserve">2</w:t>
            </w:r>
            <w:r>
              <w:rPr>
                <w:rFonts w:ascii="Calibri" w:hAnsi="Calibri"/>
                <w:bCs/>
                <w:sz w:val="32"/>
                <w:szCs w:val="32"/>
                <w:lang w:eastAsia="en-US"/>
              </w:rPr>
              <w:t xml:space="preserve">5 г.</w:t>
            </w:r>
            <w:r>
              <w:rPr>
                <w:rFonts w:ascii="Calibri" w:hAnsi="Calibri"/>
                <w:bCs/>
                <w:sz w:val="32"/>
                <w:szCs w:val="32"/>
                <w:lang w:eastAsia="en-US"/>
              </w:rPr>
            </w:r>
            <w:r>
              <w:rPr>
                <w:rFonts w:ascii="Calibri" w:hAnsi="Calibri"/>
                <w:bCs/>
                <w:sz w:val="32"/>
                <w:szCs w:val="32"/>
                <w:lang w:eastAsia="en-US"/>
              </w:rPr>
            </w:r>
          </w:p>
        </w:tc>
      </w:tr>
    </w:tbl>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jc w:val="center"/>
        <w:rPr>
          <w:sz w:val="28"/>
          <w:szCs w:val="28"/>
        </w:rPr>
      </w:pPr>
      <w:r>
        <w:rPr>
          <w:sz w:val="28"/>
          <w:szCs w:val="28"/>
        </w:rPr>
        <mc:AlternateContent>
          <mc:Choice Requires="wpg">
            <w:drawing>
              <wp:inline xmlns:wp="http://schemas.openxmlformats.org/drawingml/2006/wordprocessingDrawing" distT="0" distB="0" distL="0" distR="0">
                <wp:extent cx="1770190" cy="1212406"/>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70190" cy="121240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9.39pt;height:95.47pt;mso-wrap-distance-left:0.00pt;mso-wrap-distance-top:0.00pt;mso-wrap-distance-right:0.00pt;mso-wrap-distance-bottom:0.00pt;" stroked="f">
                <v:path textboxrect="0,0,0,0"/>
                <v:imagedata r:id="rId11" o:title=""/>
              </v:shape>
            </w:pict>
          </mc:Fallback>
        </mc:AlternateContent>
      </w:r>
      <w:r>
        <w:rPr>
          <w:sz w:val="28"/>
          <w:szCs w:val="28"/>
        </w:rPr>
        <w:tab/>
        <w:tab/>
        <w:tab/>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ind w:left="3828"/>
        <w:jc w:val="both"/>
        <w:spacing w:after="200" w:line="276" w:lineRule="auto"/>
        <w:tabs>
          <w:tab w:val="left" w:pos="1134" w:leader="none"/>
        </w:tabs>
        <w:rPr>
          <w:rFonts w:eastAsia="Calibri"/>
          <w:lang w:eastAsia="en-US"/>
        </w:rPr>
      </w:pPr>
      <w:r>
        <w:rPr>
          <w:rFonts w:eastAsia="Calibri"/>
          <w:lang w:eastAsia="en-US"/>
        </w:rPr>
      </w:r>
      <w:r>
        <w:rPr>
          <w:rFonts w:eastAsia="Calibri"/>
          <w:lang w:eastAsia="en-US"/>
        </w:rPr>
      </w:r>
      <w:r>
        <w:rPr>
          <w:rFonts w:eastAsia="Calibri"/>
          <w:lang w:eastAsia="en-US"/>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177"/>
        <w:rPr>
          <w:b/>
          <w:caps/>
          <w:sz w:val="22"/>
          <w:szCs w:val="22"/>
        </w:rPr>
      </w:pPr>
      <w:r>
        <w:rPr>
          <w:sz w:val="28"/>
          <w:szCs w:val="28"/>
        </w:rPr>
        <w:br w:type="page" w:clear="all"/>
      </w:r>
      <w:r>
        <w:rPr>
          <w:b/>
          <w:caps/>
          <w:sz w:val="22"/>
          <w:szCs w:val="22"/>
        </w:rPr>
        <w:t xml:space="preserve">СОДЕРЖАНИЕ:</w:t>
      </w:r>
      <w:r>
        <w:rPr>
          <w:b/>
          <w:caps/>
          <w:sz w:val="22"/>
          <w:szCs w:val="22"/>
        </w:rPr>
      </w:r>
      <w:r>
        <w:rPr>
          <w:b/>
          <w:caps/>
          <w:sz w:val="22"/>
          <w:szCs w:val="22"/>
        </w:rPr>
      </w:r>
    </w:p>
    <w:p>
      <w:pPr>
        <w:pStyle w:val="1177"/>
        <w:rPr>
          <w:b/>
          <w:caps/>
          <w:sz w:val="22"/>
          <w:szCs w:val="22"/>
        </w:rPr>
      </w:pPr>
      <w:r>
        <w:rPr>
          <w:b/>
          <w:caps/>
          <w:sz w:val="22"/>
          <w:szCs w:val="22"/>
        </w:rPr>
      </w:r>
      <w:r>
        <w:rPr>
          <w:b/>
          <w:caps/>
          <w:sz w:val="22"/>
          <w:szCs w:val="22"/>
        </w:rPr>
      </w:r>
      <w:r>
        <w:rPr>
          <w:b/>
          <w:caps/>
          <w:sz w:val="22"/>
          <w:szCs w:val="22"/>
        </w:rPr>
      </w:r>
    </w:p>
    <w:p>
      <w:pPr>
        <w:pStyle w:val="1177"/>
        <w:rPr>
          <w:b/>
          <w:caps/>
          <w:sz w:val="22"/>
          <w:szCs w:val="22"/>
        </w:rPr>
      </w:pPr>
      <w:r>
        <w:rPr>
          <w:b/>
          <w:caps/>
          <w:sz w:val="22"/>
          <w:szCs w:val="22"/>
        </w:rPr>
      </w:r>
      <w:r>
        <w:rPr>
          <w:b/>
          <w:caps/>
          <w:sz w:val="22"/>
          <w:szCs w:val="22"/>
        </w:rPr>
      </w:r>
      <w:r>
        <w:rPr>
          <w:b/>
          <w:caps/>
          <w:sz w:val="22"/>
          <w:szCs w:val="22"/>
        </w:rPr>
      </w:r>
    </w:p>
    <w:p>
      <w:pPr>
        <w:pStyle w:val="1206"/>
      </w:pPr>
      <w:r/>
      <w:r/>
    </w:p>
    <w:p>
      <w:pPr>
        <w:pStyle w:val="1206"/>
      </w:pPr>
      <w:r>
        <w:rPr>
          <w:sz w:val="22"/>
          <w:szCs w:val="22"/>
        </w:rPr>
        <w:fldChar w:fldCharType="begin"/>
      </w:r>
      <w:r>
        <w:rPr>
          <w:sz w:val="22"/>
          <w:szCs w:val="22"/>
        </w:rPr>
        <w:instrText xml:space="preserve"> TOC \o "4-4" \h \z \u </w:instrText>
      </w:r>
      <w:r>
        <w:rPr>
          <w:sz w:val="22"/>
          <w:szCs w:val="22"/>
        </w:rPr>
        <w:fldChar w:fldCharType="separate"/>
      </w:r>
      <w:r>
        <w:t xml:space="preserve">1. Открытие и ведение</w:t>
      </w:r>
      <w:r>
        <w:t xml:space="preserve"> </w:t>
      </w:r>
      <w:r>
        <w:rPr>
          <w:lang w:val="en-US"/>
        </w:rPr>
        <w:t xml:space="preserve">c</w:t>
      </w:r>
      <w:r>
        <w:t xml:space="preserve">четов</w:t>
      </w:r>
      <w:r>
        <w:t xml:space="preserve">…………………………………………………………………………….4</w:t>
      </w: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"_Toc446937095"</w:instrText>
      </w:r>
      <w:r>
        <w:rPr>
          <w:rStyle w:val="1207"/>
        </w:rPr>
        <w:instrText xml:space="preserve"> </w:instrText>
      </w:r>
      <w:r>
        <w:rPr>
          <w:rStyle w:val="1207"/>
        </w:rPr>
        <w:fldChar w:fldCharType="separate"/>
      </w:r>
      <w:r>
        <w:rPr>
          <w:rStyle w:val="1207"/>
        </w:rPr>
        <w:t xml:space="preserve">2. Кассовые операции*</w:t>
      </w:r>
      <w:r>
        <w:tab/>
      </w:r>
      <w:r>
        <w:rPr>
          <w:rStyle w:val="1207"/>
        </w:rPr>
        <w:fldChar w:fldCharType="end"/>
      </w:r>
      <w:r>
        <w:rPr>
          <w:rStyle w:val="1207"/>
        </w:rPr>
        <w:t xml:space="preserve">1</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"_Toc446937096"</w:instrText>
      </w:r>
      <w:r>
        <w:rPr>
          <w:rStyle w:val="1207"/>
        </w:rPr>
        <w:instrText xml:space="preserve"> </w:instrText>
      </w:r>
      <w:r>
        <w:rPr>
          <w:rStyle w:val="1207"/>
        </w:rPr>
        <w:fldChar w:fldCharType="separate"/>
      </w:r>
      <w:r>
        <w:rPr>
          <w:rStyle w:val="1207"/>
          <w:rFonts w:eastAsia="Calibri"/>
        </w:rPr>
        <w:t xml:space="preserve">3. Выполнение функций агента валютного контроля</w:t>
      </w:r>
      <w:r>
        <w:tab/>
      </w:r>
      <w:r>
        <w:rPr>
          <w:rStyle w:val="1207"/>
        </w:rPr>
        <w:fldChar w:fldCharType="end"/>
      </w:r>
      <w:r>
        <w:rPr>
          <w:rStyle w:val="1207"/>
        </w:rPr>
        <w:t xml:space="preserve">20</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"_Toc446937097"</w:instrText>
      </w:r>
      <w:r>
        <w:rPr>
          <w:rStyle w:val="1207"/>
        </w:rPr>
        <w:instrText xml:space="preserve"> </w:instrText>
      </w:r>
      <w:r>
        <w:rPr>
          <w:rStyle w:val="1207"/>
        </w:rPr>
        <w:fldChar w:fldCharType="separate"/>
      </w:r>
      <w:r>
        <w:rPr>
          <w:rStyle w:val="1207"/>
        </w:rPr>
        <w:t xml:space="preserve">4. Операции с ценными бумагами</w:t>
      </w:r>
      <w:r>
        <w:tab/>
      </w:r>
      <w:r>
        <w:rPr>
          <w:rStyle w:val="1207"/>
        </w:rPr>
        <w:fldChar w:fldCharType="end"/>
      </w:r>
      <w:r>
        <w:rPr>
          <w:rStyle w:val="1207"/>
        </w:rPr>
        <w:t xml:space="preserve">2</w:t>
      </w:r>
      <w:r>
        <w:rPr>
          <w:rStyle w:val="1207"/>
        </w:rPr>
        <w:t xml:space="preserve">5</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"_Toc446937098"</w:instrText>
      </w:r>
      <w:r>
        <w:rPr>
          <w:rStyle w:val="1207"/>
        </w:rPr>
        <w:instrText xml:space="preserve"> </w:instrText>
      </w:r>
      <w:r>
        <w:rPr>
          <w:rStyle w:val="1207"/>
        </w:rPr>
        <w:fldChar w:fldCharType="separate"/>
      </w:r>
      <w:r>
        <w:rPr>
          <w:rStyle w:val="1207"/>
        </w:rPr>
        <w:t xml:space="preserve">5. Документарные операции</w:t>
      </w:r>
      <w:r>
        <w:tab/>
      </w:r>
      <w:r>
        <w:rPr>
          <w:rStyle w:val="1207"/>
        </w:rPr>
        <w:fldChar w:fldCharType="end"/>
      </w:r>
      <w:r>
        <w:rPr>
          <w:rStyle w:val="1207"/>
        </w:rPr>
        <w:t xml:space="preserve">2</w:t>
      </w:r>
      <w:r>
        <w:rPr>
          <w:rStyle w:val="1207"/>
        </w:rPr>
        <w:t xml:space="preserve">6</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"_Toc446937099"</w:instrText>
      </w:r>
      <w:r>
        <w:rPr>
          <w:rStyle w:val="1207"/>
        </w:rPr>
        <w:instrText xml:space="preserve"> </w:instrText>
      </w:r>
      <w:r>
        <w:rPr>
          <w:rStyle w:val="1207"/>
        </w:rPr>
        <w:fldChar w:fldCharType="separate"/>
      </w:r>
      <w:r>
        <w:rPr>
          <w:rStyle w:val="1207"/>
        </w:rPr>
        <w:t xml:space="preserve">6. Гарантийные операции</w:t>
      </w:r>
      <w:r>
        <w:tab/>
      </w:r>
      <w:r>
        <w:rPr>
          <w:rStyle w:val="1207"/>
        </w:rPr>
        <w:fldChar w:fldCharType="end"/>
      </w:r>
      <w:r>
        <w:rPr>
          <w:rStyle w:val="1207"/>
        </w:rPr>
        <w:t xml:space="preserve">3</w:t>
      </w:r>
      <w:r>
        <w:rPr>
          <w:rStyle w:val="1207"/>
        </w:rPr>
        <w:t xml:space="preserve">3</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"_Toc446937100"</w:instrText>
      </w:r>
      <w:r>
        <w:rPr>
          <w:rStyle w:val="1207"/>
        </w:rPr>
        <w:instrText xml:space="preserve"> </w:instrText>
      </w:r>
      <w:r>
        <w:rPr>
          <w:rStyle w:val="1207"/>
        </w:rPr>
        <w:fldChar w:fldCharType="separate"/>
      </w:r>
      <w:r>
        <w:rPr>
          <w:rStyle w:val="1207"/>
        </w:rPr>
        <w:t xml:space="preserve">7. Дистанционное банковское обслуживание (ДБО)</w:t>
      </w:r>
      <w:r>
        <w:tab/>
      </w:r>
      <w:r>
        <w:rPr>
          <w:rStyle w:val="1207"/>
        </w:rPr>
        <w:fldChar w:fldCharType="end"/>
      </w:r>
      <w:r>
        <w:rPr>
          <w:rStyle w:val="1207"/>
        </w:rPr>
        <w:t xml:space="preserve">33</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"_Toc446937101"</w:instrText>
      </w:r>
      <w:r>
        <w:rPr>
          <w:rStyle w:val="1207"/>
        </w:rPr>
        <w:instrText xml:space="preserve"> </w:instrText>
      </w:r>
      <w:r>
        <w:rPr>
          <w:rStyle w:val="1207"/>
        </w:rPr>
        <w:fldChar w:fldCharType="separate"/>
      </w:r>
      <w:r>
        <w:rPr>
          <w:rStyle w:val="1207"/>
        </w:rPr>
        <w:t xml:space="preserve">8. Хранение ценностей клиентов в хранилище ценностей Банка</w:t>
      </w:r>
      <w:r>
        <w:tab/>
      </w:r>
      <w:r>
        <w:rPr>
          <w:rStyle w:val="1207"/>
        </w:rPr>
        <w:fldChar w:fldCharType="end"/>
      </w:r>
      <w:r>
        <w:rPr>
          <w:rStyle w:val="1207"/>
        </w:rPr>
        <w:t xml:space="preserve">3</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"_Toc446937102"</w:instrText>
      </w:r>
      <w:r>
        <w:rPr>
          <w:rStyle w:val="1207"/>
        </w:rPr>
        <w:instrText xml:space="preserve"> </w:instrText>
      </w:r>
      <w:r>
        <w:rPr>
          <w:rStyle w:val="1207"/>
        </w:rPr>
        <w:fldChar w:fldCharType="separate"/>
      </w:r>
      <w:r>
        <w:rPr>
          <w:rStyle w:val="1207"/>
        </w:rPr>
        <w:t xml:space="preserve">9. Аренда клиентами индивидуальных сейфовых ячеек</w:t>
      </w:r>
      <w:r>
        <w:tab/>
      </w:r>
      <w:r>
        <w:rPr>
          <w:rStyle w:val="1207"/>
        </w:rPr>
        <w:fldChar w:fldCharType="end"/>
      </w:r>
      <w:r>
        <w:rPr>
          <w:rStyle w:val="1207"/>
        </w:rPr>
        <w:t xml:space="preserve">3</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"_Toc446937103"</w:instrText>
      </w:r>
      <w:r>
        <w:rPr>
          <w:rStyle w:val="1207"/>
        </w:rPr>
        <w:instrText xml:space="preserve"> </w:instrText>
      </w:r>
      <w:r>
        <w:rPr>
          <w:rStyle w:val="1207"/>
        </w:rPr>
        <w:fldChar w:fldCharType="separate"/>
      </w:r>
      <w:r>
        <w:rPr>
          <w:rStyle w:val="1207"/>
        </w:rPr>
        <w:t xml:space="preserve">10. Услуги инкассации по отдельному договору с Российским объединением инкассации Банка России</w:t>
      </w:r>
      <w:r>
        <w:tab/>
      </w:r>
      <w:r>
        <w:rPr>
          <w:rStyle w:val="1207"/>
        </w:rPr>
        <w:fldChar w:fldCharType="end"/>
      </w:r>
      <w:r>
        <w:rPr>
          <w:rStyle w:val="1207"/>
        </w:rPr>
        <w:t xml:space="preserve">39</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"_Toc446937104"</w:instrText>
      </w:r>
      <w:r>
        <w:rPr>
          <w:rStyle w:val="1207"/>
        </w:rPr>
        <w:instrText xml:space="preserve"> </w:instrText>
      </w:r>
      <w:r>
        <w:rPr>
          <w:rStyle w:val="1207"/>
        </w:rPr>
        <w:fldChar w:fldCharType="separate"/>
      </w:r>
      <w:r>
        <w:rPr>
          <w:rStyle w:val="1207"/>
        </w:rPr>
        <w:t xml:space="preserve">11. Операции по покупке-продаже иностранной валюты</w:t>
      </w:r>
      <w:r>
        <w:tab/>
      </w:r>
      <w:r>
        <w:rPr>
          <w:rStyle w:val="1207"/>
        </w:rPr>
        <w:fldChar w:fldCharType="end"/>
      </w:r>
      <w:r>
        <w:rPr>
          <w:rStyle w:val="1207"/>
        </w:rPr>
        <w:t xml:space="preserve">40</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"_Toc446937105"</w:instrText>
      </w:r>
      <w:r>
        <w:rPr>
          <w:rStyle w:val="1207"/>
        </w:rPr>
        <w:instrText xml:space="preserve"> </w:instrText>
      </w:r>
      <w:r>
        <w:rPr>
          <w:rStyle w:val="1207"/>
        </w:rPr>
        <w:fldChar w:fldCharType="separate"/>
      </w:r>
      <w:r>
        <w:rPr>
          <w:rStyle w:val="1207"/>
        </w:rPr>
        <w:t xml:space="preserve">12. Кредитные операции</w:t>
      </w:r>
      <w:r>
        <w:tab/>
      </w:r>
      <w:bookmarkStart w:id="0" w:name="_Hlt447302832"/>
      <w:r/>
      <w:bookmarkEnd w:id="0"/>
      <w:r/>
      <w:bookmarkStart w:id="1" w:name="_Hlt447302833"/>
      <w:r/>
      <w:bookmarkEnd w:id="1"/>
      <w:r>
        <w:rPr>
          <w:rStyle w:val="1207"/>
        </w:rPr>
        <w:fldChar w:fldCharType="end"/>
      </w:r>
      <w:r>
        <w:rPr>
          <w:rStyle w:val="1207"/>
        </w:rPr>
        <w:t xml:space="preserve">41</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"_Toc446937106"</w:instrText>
      </w:r>
      <w:r>
        <w:rPr>
          <w:rStyle w:val="1207"/>
        </w:rPr>
        <w:instrText xml:space="preserve"> </w:instrText>
      </w:r>
      <w:r>
        <w:rPr>
          <w:rStyle w:val="1207"/>
        </w:rPr>
        <w:fldChar w:fldCharType="separate"/>
      </w:r>
      <w:r>
        <w:rPr>
          <w:rStyle w:val="1207"/>
        </w:rPr>
        <w:t xml:space="preserve">13. Обслуживание торгово-сервисных предприятий*, принимающих к оплате платежные карты</w:t>
      </w:r>
      <w:r>
        <w:rPr>
          <w:rStyle w:val="1207"/>
        </w:rPr>
        <w:t xml:space="preserve"> а также принимающих оплату через сервис быстрых платежей платежной системы Банка России</w:t>
      </w:r>
      <w:r>
        <w:rPr>
          <w:rStyle w:val="1207"/>
        </w:rPr>
        <w:tab/>
      </w:r>
      <w:r>
        <w:rPr>
          <w:rStyle w:val="1207"/>
        </w:rPr>
        <w:fldChar w:fldCharType="end"/>
      </w:r>
      <w:r>
        <w:rPr>
          <w:rStyle w:val="1207"/>
        </w:rPr>
        <w:t xml:space="preserve">56</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14. Депозитарные услуги</w:t>
      </w:r>
      <w:r>
        <w:tab/>
      </w:r>
      <w:r>
        <w:rPr>
          <w:rStyle w:val="1207"/>
        </w:rPr>
        <w:fldChar w:fldCharType="end"/>
      </w:r>
      <w:r>
        <w:rPr>
          <w:rStyle w:val="1207"/>
        </w:rPr>
        <w:t xml:space="preserve">56</w:t>
      </w:r>
      <w:r>
        <w:rPr>
          <w:rFonts w:ascii="Calibri" w:hAnsi="Calibri"/>
          <w:sz w:val="22"/>
          <w:szCs w:val="22"/>
        </w:rPr>
      </w:r>
      <w:r>
        <w:rPr>
          <w:rFonts w:ascii="Calibri" w:hAnsi="Calibri"/>
          <w:sz w:val="22"/>
          <w:szCs w:val="22"/>
        </w:rPr>
      </w:r>
    </w:p>
    <w:p>
      <w:pPr>
        <w:pStyle w:val="1206"/>
        <w:rPr>
          <w:rStyle w:val="1207"/>
        </w:rPr>
      </w:pPr>
      <w:r>
        <w:rPr>
          <w:rStyle w:val="1207"/>
        </w:rPr>
        <w:fldChar w:fldCharType="begin"/>
      </w:r>
      <w:r>
        <w:rPr>
          <w:rStyle w:val="1207"/>
        </w:rPr>
        <w:instrText xml:space="preserve"> </w:instrText>
      </w:r>
      <w:r>
        <w:instrText xml:space="preserve">HYPERLINK \l "_Toc446937108"</w:instrText>
      </w:r>
      <w:r>
        <w:rPr>
          <w:rStyle w:val="1207"/>
        </w:rPr>
        <w:instrText xml:space="preserve"> </w:instrText>
      </w:r>
      <w:r>
        <w:rPr>
          <w:rStyle w:val="1207"/>
        </w:rPr>
        <w:fldChar w:fldCharType="separate"/>
      </w:r>
      <w:r>
        <w:rPr>
          <w:rStyle w:val="1207"/>
        </w:rPr>
        <w:t xml:space="preserve">15. Операции с монетами из д</w:t>
      </w:r>
      <w:bookmarkStart w:id="2" w:name="_Hlt509398157"/>
      <w:r/>
      <w:bookmarkStart w:id="3" w:name="_Hlt509398158"/>
      <w:r>
        <w:rPr>
          <w:rStyle w:val="1207"/>
        </w:rPr>
        <w:t xml:space="preserve">р</w:t>
      </w:r>
      <w:bookmarkEnd w:id="2"/>
      <w:r/>
      <w:bookmarkEnd w:id="3"/>
      <w:r>
        <w:rPr>
          <w:rStyle w:val="1207"/>
        </w:rPr>
        <w:t xml:space="preserve">агоценных металлов</w:t>
      </w:r>
      <w:r>
        <w:tab/>
      </w:r>
      <w:r>
        <w:rPr>
          <w:rStyle w:val="1207"/>
        </w:rPr>
        <w:fldChar w:fldCharType="end"/>
      </w:r>
      <w:r>
        <w:rPr>
          <w:rStyle w:val="1207"/>
        </w:rPr>
        <w:t xml:space="preserve">61</w:t>
      </w:r>
      <w:r>
        <w:rPr>
          <w:rStyle w:val="1207"/>
        </w:rPr>
      </w:r>
      <w:r>
        <w:rPr>
          <w:rStyle w:val="1207"/>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6. </w:t>
      </w:r>
      <w:r>
        <w:rPr>
          <w:rStyle w:val="1207"/>
        </w:rPr>
        <w:t xml:space="preserve">Операции с драгоценными металлами</w:t>
      </w:r>
      <w:r>
        <w:tab/>
      </w:r>
      <w:r>
        <w:rPr>
          <w:rStyle w:val="1207"/>
        </w:rPr>
        <w:fldChar w:fldCharType="end"/>
      </w:r>
      <w:r>
        <w:rPr>
          <w:rStyle w:val="1207"/>
        </w:rPr>
        <w:t xml:space="preserve">6</w:t>
      </w:r>
      <w:r>
        <w:rPr>
          <w:rStyle w:val="1207"/>
        </w:rPr>
        <w:t xml:space="preserve">2</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7. </w:t>
      </w:r>
      <w:r>
        <w:rPr>
          <w:rStyle w:val="1207"/>
        </w:rPr>
        <w:t xml:space="preserve">Обслуживание с использованием Торговой системы РСХБ-Дилинг АО «Россельхозбанк»</w:t>
      </w:r>
      <w:r>
        <w:tab/>
      </w:r>
      <w:r>
        <w:rPr>
          <w:rStyle w:val="1207"/>
        </w:rPr>
        <w:fldChar w:fldCharType="end"/>
      </w:r>
      <w:r>
        <w:rPr>
          <w:rStyle w:val="1207"/>
        </w:rPr>
        <w:t xml:space="preserve">6</w:t>
      </w:r>
      <w:r>
        <w:rPr>
          <w:rStyle w:val="1207"/>
        </w:rPr>
        <w:t xml:space="preserve">3</w:t>
      </w:r>
      <w:r>
        <w:rPr>
          <w:rFonts w:ascii="Calibri" w:hAnsi="Calibri"/>
          <w:sz w:val="22"/>
          <w:szCs w:val="22"/>
        </w:rPr>
      </w:r>
      <w:r>
        <w:rPr>
          <w:rFonts w:ascii="Calibri" w:hAnsi="Calibri"/>
          <w:sz w:val="22"/>
          <w:szCs w:val="22"/>
        </w:rPr>
      </w:r>
    </w:p>
    <w:p>
      <w:pPr>
        <w:jc w:val="both"/>
        <w:rPr>
          <w:highlight w:val="none"/>
        </w:rPr>
      </w:pPr>
      <w:r>
        <w:rPr>
          <w:highlight w:val="none"/>
        </w:rPr>
      </w: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8. </w:t>
      </w:r>
      <w:r>
        <w:t xml:space="preserve">Операции с использованием цифрового рубля </w:t>
      </w:r>
      <w:r>
        <w:rPr>
          <w:rStyle w:val="1207"/>
        </w:rPr>
        <w:t xml:space="preserve">   </w:t>
      </w:r>
      <w:r>
        <w:t xml:space="preserve">               </w:t>
        <w:tab/>
        <w:t xml:space="preserve">                                                      </w:t>
      </w:r>
      <w:r>
        <w:rPr>
          <w:rStyle w:val="1207"/>
        </w:rPr>
        <w:fldChar w:fldCharType="end"/>
      </w:r>
      <w:hyperlink w:tooltip="#_18._Операц" w:anchor="_18._Операц" w:history="1">
        <w:r>
          <w:rPr>
            <w:rStyle w:val="1207"/>
          </w:rPr>
        </w:r>
        <w:r>
          <w:rPr>
            <w:rStyle w:val="1207"/>
            <w:highlight w:val="none"/>
          </w:rPr>
          <w:t xml:space="preserve">72</w:t>
        </w:r>
        <w:r>
          <w:rPr>
            <w:rStyle w:val="1207"/>
            <w:highlight w:val="none"/>
          </w:rPr>
        </w:r>
      </w:hyperlink>
      <w:r>
        <w:rPr>
          <w:highlight w:val="none"/>
        </w:rPr>
      </w:r>
      <w:r>
        <w:rPr>
          <w:highlight w:val="none"/>
        </w:rPr>
      </w:r>
    </w:p>
    <w:p>
      <w:pPr>
        <w:pStyle w:val="1177"/>
      </w:pPr>
      <w:r/>
      <w:r/>
    </w:p>
    <w:p>
      <w:pPr>
        <w:pStyle w:val="1181"/>
        <w:jc w:val="both"/>
      </w:pPr>
      <w:r>
        <w:fldChar w:fldCharType="end"/>
      </w:r>
      <w:r/>
    </w:p>
    <w:p>
      <w:pPr>
        <w:pStyle w:val="1177"/>
        <w:jc w:val="center"/>
        <w:spacing w:after="120"/>
        <w:rPr>
          <w:b/>
          <w:bCs/>
        </w:rPr>
      </w:pPr>
      <w:r>
        <w:rPr>
          <w:szCs w:val="20"/>
        </w:rPr>
        <w:br w:type="page" w:clear="all"/>
      </w:r>
      <w:bookmarkStart w:id="4" w:name="_Toc446937095"/>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rPr>
                <w:b/>
                <w:sz w:val="20"/>
                <w:szCs w:val="20"/>
              </w:rPr>
            </w:pPr>
            <w:r>
              <w:rPr>
                <w:b/>
                <w:sz w:val="20"/>
                <w:szCs w:val="20"/>
              </w:rPr>
              <w:t xml:space="preserve">№</w:t>
            </w:r>
            <w:r>
              <w:rPr>
                <w:b/>
                <w:sz w:val="20"/>
                <w:szCs w:val="20"/>
              </w:rPr>
            </w:r>
            <w:r>
              <w:rPr>
                <w:b/>
                <w:sz w:val="20"/>
                <w:szCs w:val="20"/>
              </w:rPr>
            </w:r>
          </w:p>
          <w:p>
            <w:pPr>
              <w:pStyle w:val="1177"/>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7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7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многоквар</w:t>
            </w:r>
            <w:r>
              <w:rPr>
                <w:bCs/>
                <w:sz w:val="20"/>
                <w:szCs w:val="20"/>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225"/>
              <w:numPr>
                <w:ilvl w:val="0"/>
                <w:numId w:val="28"/>
              </w:numPr>
              <w:contextualSpacing w:val="0"/>
              <w:ind w:left="0" w:firstLine="0"/>
              <w:jc w:val="both"/>
              <w:tabs>
                <w:tab w:val="left" w:pos="447" w:leader="none"/>
              </w:tabs>
              <w:rPr>
                <w:bCs/>
                <w:sz w:val="20"/>
                <w:szCs w:val="20"/>
              </w:rPr>
            </w:pPr>
            <w:r>
              <w:rPr>
                <w:bCs/>
                <w:sz w:val="20"/>
                <w:szCs w:val="20"/>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25"/>
              <w:numPr>
                <w:ilvl w:val="0"/>
                <w:numId w:val="28"/>
              </w:numPr>
              <w:contextualSpacing w:val="0"/>
              <w:ind w:left="0" w:firstLine="0"/>
              <w:jc w:val="both"/>
              <w:tabs>
                <w:tab w:val="left" w:pos="447" w:leader="none"/>
              </w:tabs>
              <w:rPr>
                <w:color w:val="000000"/>
                <w:sz w:val="20"/>
                <w:szCs w:val="20"/>
              </w:rPr>
            </w:pPr>
            <w:r>
              <w:rPr>
                <w:color w:val="000000"/>
                <w:sz w:val="20"/>
                <w:szCs w:val="20"/>
              </w:rPr>
              <w:t xml:space="preserve">Подписание с клиентом договора эквайринга и </w:t>
            </w:r>
            <w:r>
              <w:rPr>
                <w:bCs/>
                <w:sz w:val="20"/>
                <w:szCs w:val="20"/>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77"/>
              <w:jc w:val="both"/>
              <w:tabs>
                <w:tab w:val="left" w:pos="447" w:leader="none"/>
              </w:tabs>
              <w:rPr>
                <w:color w:val="000000"/>
                <w:sz w:val="20"/>
                <w:szCs w:val="20"/>
              </w:rPr>
            </w:pPr>
            <w:r>
              <w:rPr>
                <w:color w:val="000000"/>
                <w:sz w:val="20"/>
                <w:szCs w:val="20"/>
              </w:rPr>
              <w:t xml:space="preserve">Выполнение усл</w:t>
            </w:r>
            <w:r>
              <w:rPr>
                <w:color w:val="000000"/>
                <w:sz w:val="20"/>
                <w:szCs w:val="2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0"/>
                <w:szCs w:val="20"/>
              </w:rPr>
            </w:r>
            <w:r>
              <w:rPr>
                <w:color w:val="000000"/>
                <w:sz w:val="20"/>
                <w:szCs w:val="20"/>
              </w:rPr>
            </w:r>
          </w:p>
          <w:p>
            <w:pPr>
              <w:pStyle w:val="1177"/>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77"/>
              <w:jc w:val="both"/>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w:t>
            </w:r>
            <w:r>
              <w:rPr>
                <w:sz w:val="20"/>
                <w:szCs w:val="20"/>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color w:val="000000"/>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120" w:after="12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120" w:after="12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keepNext/>
              <w:spacing w:before="120" w:after="12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ind w:left="35"/>
              <w:jc w:val="both"/>
              <w:spacing w:before="40"/>
              <w:rPr>
                <w:sz w:val="20"/>
                <w:szCs w:val="20"/>
                <w:lang w:eastAsia="en-US"/>
              </w:rPr>
            </w:pPr>
            <w:r>
              <w:rPr>
                <w:bCs/>
                <w:sz w:val="20"/>
                <w:szCs w:val="20"/>
              </w:rPr>
              <w:t xml:space="preserve">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7"/>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Наличие у клиента в </w:t>
            </w:r>
            <w:r>
              <w:rPr>
                <w:sz w:val="20"/>
                <w:szCs w:val="20"/>
              </w:rPr>
              <w:t xml:space="preserve">Банке </w:t>
            </w:r>
            <w:r>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sz w:val="20"/>
                <w:szCs w:val="20"/>
              </w:rPr>
              <w:t xml:space="preserve">Банком.</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77"/>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77"/>
              <w:jc w:val="both"/>
              <w:tabs>
                <w:tab w:val="left" w:pos="708" w:leader="none"/>
                <w:tab w:val="center" w:pos="4677" w:leader="none"/>
                <w:tab w:val="right" w:pos="9355" w:leader="none"/>
              </w:tabs>
              <w:rPr>
                <w:sz w:val="20"/>
                <w:szCs w:val="20"/>
                <w:lang w:eastAsia="en-US"/>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w:t>
            </w:r>
            <w:r>
              <w:rPr>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ind w:left="74"/>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7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7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7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7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7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37 руб. </w:t>
            </w:r>
            <w:r>
              <w:rPr>
                <w:sz w:val="20"/>
                <w:szCs w:val="20"/>
                <w:lang w:eastAsia="en-US"/>
              </w:rPr>
            </w:r>
            <w:r>
              <w:rPr>
                <w:sz w:val="20"/>
                <w:szCs w:val="20"/>
                <w:lang w:eastAsia="en-US"/>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w:t>
              <w:br w:type="textWrapping" w:clear="all"/>
              <w:t xml:space="preserve">до 100 млн. руб. (включительно)</w:t>
            </w:r>
            <w:r>
              <w:rPr>
                <w:sz w:val="20"/>
                <w:szCs w:val="20"/>
                <w:lang w:eastAsia="en-US"/>
              </w:rPr>
            </w:r>
            <w:r>
              <w:rPr>
                <w:sz w:val="20"/>
                <w:szCs w:val="20"/>
                <w:lang w:eastAsia="en-US"/>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77"/>
              <w:jc w:val="center"/>
              <w:spacing w:after="120"/>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34"/>
              <w:spacing w:after="40"/>
              <w:rPr>
                <w:sz w:val="20"/>
                <w:szCs w:val="20"/>
              </w:rPr>
            </w:pPr>
            <w:r>
              <w:rPr>
                <w:sz w:val="20"/>
                <w:szCs w:val="20"/>
              </w:rPr>
            </w:r>
            <w:r>
              <w:rPr>
                <w:sz w:val="20"/>
                <w:szCs w:val="20"/>
              </w:rPr>
            </w:r>
            <w:r>
              <w:rPr>
                <w:sz w:val="20"/>
                <w:szCs w:val="20"/>
              </w:rPr>
            </w:r>
          </w:p>
          <w:p>
            <w:pPr>
              <w:pStyle w:val="1177"/>
              <w:ind w:left="34"/>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after="40"/>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7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1.1.7.1.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jc w:val="both"/>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77"/>
              <w:jc w:val="center"/>
              <w:spacing w:after="120"/>
              <w:rPr>
                <w:sz w:val="20"/>
                <w:szCs w:val="20"/>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77"/>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77"/>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77"/>
              <w:jc w:val="both"/>
              <w:rPr>
                <w:sz w:val="20"/>
                <w:szCs w:val="20"/>
              </w:rPr>
            </w:pPr>
            <w:r>
              <w:rPr>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sz w:val="20"/>
                <w:szCs w:val="20"/>
              </w:rPr>
            </w:r>
            <w:r>
              <w:rPr>
                <w:sz w:val="20"/>
                <w:szCs w:val="20"/>
              </w:rPr>
            </w:r>
          </w:p>
          <w:p>
            <w:pPr>
              <w:pStyle w:val="117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7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77"/>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77"/>
              <w:jc w:val="both"/>
              <w:rPr>
                <w:sz w:val="20"/>
                <w:szCs w:val="20"/>
              </w:rPr>
            </w:pPr>
            <w:r>
              <w:rPr>
                <w:sz w:val="20"/>
                <w:szCs w:val="20"/>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77"/>
              <w:jc w:val="both"/>
              <w:rPr>
                <w:sz w:val="20"/>
                <w:szCs w:val="20"/>
              </w:rPr>
            </w:pPr>
            <w:r>
              <w:rPr>
                <w:sz w:val="20"/>
                <w:szCs w:val="20"/>
              </w:rPr>
              <w:t xml:space="preserve">- перечисление алиментов, пенсий,</w:t>
            </w:r>
            <w:r>
              <w:rPr>
                <w:sz w:val="20"/>
                <w:szCs w:val="20"/>
              </w:rPr>
            </w:r>
            <w:r>
              <w:rPr>
                <w:sz w:val="20"/>
                <w:szCs w:val="20"/>
              </w:rPr>
            </w:r>
          </w:p>
          <w:p>
            <w:pPr>
              <w:pStyle w:val="1177"/>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77"/>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7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7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7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7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77"/>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7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7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77"/>
              <w:jc w:val="both"/>
              <w:rPr>
                <w:sz w:val="20"/>
                <w:szCs w:val="20"/>
              </w:rPr>
            </w:pPr>
            <w:r>
              <w:rPr>
                <w:sz w:val="20"/>
                <w:szCs w:val="20"/>
              </w:rPr>
              <w:t xml:space="preserve">- со счетов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17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7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7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7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7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7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spacing w:before="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bCs/>
                <w:sz w:val="20"/>
                <w:szCs w:val="20"/>
                <w:lang w:val="en-US"/>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lang w:val="en-US"/>
              </w:rPr>
            </w:r>
            <w:r>
              <w:rPr>
                <w:bCs/>
                <w:sz w:val="20"/>
                <w:szCs w:val="20"/>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77"/>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7"/>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случае</w:t>
            </w:r>
            <w:r>
              <w:rPr>
                <w:bCs/>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случае </w:t>
            </w:r>
            <w:r>
              <w:rPr>
                <w:bCs/>
                <w:sz w:val="20"/>
                <w:szCs w:val="20"/>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177"/>
              <w:jc w:val="both"/>
              <w:spacing w:before="40" w:after="40"/>
              <w:rPr>
                <w:bCs/>
                <w:sz w:val="20"/>
                <w:szCs w:val="20"/>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sz w:val="20"/>
                <w:szCs w:val="20"/>
              </w:rPr>
            </w:pPr>
            <w:r>
              <w:rPr>
                <w:sz w:val="20"/>
                <w:szCs w:val="20"/>
              </w:rPr>
              <w:t xml:space="preserve">0,33%</w:t>
            </w:r>
            <w:r>
              <w:rPr>
                <w:sz w:val="20"/>
                <w:szCs w:val="20"/>
              </w:rPr>
            </w:r>
            <w:r>
              <w:rPr>
                <w:sz w:val="20"/>
                <w:szCs w:val="20"/>
              </w:rPr>
            </w:r>
          </w:p>
          <w:p>
            <w:pPr>
              <w:pStyle w:val="1177"/>
              <w:jc w:val="center"/>
              <w:rPr>
                <w:sz w:val="20"/>
                <w:szCs w:val="20"/>
              </w:rPr>
            </w:pPr>
            <w:r>
              <w:rPr>
                <w:sz w:val="20"/>
                <w:szCs w:val="20"/>
              </w:rPr>
              <w:t xml:space="preserve">минимум </w:t>
            </w:r>
            <w:r>
              <w:rPr>
                <w:sz w:val="20"/>
                <w:szCs w:val="20"/>
              </w:rPr>
            </w:r>
            <w:r>
              <w:rPr>
                <w:sz w:val="20"/>
                <w:szCs w:val="20"/>
              </w:rPr>
            </w:r>
          </w:p>
          <w:p>
            <w:pPr>
              <w:pStyle w:val="1177"/>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p>
            <w:pPr>
              <w:pStyle w:val="1177"/>
              <w:jc w:val="both"/>
              <w:spacing w:before="40" w:after="40"/>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7"/>
              <w:jc w:val="center"/>
              <w:rPr>
                <w:sz w:val="20"/>
                <w:szCs w:val="20"/>
              </w:rPr>
            </w:pPr>
            <w:r>
              <w:rPr>
                <w:sz w:val="20"/>
                <w:szCs w:val="20"/>
              </w:rPr>
              <w:t xml:space="preserve">20 долл. США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7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7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7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77"/>
              <w:numPr>
                <w:ilvl w:val="0"/>
                <w:numId w:val="32"/>
              </w:numPr>
              <w:ind w:left="57" w:firstLine="0"/>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77"/>
              <w:numPr>
                <w:ilvl w:val="0"/>
                <w:numId w:val="32"/>
              </w:numPr>
              <w:ind w:left="57" w:firstLine="0"/>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77"/>
              <w:numPr>
                <w:ilvl w:val="0"/>
                <w:numId w:val="32"/>
              </w:numPr>
              <w:ind w:left="57" w:firstLine="0"/>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77"/>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sz w:val="20"/>
                <w:szCs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ind w:left="-52"/>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jc w:val="both"/>
              <w:spacing w:before="120" w:after="120"/>
              <w:rPr>
                <w:bCs/>
                <w:sz w:val="20"/>
                <w:szCs w:val="20"/>
              </w:rPr>
            </w:pPr>
            <w:r>
              <w:rPr>
                <w:bCs/>
                <w:sz w:val="20"/>
                <w:szCs w:val="20"/>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77"/>
              <w:jc w:val="both"/>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77"/>
              <w:spacing w:after="40"/>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77"/>
              <w:jc w:val="both"/>
              <w:spacing w:after="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11"/>
              <w:jc w:val="both"/>
              <w:spacing w:before="40"/>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11"/>
              <w:jc w:val="both"/>
              <w:spacing w:before="40"/>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7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7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 соглашения, заключенного Банком и Клиентом.</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77"/>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77"/>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99"/>
        <w:jc w:val="both"/>
        <w:spacing w:before="6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9"/>
        <w:jc w:val="both"/>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99"/>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77"/>
        <w:jc w:val="both"/>
        <w:tabs>
          <w:tab w:val="left" w:pos="1080" w:leader="none"/>
        </w:tabs>
        <w:rPr>
          <w:sz w:val="20"/>
          <w:szCs w:val="20"/>
        </w:rPr>
      </w:pPr>
      <w:r>
        <w:rPr>
          <w:sz w:val="20"/>
          <w:szCs w:val="20"/>
        </w:rPr>
      </w:r>
      <w:r>
        <w:rPr>
          <w:sz w:val="20"/>
          <w:szCs w:val="20"/>
        </w:rPr>
      </w:r>
      <w:r>
        <w:rPr>
          <w:sz w:val="20"/>
          <w:szCs w:val="20"/>
        </w:rPr>
      </w:r>
    </w:p>
    <w:p>
      <w:pPr>
        <w:pStyle w:val="1177"/>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77"/>
        <w:jc w:val="center"/>
        <w:keepNext/>
        <w:spacing w:before="120" w:after="40"/>
        <w:rPr>
          <w:sz w:val="20"/>
          <w:szCs w:val="20"/>
        </w:rPr>
        <w:outlineLvl w:val="1"/>
      </w:pPr>
      <w:r>
        <w:rPr>
          <w:sz w:val="20"/>
          <w:szCs w:val="20"/>
        </w:rPr>
      </w:r>
      <w:r>
        <w:rPr>
          <w:sz w:val="20"/>
          <w:szCs w:val="20"/>
        </w:rPr>
      </w:r>
      <w:r>
        <w:rPr>
          <w:sz w:val="20"/>
          <w:szCs w:val="20"/>
        </w:rPr>
      </w:r>
    </w:p>
    <w:p>
      <w:pPr>
        <w:pStyle w:val="1181"/>
        <w:rPr>
          <w:lang w:val="ru-RU"/>
        </w:rPr>
      </w:pPr>
      <w:r>
        <w:rPr>
          <w:lang w:val="ru-RU"/>
        </w:rPr>
      </w:r>
      <w:r>
        <w:rPr>
          <w:lang w:val="ru-RU"/>
        </w:rPr>
      </w:r>
      <w:r>
        <w:rPr>
          <w:lang w:val="ru-RU"/>
        </w:rPr>
      </w:r>
    </w:p>
    <w:p>
      <w:pPr>
        <w:pStyle w:val="1181"/>
      </w:pPr>
      <w:r>
        <w:t xml:space="preserve">2.</w:t>
      </w:r>
      <w:r>
        <w:t xml:space="preserve"> </w:t>
      </w:r>
      <w:r>
        <w:t xml:space="preserve">Кассовые</w:t>
      </w:r>
      <w:r>
        <w:t xml:space="preserve"> </w:t>
      </w:r>
      <w:r>
        <w:t xml:space="preserve">операции*</w:t>
      </w:r>
      <w:bookmarkEnd w:id="4"/>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7"/>
              <w:jc w:val="center"/>
              <w:rPr>
                <w:b/>
                <w:sz w:val="20"/>
                <w:szCs w:val="20"/>
              </w:rPr>
            </w:pP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25 листов – 200 руб., </w:t>
              <w:br w:type="textWrapping" w:clear="all"/>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7"/>
              <w:spacing w:before="40" w:after="40"/>
              <w:rPr>
                <w:bCs/>
                <w:sz w:val="20"/>
                <w:szCs w:val="20"/>
              </w:rPr>
            </w:pPr>
            <w:r>
              <w:rPr>
                <w:bCs/>
                <w:sz w:val="20"/>
                <w:szCs w:val="20"/>
              </w:rPr>
              <w:t xml:space="preserve">2.2.</w:t>
            </w:r>
            <w:r>
              <w:rPr>
                <w:bCs/>
                <w:sz w:val="20"/>
                <w:szCs w:val="20"/>
              </w:rPr>
              <w:t xml:space="preserve"> Выдача денежной наличности с банковского счета в валюте Российской Федерации (в том числе при закрытии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w:t>
            </w:r>
            <w:r>
              <w:rPr>
                <w:bCs/>
                <w:sz w:val="20"/>
                <w:szCs w:val="20"/>
              </w:rPr>
            </w:r>
            <w:r>
              <w:rPr>
                <w:bCs/>
                <w:sz w:val="20"/>
                <w:szCs w:val="20"/>
              </w:rPr>
            </w:r>
          </w:p>
          <w:p>
            <w:pPr>
              <w:pStyle w:val="1177"/>
              <w:jc w:val="both"/>
              <w:spacing w:before="40" w:after="40"/>
              <w:rPr>
                <w:bCs/>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7"/>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7"/>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7"/>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2.4.</w:t>
            </w:r>
            <w:r>
              <w:rPr>
                <w:sz w:val="20"/>
                <w:szCs w:val="20"/>
              </w:rPr>
            </w:r>
            <w:r>
              <w:rPr>
                <w:sz w:val="20"/>
                <w:szCs w:val="20"/>
              </w:rPr>
            </w:r>
          </w:p>
          <w:p>
            <w:pPr>
              <w:pStyle w:val="117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77"/>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77"/>
              <w:jc w:val="both"/>
              <w:spacing w:before="40" w:after="40"/>
              <w:rPr>
                <w:color w:val="000000"/>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0,40% от суммы, 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2% от суммы, </w:t>
              <w:br w:type="textWrapping" w:clear="all"/>
              <w:t xml:space="preserve">минимум 250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
                <w:bCs/>
                <w:i/>
                <w:sz w:val="20"/>
                <w:szCs w:val="20"/>
              </w:rPr>
            </w:pPr>
            <w:r>
              <w:rPr>
                <w:bCs/>
                <w:sz w:val="20"/>
                <w:szCs w:val="20"/>
              </w:rPr>
              <w:t xml:space="preserve">0,3% от суммы, 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0,1% от суммы, 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7"/>
              <w:spacing w:before="60" w:after="60"/>
              <w:rPr>
                <w:bCs/>
                <w:sz w:val="20"/>
                <w:szCs w:val="20"/>
              </w:rPr>
            </w:pPr>
            <w:r>
              <w:rPr>
                <w:sz w:val="20"/>
                <w:szCs w:val="20"/>
              </w:rPr>
              <w:t xml:space="preserve">2.9. </w:t>
            </w:r>
            <w:r>
              <w:rPr>
                <w:sz w:val="20"/>
                <w:szCs w:val="20"/>
              </w:rPr>
              <w:t xml:space="preserve">Размер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77"/>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7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0,5% от суммы,</w:t>
            </w:r>
            <w:r>
              <w:rPr>
                <w:bCs/>
                <w:sz w:val="20"/>
                <w:szCs w:val="20"/>
              </w:rPr>
            </w:r>
            <w:r>
              <w:rPr>
                <w:bCs/>
                <w:sz w:val="20"/>
                <w:szCs w:val="20"/>
              </w:rPr>
            </w:r>
          </w:p>
          <w:p>
            <w:pPr>
              <w:pStyle w:val="1177"/>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7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2,5% от суммы,</w:t>
            </w:r>
            <w:r>
              <w:rPr>
                <w:bCs/>
                <w:sz w:val="20"/>
                <w:szCs w:val="20"/>
              </w:rPr>
            </w:r>
            <w:r>
              <w:rPr>
                <w:bCs/>
                <w:sz w:val="20"/>
                <w:szCs w:val="20"/>
              </w:rPr>
            </w:r>
          </w:p>
          <w:p>
            <w:pPr>
              <w:pStyle w:val="1177"/>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lang w:val="en-US"/>
              </w:rPr>
            </w:pPr>
            <w:r>
              <w:rPr>
                <w:bCs/>
                <w:sz w:val="20"/>
                <w:szCs w:val="20"/>
                <w:lang w:val="en-US"/>
              </w:rPr>
              <w:t xml:space="preserve">3,5% от суммы,</w:t>
            </w:r>
            <w:r>
              <w:rPr>
                <w:bCs/>
                <w:sz w:val="20"/>
                <w:szCs w:val="20"/>
                <w:lang w:val="en-US"/>
              </w:rPr>
            </w:r>
            <w:r>
              <w:rPr>
                <w:bCs/>
                <w:sz w:val="20"/>
                <w:szCs w:val="20"/>
                <w:lang w:val="en-US"/>
              </w:rPr>
            </w:r>
          </w:p>
          <w:p>
            <w:pPr>
              <w:pStyle w:val="1177"/>
              <w:jc w:val="center"/>
              <w:spacing w:before="40"/>
              <w:rPr>
                <w:bCs/>
                <w:sz w:val="20"/>
                <w:szCs w:val="20"/>
              </w:rPr>
            </w:pPr>
            <w:r>
              <w:rPr>
                <w:bCs/>
                <w:sz w:val="20"/>
                <w:szCs w:val="20"/>
                <w:lang w:val="en-US"/>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77"/>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t xml:space="preserve">.</w:t>
            </w:r>
            <w:r>
              <w:rPr>
                <w:bCs/>
                <w:sz w:val="20"/>
                <w:szCs w:val="20"/>
              </w:rPr>
            </w:r>
            <w:r>
              <w:rPr>
                <w:bCs/>
                <w:sz w:val="20"/>
                <w:szCs w:val="20"/>
              </w:rPr>
            </w:r>
          </w:p>
        </w:tc>
      </w:tr>
    </w:tbl>
    <w:p>
      <w:pPr>
        <w:pStyle w:val="1177"/>
        <w:rPr>
          <w:bCs/>
          <w:sz w:val="20"/>
          <w:szCs w:val="20"/>
          <w:u w:val="single"/>
        </w:rPr>
      </w:pPr>
      <w:r>
        <w:rPr>
          <w:bCs/>
          <w:sz w:val="20"/>
          <w:szCs w:val="20"/>
          <w:u w:val="single"/>
        </w:rPr>
      </w:r>
      <w:r>
        <w:rPr>
          <w:bCs/>
          <w:sz w:val="20"/>
          <w:szCs w:val="20"/>
          <w:u w:val="single"/>
        </w:rPr>
      </w:r>
      <w:r>
        <w:rPr>
          <w:bCs/>
          <w:sz w:val="20"/>
          <w:szCs w:val="20"/>
          <w:u w:val="single"/>
        </w:rPr>
      </w:r>
    </w:p>
    <w:p>
      <w:pPr>
        <w:pStyle w:val="1177"/>
        <w:rPr>
          <w:bCs/>
          <w:sz w:val="16"/>
          <w:szCs w:val="16"/>
        </w:rPr>
      </w:pPr>
      <w:r>
        <w:rPr>
          <w:bCs/>
          <w:sz w:val="16"/>
          <w:szCs w:val="16"/>
          <w:u w:val="single"/>
        </w:rPr>
        <w:t xml:space="preserve">Примечание</w:t>
      </w:r>
      <w:r>
        <w:rPr>
          <w:bCs/>
          <w:sz w:val="16"/>
          <w:szCs w:val="16"/>
        </w:rPr>
        <w:t xml:space="preserve">:</w:t>
      </w:r>
      <w:r>
        <w:rPr>
          <w:bCs/>
          <w:sz w:val="16"/>
          <w:szCs w:val="16"/>
        </w:rPr>
      </w:r>
      <w:r>
        <w:rPr>
          <w:bCs/>
          <w:sz w:val="16"/>
          <w:szCs w:val="16"/>
        </w:rPr>
      </w:r>
    </w:p>
    <w:p>
      <w:pPr>
        <w:pStyle w:val="1177"/>
        <w:jc w:val="both"/>
        <w:spacing w:before="40"/>
        <w:tabs>
          <w:tab w:val="left" w:pos="426" w:leader="none"/>
        </w:tabs>
        <w:rPr>
          <w:rFonts w:eastAsia="Calibri"/>
          <w:bCs/>
          <w:sz w:val="16"/>
          <w:szCs w:val="16"/>
          <w:lang w:eastAsia="en-US"/>
        </w:rPr>
      </w:pPr>
      <w:r>
        <w:rPr>
          <w:rFonts w:eastAsia="Calibri"/>
          <w:bCs/>
          <w:sz w:val="16"/>
          <w:szCs w:val="16"/>
          <w:lang w:eastAsia="en-US"/>
        </w:rPr>
        <w:t xml:space="preserve">Операции по обслуживанию бюдж</w:t>
      </w:r>
      <w:r>
        <w:rPr>
          <w:rFonts w:eastAsia="Calibri"/>
          <w:bCs/>
          <w:sz w:val="16"/>
          <w:szCs w:val="16"/>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16"/>
          <w:szCs w:val="16"/>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16"/>
          <w:szCs w:val="16"/>
          <w:lang w:eastAsia="en-US"/>
        </w:rPr>
      </w:r>
      <w:r>
        <w:rPr>
          <w:rFonts w:eastAsia="Calibri"/>
          <w:bCs/>
          <w:sz w:val="16"/>
          <w:szCs w:val="16"/>
          <w:lang w:eastAsia="en-US"/>
        </w:rPr>
      </w:r>
    </w:p>
    <w:p>
      <w:pPr>
        <w:pStyle w:val="1177"/>
        <w:jc w:val="both"/>
        <w:tabs>
          <w:tab w:val="left" w:pos="426" w:leader="none"/>
          <w:tab w:val="left" w:pos="1080" w:leader="none"/>
        </w:tabs>
        <w:rPr>
          <w:bCs/>
          <w:sz w:val="16"/>
          <w:szCs w:val="16"/>
        </w:rPr>
      </w:pPr>
      <w:r>
        <w:rPr>
          <w:bCs/>
          <w:sz w:val="16"/>
          <w:szCs w:val="16"/>
        </w:rPr>
        <w:t xml:space="preserve">*) Плата за услуги Банка взимается в момент совершения операции, если конкретным пунктом Тарифов не предусмотрено иное.</w:t>
      </w:r>
      <w:r>
        <w:rPr>
          <w:bCs/>
          <w:sz w:val="16"/>
          <w:szCs w:val="16"/>
        </w:rPr>
      </w:r>
      <w:r>
        <w:rPr>
          <w:bCs/>
          <w:sz w:val="16"/>
          <w:szCs w:val="16"/>
        </w:rPr>
      </w:r>
    </w:p>
    <w:p>
      <w:pPr>
        <w:pStyle w:val="1177"/>
        <w:jc w:val="both"/>
        <w:tabs>
          <w:tab w:val="left" w:pos="426" w:leader="none"/>
          <w:tab w:val="left" w:pos="1080" w:leader="none"/>
        </w:tabs>
        <w:rPr>
          <w:bCs/>
          <w:sz w:val="16"/>
          <w:szCs w:val="16"/>
        </w:rPr>
      </w:pPr>
      <w:r>
        <w:rPr>
          <w:bCs/>
          <w:sz w:val="16"/>
          <w:szCs w:val="16"/>
        </w:rPr>
        <w:t xml:space="preserve">**) Предварительная заявка клиента – это письменное заявление клиента о намерении получить денежную </w:t>
      </w:r>
      <w:r>
        <w:rPr>
          <w:bCs/>
          <w:sz w:val="16"/>
          <w:szCs w:val="16"/>
        </w:rPr>
        <w:t xml:space="preserve">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w:t>
      </w:r>
      <w:r>
        <w:rPr>
          <w:bCs/>
          <w:sz w:val="16"/>
          <w:szCs w:val="16"/>
        </w:rPr>
        <w:t xml:space="preserve">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w:t>
      </w:r>
      <w:r>
        <w:rPr>
          <w:bCs/>
          <w:sz w:val="16"/>
          <w:szCs w:val="16"/>
        </w:rPr>
        <w:t xml:space="preserve">м Тарифов не предусмотрено иное</w:t>
      </w:r>
      <w:r>
        <w:rPr>
          <w:bCs/>
          <w:sz w:val="16"/>
          <w:szCs w:val="16"/>
        </w:rPr>
        <w:t xml:space="preserve">.</w:t>
      </w:r>
      <w:r>
        <w:rPr>
          <w:bCs/>
          <w:sz w:val="16"/>
          <w:szCs w:val="16"/>
        </w:rPr>
      </w:r>
      <w:r>
        <w:rPr>
          <w:bCs/>
          <w:sz w:val="16"/>
          <w:szCs w:val="16"/>
        </w:rPr>
      </w:r>
    </w:p>
    <w:p>
      <w:pPr>
        <w:pStyle w:val="1177"/>
        <w:jc w:val="both"/>
        <w:tabs>
          <w:tab w:val="left" w:pos="426" w:leader="none"/>
          <w:tab w:val="left" w:pos="1080" w:leader="none"/>
        </w:tabs>
        <w:rPr>
          <w:bCs/>
          <w:sz w:val="16"/>
          <w:szCs w:val="16"/>
        </w:rPr>
      </w:pPr>
      <w:r>
        <w:rPr>
          <w:bCs/>
          <w:sz w:val="16"/>
          <w:szCs w:val="16"/>
        </w:rPr>
        <w:t xml:space="preserve">***) </w:t>
      </w:r>
      <w:r>
        <w:rPr>
          <w:bCs/>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16"/>
          <w:szCs w:val="16"/>
        </w:rPr>
        <w:t xml:space="preserve">.</w:t>
      </w:r>
      <w:r>
        <w:rPr>
          <w:bCs/>
          <w:sz w:val="16"/>
          <w:szCs w:val="16"/>
        </w:rPr>
      </w:r>
      <w:r>
        <w:rPr>
          <w:bCs/>
          <w:sz w:val="16"/>
          <w:szCs w:val="16"/>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 В соответствии с Федеральным законом от 10 июл</w:t>
      </w:r>
      <w:r>
        <w:rPr>
          <w:rFonts w:eastAsia="Calibri"/>
          <w:sz w:val="16"/>
          <w:szCs w:val="16"/>
          <w:lang w:eastAsia="en-US"/>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eastAsia="Calibri"/>
          <w:sz w:val="16"/>
          <w:szCs w:val="16"/>
          <w:lang w:eastAsia="en-US"/>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bCs/>
          <w:iCs/>
          <w:sz w:val="16"/>
          <w:szCs w:val="16"/>
        </w:rPr>
      </w:pPr>
      <w:r>
        <w:rPr>
          <w:rFonts w:eastAsia="Calibri"/>
          <w:bCs/>
          <w:sz w:val="16"/>
          <w:szCs w:val="16"/>
          <w:lang w:eastAsia="en-US"/>
        </w:rPr>
        <w:t xml:space="preserve">******) Банк не принимает поврежденные банкноты иностранных государств</w:t>
      </w:r>
      <w:r>
        <w:rPr>
          <w:rFonts w:eastAsia="Calibri"/>
          <w:bCs/>
          <w:sz w:val="16"/>
          <w:szCs w:val="16"/>
          <w:lang w:eastAsia="en-US"/>
        </w:rPr>
        <w:t xml:space="preserve">.</w:t>
      </w:r>
      <w:r>
        <w:rPr>
          <w:bCs/>
          <w:iCs/>
          <w:sz w:val="16"/>
          <w:szCs w:val="16"/>
        </w:rPr>
      </w:r>
      <w:r>
        <w:rPr>
          <w:bCs/>
          <w:iCs/>
          <w:sz w:val="16"/>
          <w:szCs w:val="16"/>
        </w:rPr>
      </w:r>
    </w:p>
    <w:p>
      <w:pPr>
        <w:pStyle w:val="1177"/>
        <w:ind w:firstLine="540"/>
        <w:jc w:val="both"/>
        <w:spacing w:before="40"/>
        <w:rPr>
          <w:b/>
          <w:bCs/>
          <w:sz w:val="2"/>
          <w:szCs w:val="2"/>
        </w:rPr>
      </w:pPr>
      <w:r>
        <w:rPr>
          <w:b/>
          <w:bCs/>
          <w:sz w:val="2"/>
          <w:szCs w:val="2"/>
        </w:rPr>
      </w:r>
      <w:r>
        <w:rPr>
          <w:b/>
          <w:bCs/>
          <w:sz w:val="2"/>
          <w:szCs w:val="2"/>
        </w:rPr>
      </w:r>
      <w:r>
        <w:rPr>
          <w:b/>
          <w:bCs/>
          <w:sz w:val="2"/>
          <w:szCs w:val="2"/>
        </w:rPr>
      </w:r>
    </w:p>
    <w:p>
      <w:pPr>
        <w:pStyle w:val="1177"/>
        <w:jc w:val="center"/>
        <w:spacing w:before="120" w:after="120"/>
        <w:tabs>
          <w:tab w:val="left" w:pos="426" w:leader="none"/>
          <w:tab w:val="left" w:pos="1134" w:leader="none"/>
        </w:tabs>
        <w:rPr>
          <w:b/>
        </w:rPr>
      </w:pPr>
      <w:r>
        <w:rPr>
          <w:b/>
        </w:rPr>
        <w:t xml:space="preserve">3. Выполнение функций агента валютного контроля</w:t>
      </w:r>
      <w:r>
        <w:t xml:space="preserve"> </w:t>
      </w:r>
      <w:r>
        <w:rPr>
          <w:b/>
        </w:rPr>
      </w:r>
      <w:r>
        <w:rPr>
          <w:b/>
        </w:rPr>
      </w:r>
    </w:p>
    <w:p>
      <w:pPr>
        <w:pStyle w:val="1177"/>
        <w:jc w:val="center"/>
        <w:spacing w:after="120"/>
        <w:rPr>
          <w:b/>
        </w:rPr>
      </w:pPr>
      <w:r>
        <w:rPr>
          <w:b/>
        </w:rPr>
        <w:t xml:space="preserve">(размер тарифов указан без учета НДС)*</w:t>
      </w:r>
      <w:r>
        <w:rPr>
          <w:b/>
        </w:rPr>
      </w:r>
      <w:r>
        <w:rPr>
          <w:b/>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177"/>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spacing w:before="4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77"/>
              <w:jc w:val="center"/>
              <w:spacing w:before="40"/>
              <w:rPr>
                <w:sz w:val="20"/>
                <w:szCs w:val="20"/>
              </w:rPr>
            </w:pPr>
            <w:r>
              <w:rPr>
                <w:sz w:val="20"/>
                <w:szCs w:val="20"/>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77"/>
              <w:contextualSpacing/>
              <w:jc w:val="center"/>
              <w:spacing w:before="40"/>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77"/>
              <w:jc w:val="both"/>
              <w:spacing w:before="40"/>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77"/>
              <w:jc w:val="both"/>
              <w:spacing w:before="40"/>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77"/>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77"/>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7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7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7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7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7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7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7"/>
              <w:jc w:val="both"/>
              <w:rPr>
                <w:bCs/>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p>
            <w:pPr>
              <w:pStyle w:val="117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77"/>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7"/>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ind w:right="-113"/>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7"/>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177"/>
              <w:jc w:val="center"/>
              <w:spacing w:before="40" w:after="40"/>
              <w:rPr>
                <w:sz w:val="20"/>
                <w:szCs w:val="20"/>
              </w:rPr>
            </w:pPr>
            <w:r>
              <w:rPr>
                <w:sz w:val="20"/>
                <w:szCs w:val="20"/>
              </w:rPr>
              <w:t xml:space="preserve">3.3.3.</w:t>
            </w:r>
            <w:r>
              <w:rPr>
                <w:sz w:val="20"/>
                <w:szCs w:val="20"/>
              </w:rPr>
            </w:r>
            <w:r>
              <w:rPr>
                <w:sz w:val="20"/>
                <w:szCs w:val="20"/>
              </w:rPr>
            </w:r>
          </w:p>
        </w:tc>
        <w:tc>
          <w:tcPr>
            <w:tcBorders>
              <w:bottom w:val="none" w:color="000000" w:sz="4" w:space="0"/>
            </w:tcBorders>
            <w:tcW w:w="2835" w:type="dxa"/>
            <w:vAlign w:val="top"/>
            <w:textDirection w:val="lrTb"/>
            <w:noWrap w:val="false"/>
          </w:tcPr>
          <w:p>
            <w:pPr>
              <w:pStyle w:val="1177"/>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none" w:color="000000" w:sz="4" w:space="0"/>
            </w:tcBorders>
            <w:tcW w:w="2268" w:type="dxa"/>
            <w:vAlign w:val="center"/>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center"/>
            <w:textDirection w:val="lrTb"/>
            <w:noWrap w:val="false"/>
          </w:tcPr>
          <w:p>
            <w:pPr>
              <w:pStyle w:val="1177"/>
              <w:jc w:val="center"/>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77"/>
              <w:jc w:val="both"/>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77"/>
              <w:jc w:val="both"/>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77"/>
              <w:jc w:val="both"/>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77"/>
              <w:jc w:val="both"/>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spacing w:before="40" w:after="40"/>
              <w:rPr>
                <w:color w:val="000000"/>
                <w:sz w:val="20"/>
                <w:szCs w:val="20"/>
              </w:rPr>
            </w:pPr>
            <w:r>
              <w:rPr>
                <w:sz w:val="20"/>
                <w:szCs w:val="20"/>
              </w:rPr>
              <w:t xml:space="preserve">- при предоставлении/ получении документов на бумажном носителе</w:t>
            </w:r>
            <w:r>
              <w:rPr>
                <w:color w:val="000000"/>
                <w:sz w:val="20"/>
                <w:szCs w:val="20"/>
              </w:rPr>
            </w:r>
            <w:r>
              <w:rPr>
                <w:color w:val="000000"/>
                <w:sz w:val="20"/>
                <w:szCs w:val="20"/>
              </w:rPr>
            </w:r>
          </w:p>
        </w:tc>
        <w:tc>
          <w:tcPr>
            <w:tcBorders>
              <w:top w:val="none" w:color="000000" w:sz="4" w:space="0"/>
              <w:bottom w:val="singl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77"/>
              <w:jc w:val="center"/>
              <w:rPr>
                <w:sz w:val="20"/>
                <w:szCs w:val="20"/>
              </w:rPr>
            </w:pPr>
            <w:r>
              <w:rPr>
                <w:sz w:val="20"/>
                <w:szCs w:val="20"/>
              </w:rPr>
              <w:t xml:space="preserve">500 руб. за один документ</w:t>
            </w:r>
            <w:r>
              <w:rPr>
                <w:sz w:val="20"/>
                <w:szCs w:val="20"/>
              </w:rPr>
            </w:r>
            <w:r>
              <w:rPr>
                <w:sz w:val="20"/>
                <w:szCs w:val="20"/>
              </w:rPr>
            </w:r>
          </w:p>
        </w:tc>
        <w:tc>
          <w:tcPr>
            <w:tcW w:w="4111" w:type="dxa"/>
            <w:vAlign w:val="top"/>
            <w:vMerge w:val="continue"/>
            <w:textDirection w:val="lrTb"/>
            <w:noWrap w:val="false"/>
          </w:tcPr>
          <w:p>
            <w:pPr>
              <w:pStyle w:val="117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ind w:right="-11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7"/>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77"/>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7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3 000 руб.</w:t>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7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7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7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17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17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77"/>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7"/>
              <w:jc w:val="both"/>
              <w:rPr>
                <w:sz w:val="20"/>
                <w:szCs w:val="20"/>
              </w:rPr>
            </w:pPr>
            <w:r>
              <w:rPr>
                <w:sz w:val="20"/>
                <w:szCs w:val="20"/>
              </w:rPr>
              <w:t xml:space="preserve">Комиссия взимается:</w:t>
            </w:r>
            <w:r>
              <w:rPr>
                <w:sz w:val="20"/>
                <w:szCs w:val="20"/>
              </w:rPr>
            </w:r>
            <w:r>
              <w:rPr>
                <w:sz w:val="20"/>
                <w:szCs w:val="20"/>
              </w:rPr>
            </w:r>
          </w:p>
          <w:p>
            <w:pPr>
              <w:pStyle w:val="117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7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77"/>
              <w:contextualSpacing/>
              <w:jc w:val="center"/>
              <w:rPr>
                <w:sz w:val="20"/>
                <w:szCs w:val="20"/>
              </w:rPr>
            </w:pPr>
            <w:r>
              <w:rPr>
                <w:sz w:val="20"/>
                <w:szCs w:val="20"/>
              </w:rPr>
              <w:t xml:space="preserve">0,12%</w:t>
            </w:r>
            <w:r>
              <w:rPr>
                <w:sz w:val="20"/>
                <w:szCs w:val="20"/>
              </w:rPr>
            </w:r>
            <w:r>
              <w:rPr>
                <w:sz w:val="20"/>
                <w:szCs w:val="20"/>
              </w:rPr>
            </w:r>
          </w:p>
          <w:p>
            <w:pPr>
              <w:pStyle w:val="1177"/>
              <w:contextualSpacing/>
              <w:jc w:val="center"/>
              <w:rPr>
                <w:sz w:val="20"/>
                <w:szCs w:val="20"/>
              </w:rPr>
            </w:pPr>
            <w:r>
              <w:rPr>
                <w:sz w:val="20"/>
                <w:szCs w:val="20"/>
              </w:rPr>
              <w:t xml:space="preserve">минимум 250 руб.,</w:t>
            </w:r>
            <w:r>
              <w:rPr>
                <w:sz w:val="20"/>
                <w:szCs w:val="20"/>
              </w:rPr>
            </w:r>
            <w:r>
              <w:rPr>
                <w:sz w:val="20"/>
                <w:szCs w:val="20"/>
              </w:rPr>
            </w:r>
          </w:p>
          <w:p>
            <w:pPr>
              <w:pStyle w:val="1177"/>
              <w:contextualSpacing/>
              <w:jc w:val="center"/>
              <w:rPr>
                <w:sz w:val="20"/>
                <w:szCs w:val="20"/>
              </w:rPr>
            </w:pPr>
            <w:r>
              <w:rPr>
                <w:sz w:val="20"/>
                <w:szCs w:val="20"/>
              </w:rPr>
              <w:t xml:space="preserve">максимум 10 000 руб.</w:t>
            </w:r>
            <w:r>
              <w:rPr>
                <w:sz w:val="20"/>
                <w:szCs w:val="20"/>
              </w:rPr>
            </w:r>
            <w:r>
              <w:rPr>
                <w:sz w:val="20"/>
                <w:szCs w:val="20"/>
              </w:rPr>
            </w:r>
          </w:p>
          <w:p>
            <w:pPr>
              <w:pStyle w:val="1177"/>
              <w:contextualSpacing/>
              <w:jc w:val="center"/>
              <w:rPr>
                <w:sz w:val="20"/>
                <w:szCs w:val="20"/>
              </w:rPr>
            </w:pPr>
            <w:r>
              <w:rPr>
                <w:sz w:val="20"/>
                <w:szCs w:val="20"/>
              </w:rPr>
              <w:t xml:space="preserve">для ГО, ЦРМБ и ЦКБ,</w:t>
            </w:r>
            <w:r>
              <w:rPr>
                <w:sz w:val="20"/>
                <w:szCs w:val="20"/>
              </w:rPr>
            </w:r>
            <w:r>
              <w:rPr>
                <w:sz w:val="20"/>
                <w:szCs w:val="20"/>
              </w:rPr>
            </w:r>
          </w:p>
          <w:p>
            <w:pPr>
              <w:pStyle w:val="1177"/>
              <w:contextualSpacing/>
              <w:jc w:val="center"/>
              <w:rPr>
                <w:sz w:val="20"/>
                <w:szCs w:val="20"/>
              </w:rPr>
            </w:pPr>
            <w:r>
              <w:rPr>
                <w:sz w:val="20"/>
                <w:szCs w:val="20"/>
              </w:rPr>
              <w:t xml:space="preserve">минимум 150 руб.,</w:t>
            </w:r>
            <w:r>
              <w:rPr>
                <w:sz w:val="20"/>
                <w:szCs w:val="20"/>
              </w:rPr>
            </w:r>
            <w:r>
              <w:rPr>
                <w:sz w:val="20"/>
                <w:szCs w:val="20"/>
              </w:rPr>
            </w:r>
          </w:p>
          <w:p>
            <w:pPr>
              <w:pStyle w:val="1177"/>
              <w:contextualSpacing/>
              <w:jc w:val="center"/>
              <w:rPr>
                <w:sz w:val="20"/>
                <w:szCs w:val="20"/>
              </w:rPr>
            </w:pPr>
            <w:r>
              <w:rPr>
                <w:sz w:val="20"/>
                <w:szCs w:val="20"/>
              </w:rPr>
              <w:t xml:space="preserve">максимум 5 000 руб.</w:t>
            </w:r>
            <w:r>
              <w:rPr>
                <w:sz w:val="20"/>
                <w:szCs w:val="20"/>
              </w:rPr>
            </w:r>
            <w:r>
              <w:rPr>
                <w:sz w:val="20"/>
                <w:szCs w:val="20"/>
              </w:rPr>
            </w:r>
          </w:p>
          <w:p>
            <w:pPr>
              <w:pStyle w:val="1177"/>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7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77"/>
              <w:jc w:val="both"/>
              <w:rPr>
                <w:b/>
                <w:sz w:val="20"/>
                <w:szCs w:val="20"/>
              </w:rPr>
            </w:pPr>
            <w:r>
              <w:rPr>
                <w:b/>
                <w:sz w:val="20"/>
                <w:szCs w:val="20"/>
              </w:rPr>
              <w:t xml:space="preserve">Комиссия не взимается:</w:t>
            </w:r>
            <w:r>
              <w:rPr>
                <w:b/>
                <w:sz w:val="20"/>
                <w:szCs w:val="20"/>
              </w:rPr>
            </w:r>
            <w:r>
              <w:rPr>
                <w:b/>
                <w:sz w:val="20"/>
                <w:szCs w:val="20"/>
              </w:rPr>
            </w:r>
          </w:p>
          <w:p>
            <w:pPr>
              <w:pStyle w:val="1177"/>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7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7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7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after="40"/>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77"/>
              <w:spacing w:before="40" w:after="4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7"/>
              <w:jc w:val="center"/>
              <w:spacing w:before="40" w:after="40"/>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77"/>
              <w:spacing w:before="40" w:after="4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77"/>
              <w:jc w:val="center"/>
              <w:spacing w:before="40" w:after="40"/>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77"/>
              <w:jc w:val="both"/>
              <w:spacing w:before="40" w:after="40"/>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7"/>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177"/>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177"/>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17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177"/>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177"/>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77"/>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77"/>
        <w:jc w:val="both"/>
        <w:spacing w:before="120" w:after="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t xml:space="preserve">–</w:t>
      </w:r>
      <w:r>
        <w:rPr>
          <w:bCs/>
          <w:sz w:val="20"/>
          <w:szCs w:val="20"/>
        </w:rPr>
        <w:t xml:space="preserve"> </w:t>
      </w:r>
      <w:r>
        <w:rPr>
          <w:sz w:val="20"/>
          <w:szCs w:val="20"/>
        </w:rPr>
        <w:t xml:space="preserve">Инструкция Банка России № 181-И)</w:t>
      </w:r>
      <w:r>
        <w:rPr>
          <w:bCs/>
          <w:sz w:val="20"/>
          <w:szCs w:val="20"/>
        </w:rPr>
        <w:t xml:space="preserve">.</w:t>
      </w:r>
      <w:r>
        <w:rPr>
          <w:bCs/>
          <w:sz w:val="20"/>
          <w:szCs w:val="20"/>
        </w:rPr>
      </w:r>
      <w:r>
        <w:rPr>
          <w:bCs/>
          <w:sz w:val="20"/>
          <w:szCs w:val="20"/>
        </w:rPr>
      </w:r>
    </w:p>
    <w:p>
      <w:pPr>
        <w:pStyle w:val="1177"/>
        <w:contextualSpacing/>
        <w:ind w:firstLine="567"/>
        <w:jc w:val="both"/>
        <w:spacing w:before="120"/>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r>
      <w:r>
        <w:rPr>
          <w:bCs/>
          <w:sz w:val="20"/>
          <w:szCs w:val="20"/>
        </w:rPr>
      </w:r>
    </w:p>
    <w:p>
      <w:pPr>
        <w:pStyle w:val="1177"/>
        <w:jc w:val="both"/>
        <w:spacing w:before="120"/>
        <w:rPr>
          <w:bCs/>
          <w:sz w:val="20"/>
          <w:szCs w:val="20"/>
        </w:rPr>
      </w:pPr>
      <w:r>
        <w:rPr>
          <w:bCs/>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77"/>
        <w:ind w:firstLine="567"/>
        <w:jc w:val="both"/>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77"/>
        <w:ind w:right="-2" w:firstLine="567"/>
        <w:jc w:val="both"/>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77"/>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Комиссионное вознаграждение взимается: </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r>
        <w:rPr>
          <w:bCs/>
          <w:sz w:val="20"/>
          <w:szCs w:val="20"/>
        </w:rPr>
      </w:r>
    </w:p>
    <w:p>
      <w:pPr>
        <w:pStyle w:val="1177"/>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77"/>
        <w:jc w:val="both"/>
        <w:spacing w:before="120"/>
        <w:rPr>
          <w:sz w:val="20"/>
          <w:szCs w:val="20"/>
        </w:rPr>
      </w:pPr>
      <w:r>
        <w:rPr>
          <w:sz w:val="20"/>
          <w:szCs w:val="20"/>
        </w:rPr>
        <w:t xml:space="preserve">*** Днем оказания услуги по валютному контролю является:</w:t>
      </w:r>
      <w:r>
        <w:rPr>
          <w:sz w:val="20"/>
          <w:szCs w:val="20"/>
        </w:rPr>
      </w:r>
      <w:r>
        <w:rPr>
          <w:sz w:val="20"/>
          <w:szCs w:val="20"/>
        </w:rPr>
      </w:r>
    </w:p>
    <w:p>
      <w:pPr>
        <w:pStyle w:val="1177"/>
        <w:numPr>
          <w:ilvl w:val="0"/>
          <w:numId w:val="24"/>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77"/>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77"/>
        <w:contextualSpacing/>
        <w:ind w:right="-2"/>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r>
        <w:rPr>
          <w:b/>
          <w:sz w:val="20"/>
          <w:szCs w:val="20"/>
        </w:rPr>
      </w:r>
    </w:p>
    <w:p>
      <w:pPr>
        <w:pStyle w:val="1177"/>
        <w:contextualSpacing/>
        <w:ind w:right="-2"/>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r>
        <w:rPr>
          <w:b/>
          <w:sz w:val="20"/>
          <w:szCs w:val="20"/>
        </w:rPr>
      </w:r>
    </w:p>
    <w:p>
      <w:pPr>
        <w:pStyle w:val="1177"/>
        <w:contextualSpacing/>
        <w:ind w:right="-2"/>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r>
        <w:rPr>
          <w:b/>
          <w:sz w:val="20"/>
          <w:szCs w:val="20"/>
        </w:rPr>
      </w:r>
    </w:p>
    <w:p>
      <w:pPr>
        <w:pStyle w:val="1177"/>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 уполномоченного банка о проведенной операции.</w:t>
      </w:r>
      <w:r>
        <w:rPr>
          <w:b/>
          <w:sz w:val="20"/>
          <w:szCs w:val="20"/>
        </w:rPr>
      </w:r>
      <w:r>
        <w:rPr>
          <w:b/>
          <w:sz w:val="20"/>
          <w:szCs w:val="20"/>
        </w:rPr>
      </w:r>
    </w:p>
    <w:p>
      <w:pPr>
        <w:pStyle w:val="1177"/>
        <w:numPr>
          <w:ilvl w:val="0"/>
          <w:numId w:val="24"/>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присвоения Банком экспортном</w:t>
      </w:r>
      <w:r>
        <w:rPr>
          <w:b/>
          <w:sz w:val="20"/>
          <w:szCs w:val="20"/>
        </w:rPr>
        <w:t xml:space="preserve">у контракту уникального номера.</w:t>
      </w:r>
      <w:r>
        <w:rPr>
          <w:b/>
          <w:sz w:val="20"/>
          <w:szCs w:val="20"/>
        </w:rPr>
      </w:r>
      <w:r>
        <w:rPr>
          <w:b/>
          <w:sz w:val="20"/>
          <w:szCs w:val="20"/>
        </w:rPr>
      </w:r>
    </w:p>
    <w:p>
      <w:pPr>
        <w:pStyle w:val="1177"/>
        <w:ind w:firstLine="567"/>
        <w:jc w:val="both"/>
        <w:tabs>
          <w:tab w:val="left" w:pos="709" w:leader="none"/>
          <w:tab w:val="left" w:pos="851" w:leader="none"/>
          <w:tab w:val="left" w:pos="1134" w:leader="none"/>
        </w:tabs>
        <w:rPr>
          <w:bCs/>
          <w:sz w:val="20"/>
          <w:szCs w:val="20"/>
        </w:rPr>
      </w:pPr>
      <w:r>
        <w:rPr>
          <w:bCs/>
          <w:sz w:val="20"/>
          <w:szCs w:val="20"/>
        </w:rPr>
        <w:t xml:space="preserve">4.</w:t>
        <w:tab/>
        <w:t xml:space="preserve">При проверке СПД:</w:t>
      </w:r>
      <w:r>
        <w:rPr>
          <w:bCs/>
          <w:sz w:val="20"/>
          <w:szCs w:val="20"/>
        </w:rPr>
      </w:r>
      <w:r>
        <w:rPr>
          <w:bCs/>
          <w:sz w:val="20"/>
          <w:szCs w:val="20"/>
        </w:rPr>
      </w:r>
    </w:p>
    <w:p>
      <w:pPr>
        <w:pStyle w:val="1177"/>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77"/>
        <w:ind w:right="-2" w:firstLine="567"/>
        <w:jc w:val="both"/>
        <w:tabs>
          <w:tab w:val="left" w:pos="851" w:leader="none"/>
        </w:tabs>
        <w:rPr>
          <w:sz w:val="20"/>
          <w:szCs w:val="20"/>
        </w:rPr>
      </w:pPr>
      <w:r>
        <w:rPr>
          <w:sz w:val="20"/>
          <w:szCs w:val="20"/>
        </w:rPr>
        <w:t xml:space="preserve">5.</w:t>
        <w:tab/>
        <w:t xml:space="preserve">При оформлении Банком СПД за клиента:</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6.</w:t>
        <w:tab/>
        <w:t xml:space="preserve">При снятии контракта (кредитного договора) с учета:</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77"/>
        <w:ind w:right="-2" w:firstLine="567"/>
        <w:jc w:val="both"/>
        <w:tabs>
          <w:tab w:val="left" w:pos="851" w:leader="none"/>
        </w:tabs>
        <w:rPr>
          <w:b/>
          <w:sz w:val="20"/>
          <w:szCs w:val="20"/>
        </w:rPr>
      </w:pPr>
      <w:r>
        <w:rPr>
          <w:sz w:val="20"/>
          <w:szCs w:val="20"/>
        </w:rPr>
        <w:t xml:space="preserve">8.</w:t>
        <w:tab/>
        <w:t xml:space="preserve">При представлении клиенту копий документов из досье валютного контроля:</w:t>
      </w:r>
      <w:r>
        <w:rPr>
          <w:b/>
          <w:sz w:val="20"/>
          <w:szCs w:val="20"/>
        </w:rPr>
      </w:r>
      <w:r>
        <w:rPr>
          <w:b/>
          <w:sz w:val="20"/>
          <w:szCs w:val="20"/>
        </w:rPr>
      </w:r>
    </w:p>
    <w:p>
      <w:pPr>
        <w:pStyle w:val="1177"/>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77"/>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r>
        <w:rPr>
          <w:sz w:val="20"/>
          <w:szCs w:val="20"/>
        </w:rPr>
      </w:r>
    </w:p>
    <w:p>
      <w:pPr>
        <w:pStyle w:val="1177"/>
        <w:jc w:val="both"/>
        <w:spacing w:before="120"/>
        <w:rPr>
          <w:sz w:val="20"/>
          <w:szCs w:val="20"/>
        </w:rPr>
      </w:pPr>
      <w:r>
        <w:rPr>
          <w:sz w:val="20"/>
          <w:szCs w:val="20"/>
        </w:rPr>
      </w:r>
      <w:r>
        <w:rPr>
          <w:sz w:val="20"/>
          <w:szCs w:val="20"/>
        </w:rPr>
      </w:r>
      <w:r>
        <w:rPr>
          <w:sz w:val="20"/>
          <w:szCs w:val="20"/>
        </w:rPr>
      </w:r>
    </w:p>
    <w:p>
      <w:pPr>
        <w:pStyle w:val="1177"/>
      </w:pPr>
      <w:r/>
      <w:r/>
    </w:p>
    <w:p>
      <w:pPr>
        <w:pStyle w:val="1177"/>
      </w:pPr>
      <w:r>
        <w:rPr>
          <w:rFonts w:eastAsia="Calibri"/>
          <w:sz w:val="20"/>
          <w:szCs w:val="20"/>
          <w:lang w:eastAsia="en-US"/>
        </w:rPr>
        <w:t xml:space="preserve">        </w:t>
      </w:r>
      <w:r/>
    </w:p>
    <w:p>
      <w:pPr>
        <w:pStyle w:val="1181"/>
      </w:pPr>
      <w:r/>
      <w:bookmarkStart w:id="5" w:name="_Toc446937097"/>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77"/>
              <w:spacing w:before="40" w:after="4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77"/>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t xml:space="preserve">Взимается до выдачи кредита с целевым назначением – на приобретение векселя ОАО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77"/>
              <w:jc w:val="both"/>
              <w:spacing w:before="40" w:after="40"/>
              <w:rPr>
                <w:bCs/>
                <w:sz w:val="20"/>
                <w:szCs w:val="20"/>
              </w:rPr>
            </w:pPr>
            <w:r>
              <w:rPr>
                <w:bCs/>
                <w:sz w:val="20"/>
                <w:szCs w:val="20"/>
              </w:rPr>
              <w:t xml:space="preserve">Оформление бланка векселя АО «Россельхозбанк» в региональных филиалах</w:t>
            </w:r>
            <w:r>
              <w:rPr>
                <w:bCs/>
                <w:sz w:val="20"/>
                <w:szCs w:val="20"/>
              </w:rPr>
              <w:t xml:space="preserve"> </w:t>
            </w:r>
            <w:r>
              <w:rPr>
                <w:bCs/>
                <w:sz w:val="20"/>
                <w:szCs w:val="20"/>
              </w:rPr>
              <w:t xml:space="preserve">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t xml:space="preserve">Взимается до выдачи кредита с целевым назначением – на приобретение векселя 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77"/>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bCs/>
                <w:iCs/>
                <w:sz w:val="20"/>
                <w:szCs w:val="20"/>
              </w:rPr>
              <w:t xml:space="preserve">4.3.</w:t>
            </w:r>
            <w:r>
              <w:rPr>
                <w:sz w:val="20"/>
                <w:szCs w:val="20"/>
              </w:rPr>
            </w:r>
            <w:r>
              <w:rPr>
                <w:sz w:val="20"/>
                <w:szCs w:val="20"/>
              </w:rPr>
            </w:r>
          </w:p>
        </w:tc>
        <w:tc>
          <w:tcPr>
            <w:gridSpan w:val="3"/>
            <w:tcW w:w="9498" w:type="dxa"/>
            <w:vAlign w:val="top"/>
            <w:textDirection w:val="lrTb"/>
            <w:noWrap w:val="false"/>
          </w:tcPr>
          <w:p>
            <w:pPr>
              <w:pStyle w:val="1177"/>
              <w:jc w:val="both"/>
              <w:spacing w:before="40" w:after="4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bCs/>
                <w:iCs/>
                <w:sz w:val="20"/>
                <w:szCs w:val="20"/>
              </w:rPr>
            </w:pPr>
            <w:r>
              <w:rPr>
                <w:bCs/>
                <w:iCs/>
                <w:sz w:val="20"/>
                <w:szCs w:val="20"/>
              </w:rPr>
            </w:r>
            <w:r>
              <w:rPr>
                <w:bCs/>
                <w:iCs/>
                <w:sz w:val="20"/>
                <w:szCs w:val="20"/>
              </w:rPr>
            </w:r>
            <w:r>
              <w:rPr>
                <w:bCs/>
                <w:iCs/>
                <w:sz w:val="20"/>
                <w:szCs w:val="20"/>
              </w:rPr>
            </w:r>
          </w:p>
        </w:tc>
        <w:tc>
          <w:tcPr>
            <w:tcW w:w="3969" w:type="dxa"/>
            <w:vAlign w:val="top"/>
            <w:textDirection w:val="lrTb"/>
            <w:noWrap w:val="false"/>
          </w:tcPr>
          <w:p>
            <w:pPr>
              <w:pStyle w:val="1177"/>
              <w:jc w:val="both"/>
              <w:spacing w:before="40" w:after="40"/>
              <w:rPr>
                <w:bCs/>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77"/>
              <w:jc w:val="center"/>
              <w:rPr>
                <w:bCs/>
                <w:sz w:val="20"/>
                <w:szCs w:val="20"/>
              </w:rPr>
            </w:pPr>
            <w:r>
              <w:rPr>
                <w:sz w:val="20"/>
                <w:szCs w:val="20"/>
              </w:rPr>
              <w:t xml:space="preserve">31 руб. </w:t>
            </w:r>
            <w:r>
              <w:rPr>
                <w:sz w:val="20"/>
                <w:szCs w:val="20"/>
              </w:rPr>
              <w:t xml:space="preserve">за лист</w:t>
            </w:r>
            <w:r>
              <w:rPr>
                <w:bCs/>
                <w:sz w:val="20"/>
                <w:szCs w:val="20"/>
              </w:rPr>
            </w:r>
            <w:r>
              <w:rPr>
                <w:bCs/>
                <w:sz w:val="20"/>
                <w:szCs w:val="20"/>
              </w:rPr>
            </w:r>
          </w:p>
        </w:tc>
        <w:tc>
          <w:tcPr>
            <w:tcW w:w="3544" w:type="dxa"/>
            <w:vAlign w:val="top"/>
            <w:textDirection w:val="lrTb"/>
            <w:noWrap w:val="false"/>
          </w:tcPr>
          <w:p>
            <w:pPr>
              <w:pStyle w:val="1177"/>
              <w:jc w:val="both"/>
              <w:spacing w:before="40" w:after="40"/>
              <w:rPr>
                <w:sz w:val="20"/>
                <w:szCs w:val="20"/>
              </w:rPr>
            </w:pPr>
            <w:r>
              <w:rPr>
                <w:sz w:val="20"/>
                <w:szCs w:val="20"/>
              </w:rPr>
              <w:t xml:space="preserve">Взимается при передаче векселя АО «Россельхозбанк» в заклад Банку. </w:t>
            </w:r>
            <w:r>
              <w:rPr>
                <w:sz w:val="20"/>
                <w:szCs w:val="20"/>
              </w:rPr>
            </w:r>
            <w:r>
              <w:rPr>
                <w:sz w:val="20"/>
                <w:szCs w:val="20"/>
              </w:rPr>
            </w:r>
          </w:p>
          <w:p>
            <w:pPr>
              <w:pStyle w:val="1177"/>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bCs/>
                <w:iCs/>
                <w:sz w:val="20"/>
                <w:szCs w:val="20"/>
              </w:rPr>
            </w:pPr>
            <w:r>
              <w:rPr>
                <w:sz w:val="20"/>
                <w:szCs w:val="20"/>
              </w:rPr>
              <w:t xml:space="preserve">4.4.</w:t>
            </w:r>
            <w:r>
              <w:rPr>
                <w:bCs/>
                <w:iCs/>
                <w:sz w:val="20"/>
                <w:szCs w:val="20"/>
              </w:rPr>
            </w:r>
            <w:r>
              <w:rPr>
                <w:bCs/>
                <w:iCs/>
                <w:sz w:val="20"/>
                <w:szCs w:val="20"/>
              </w:rPr>
            </w:r>
          </w:p>
        </w:tc>
        <w:tc>
          <w:tcPr>
            <w:tcW w:w="3969" w:type="dxa"/>
            <w:vAlign w:val="top"/>
            <w:textDirection w:val="lrTb"/>
            <w:noWrap w:val="false"/>
          </w:tcPr>
          <w:p>
            <w:pPr>
              <w:pStyle w:val="1177"/>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77"/>
              <w:jc w:val="center"/>
              <w:spacing w:before="40"/>
              <w:rPr>
                <w:bCs/>
                <w:sz w:val="20"/>
                <w:szCs w:val="20"/>
              </w:rPr>
            </w:pPr>
            <w:r>
              <w:rPr>
                <w:sz w:val="20"/>
                <w:szCs w:val="20"/>
              </w:rPr>
              <w:t xml:space="preserve">11 руб. за один лист с односторонним расположением текста</w:t>
            </w:r>
            <w:r>
              <w:rPr>
                <w:bCs/>
                <w:sz w:val="20"/>
                <w:szCs w:val="20"/>
              </w:rPr>
            </w:r>
            <w:r>
              <w:rPr>
                <w:bCs/>
                <w:sz w:val="20"/>
                <w:szCs w:val="20"/>
              </w:rPr>
            </w:r>
          </w:p>
        </w:tc>
        <w:tc>
          <w:tcPr>
            <w:tcW w:w="3544" w:type="dxa"/>
            <w:vAlign w:val="top"/>
            <w:textDirection w:val="lrTb"/>
            <w:noWrap w:val="false"/>
          </w:tcPr>
          <w:p>
            <w:pPr>
              <w:pStyle w:val="1177"/>
              <w:jc w:val="both"/>
              <w:spacing w:before="40"/>
              <w:rPr>
                <w:sz w:val="20"/>
                <w:szCs w:val="20"/>
              </w:rPr>
            </w:pPr>
            <w:r>
              <w:rPr>
                <w:sz w:val="20"/>
                <w:szCs w:val="20"/>
              </w:rPr>
              <w:t xml:space="preserve">Комиссия включает НДС.</w:t>
            </w:r>
            <w:r>
              <w:rPr>
                <w:sz w:val="20"/>
                <w:szCs w:val="20"/>
              </w:rPr>
            </w:r>
            <w:r>
              <w:rPr>
                <w:sz w:val="20"/>
                <w:szCs w:val="20"/>
              </w:rPr>
            </w:r>
          </w:p>
          <w:p>
            <w:pPr>
              <w:pStyle w:val="117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77"/>
              <w:jc w:val="both"/>
              <w:spacing w:before="40" w:after="40"/>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77"/>
      </w:pPr>
      <w:r/>
      <w:r/>
    </w:p>
    <w:p>
      <w:pPr>
        <w:pStyle w:val="1181"/>
      </w:pPr>
      <w:r>
        <w:t xml:space="preserve">5.</w:t>
      </w:r>
      <w:r>
        <w:t xml:space="preserve"> </w:t>
      </w:r>
      <w:bookmarkStart w:id="6" w:name="_Toc446937098"/>
      <w:r>
        <w:t xml:space="preserve">Документарные</w:t>
      </w:r>
      <w:r>
        <w:t xml:space="preserve"> </w:t>
      </w:r>
      <w:r>
        <w:t xml:space="preserve">операции</w:t>
      </w:r>
      <w:bookmarkEnd w:id="6"/>
      <w:r/>
      <w:r/>
    </w:p>
    <w:tbl>
      <w:tblPr>
        <w:tblW w:w="5115"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7"/>
        <w:gridCol w:w="1985"/>
        <w:gridCol w:w="3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
                <w:sz w:val="20"/>
                <w:szCs w:val="20"/>
              </w:rPr>
            </w:pPr>
            <w:r>
              <w:rPr>
                <w:b/>
                <w:sz w:val="20"/>
                <w:szCs w:val="20"/>
              </w:rPr>
              <w:t xml:space="preserve">№</w:t>
            </w:r>
            <w:r>
              <w:rPr>
                <w:b/>
                <w:sz w:val="20"/>
                <w:szCs w:val="20"/>
              </w:rPr>
            </w:r>
            <w:r>
              <w:rPr>
                <w:b/>
                <w:sz w:val="20"/>
                <w:szCs w:val="20"/>
              </w:rPr>
            </w:r>
          </w:p>
          <w:p>
            <w:pPr>
              <w:pStyle w:val="1177"/>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7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77"/>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vMerge w:val="restart"/>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77"/>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5 000 руб.,</w:t>
            </w:r>
            <w:r>
              <w:rPr>
                <w:bCs/>
                <w:sz w:val="20"/>
                <w:szCs w:val="20"/>
              </w:rPr>
            </w:r>
            <w:r>
              <w:rPr>
                <w:bCs/>
                <w:sz w:val="20"/>
                <w:szCs w:val="20"/>
              </w:rPr>
            </w:r>
          </w:p>
          <w:p>
            <w:pPr>
              <w:pStyle w:val="1177"/>
              <w:jc w:val="center"/>
              <w:rPr>
                <w:bCs/>
                <w:sz w:val="20"/>
                <w:szCs w:val="20"/>
              </w:rPr>
            </w:pPr>
            <w:r>
              <w:rPr>
                <w:bCs/>
                <w:sz w:val="20"/>
                <w:szCs w:val="20"/>
              </w:rPr>
              <w:t xml:space="preserve">максимум 50 000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5 000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77"/>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restart"/>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77"/>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7"/>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77"/>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9" w:type="pct"/>
            <w:vAlign w:val="center"/>
            <w:textDirection w:val="lrTb"/>
            <w:noWrap w:val="false"/>
          </w:tcPr>
          <w:p>
            <w:pPr>
              <w:pStyle w:val="117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77"/>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w:t>
            </w:r>
            <w:r>
              <w:rPr>
                <w:bCs/>
                <w:color w:val="000000"/>
                <w:sz w:val="20"/>
                <w:szCs w:val="20"/>
              </w:rPr>
              <w:t xml:space="preserve">ия); </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sz w:val="20"/>
                <w:szCs w:val="20"/>
              </w:rPr>
              <w:t xml:space="preserve">0,15% от суммы,</w:t>
            </w:r>
            <w:r>
              <w:rPr>
                <w:sz w:val="20"/>
                <w:szCs w:val="20"/>
              </w:rPr>
            </w:r>
            <w:r>
              <w:rPr>
                <w:sz w:val="20"/>
                <w:szCs w:val="20"/>
              </w:rPr>
            </w:r>
          </w:p>
          <w:p>
            <w:pPr>
              <w:pStyle w:val="117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sz w:val="20"/>
                <w:szCs w:val="20"/>
              </w:rPr>
              <w:t xml:space="preserve">0,15% от суммы,</w:t>
            </w:r>
            <w:r>
              <w:rPr>
                <w:sz w:val="20"/>
                <w:szCs w:val="20"/>
              </w:rPr>
            </w:r>
            <w:r>
              <w:rPr>
                <w:sz w:val="20"/>
                <w:szCs w:val="20"/>
              </w:rPr>
            </w:r>
          </w:p>
          <w:p>
            <w:pPr>
              <w:pStyle w:val="117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bl>
    <w:p>
      <w:pPr>
        <w:pStyle w:val="117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77"/>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7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7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7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7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7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7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7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77"/>
        <w:jc w:val="both"/>
        <w:rPr>
          <w:sz w:val="20"/>
          <w:szCs w:val="20"/>
        </w:rPr>
      </w:pPr>
      <w:r>
        <w:rPr>
          <w:sz w:val="20"/>
          <w:szCs w:val="20"/>
        </w:rPr>
        <w:t xml:space="preserve">8. Комиссионное вознаграждение, уплаченное Банку за оказание услуг (кроме ошибочно удержанного), возврату не подлежит.».</w:t>
      </w:r>
      <w:r>
        <w:rPr>
          <w:sz w:val="20"/>
          <w:szCs w:val="20"/>
        </w:rPr>
      </w:r>
      <w:r>
        <w:rPr>
          <w:sz w:val="20"/>
          <w:szCs w:val="20"/>
        </w:rPr>
      </w:r>
    </w:p>
    <w:p>
      <w:pPr>
        <w:pStyle w:val="1177"/>
        <w:rPr>
          <w:lang w:eastAsia="en-US"/>
        </w:rPr>
      </w:pPr>
      <w:r>
        <w:rPr>
          <w:lang w:eastAsia="en-US"/>
        </w:rPr>
      </w:r>
      <w:r>
        <w:rPr>
          <w:lang w:eastAsia="en-US"/>
        </w:rPr>
      </w:r>
      <w:r>
        <w:rPr>
          <w:lang w:eastAsia="en-US"/>
        </w:rPr>
      </w:r>
    </w:p>
    <w:p>
      <w:pPr>
        <w:pStyle w:val="1177"/>
      </w:pPr>
      <w:r/>
      <w:r/>
    </w:p>
    <w:p>
      <w:pPr>
        <w:pStyle w:val="1177"/>
        <w:rPr>
          <w:sz w:val="20"/>
          <w:szCs w:val="20"/>
        </w:rPr>
      </w:pPr>
      <w:r>
        <w:rPr>
          <w:sz w:val="20"/>
          <w:szCs w:val="20"/>
        </w:rPr>
      </w:r>
      <w:r>
        <w:rPr>
          <w:sz w:val="20"/>
          <w:szCs w:val="20"/>
        </w:rPr>
      </w:r>
      <w:r>
        <w:rPr>
          <w:sz w:val="20"/>
          <w:szCs w:val="20"/>
        </w:rPr>
      </w:r>
    </w:p>
    <w:p>
      <w:pPr>
        <w:pStyle w:val="1181"/>
      </w:pPr>
      <w:r/>
      <w:bookmarkStart w:id="7" w:name="_Toc446937099"/>
      <w:r>
        <w:t xml:space="preserve">6.</w:t>
      </w:r>
      <w:r>
        <w:t xml:space="preserve"> </w:t>
      </w:r>
      <w:r>
        <w:t xml:space="preserve">Гарантийные</w:t>
      </w:r>
      <w:r>
        <w:t xml:space="preserve"> </w:t>
      </w:r>
      <w:r>
        <w:t xml:space="preserve">операции</w:t>
      </w:r>
      <w:bookmarkEnd w:id="7"/>
      <w:r/>
      <w:r/>
    </w:p>
    <w:p>
      <w:pPr>
        <w:pStyle w:val="1177"/>
        <w:rPr>
          <w:lang w:val="en-US" w:eastAsia="en-US"/>
        </w:rPr>
      </w:pPr>
      <w:r>
        <w:rPr>
          <w:lang w:val="en-US" w:eastAsia="en-US"/>
        </w:rPr>
      </w: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7"/>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7"/>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77"/>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7"/>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7"/>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77"/>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7"/>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77"/>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77"/>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77"/>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7"/>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7"/>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6.2.2.</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77"/>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77"/>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77"/>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77"/>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77"/>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7 500 руб.</w:t>
            </w:r>
            <w:r>
              <w:rPr>
                <w:bCs/>
                <w:sz w:val="20"/>
                <w:szCs w:val="20"/>
              </w:rPr>
            </w:r>
            <w:r>
              <w:rPr>
                <w:bCs/>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sz w:val="20"/>
                <w:szCs w:val="20"/>
              </w:rPr>
            </w:pPr>
            <w:r>
              <w:rPr>
                <w:sz w:val="20"/>
                <w:szCs w:val="20"/>
              </w:rPr>
              <w:t xml:space="preserve">3 500 руб.</w:t>
            </w:r>
            <w:r>
              <w:rPr>
                <w:sz w:val="20"/>
                <w:szCs w:val="20"/>
              </w:rPr>
            </w:r>
            <w:r>
              <w:rPr>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sz w:val="20"/>
                <w:szCs w:val="20"/>
              </w:rPr>
            </w:pPr>
            <w:r>
              <w:rPr>
                <w:sz w:val="20"/>
                <w:szCs w:val="20"/>
              </w:rPr>
              <w:t xml:space="preserve">2 500 руб.</w:t>
            </w:r>
            <w:r>
              <w:rPr>
                <w:sz w:val="20"/>
                <w:szCs w:val="20"/>
              </w:rPr>
            </w:r>
            <w:r>
              <w:rPr>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77"/>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7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7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bCs/>
          <w:iCs/>
          <w:sz w:val="20"/>
          <w:szCs w:val="20"/>
        </w:rPr>
      </w:r>
      <w:r>
        <w:rPr>
          <w:bCs/>
          <w:iCs/>
          <w:sz w:val="20"/>
          <w:szCs w:val="20"/>
        </w:rPr>
      </w:r>
    </w:p>
    <w:p>
      <w:pPr>
        <w:pStyle w:val="1177"/>
        <w:rPr>
          <w:sz w:val="20"/>
          <w:szCs w:val="20"/>
        </w:rPr>
      </w:pPr>
      <w:r>
        <w:rPr>
          <w:sz w:val="20"/>
          <w:szCs w:val="20"/>
        </w:rPr>
      </w:r>
      <w:r>
        <w:rPr>
          <w:sz w:val="20"/>
          <w:szCs w:val="20"/>
        </w:rPr>
      </w:r>
      <w:r>
        <w:rPr>
          <w:sz w:val="20"/>
          <w:szCs w:val="20"/>
        </w:rPr>
      </w:r>
    </w:p>
    <w:p>
      <w:pPr>
        <w:pStyle w:val="1181"/>
      </w:pPr>
      <w:r/>
      <w:bookmarkStart w:id="8" w:name="_Toc315277219"/>
      <w:r/>
      <w:bookmarkStart w:id="9" w:name="_Toc446937100"/>
      <w:r/>
      <w:r/>
    </w:p>
    <w:p>
      <w:pPr>
        <w:pStyle w:val="1181"/>
      </w:pPr>
      <w:r/>
      <w:r/>
    </w:p>
    <w:p>
      <w:pPr>
        <w:pStyle w:val="1181"/>
      </w:pPr>
      <w:r>
        <w:t xml:space="preserve">7.</w:t>
      </w:r>
      <w:r>
        <w:t xml:space="preserve"> </w:t>
      </w:r>
      <w:bookmarkEnd w:id="8"/>
      <w:r/>
      <w:bookmarkStart w:id="10" w:name="_Toc309747837"/>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9"/>
      <w:r/>
      <w:bookmarkEnd w:id="10"/>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77"/>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7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77"/>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77"/>
              <w:spacing w:before="40" w:after="40"/>
              <w:rPr>
                <w:bCs/>
                <w:sz w:val="20"/>
                <w:szCs w:val="20"/>
                <w:lang w:val="en-US"/>
              </w:rPr>
            </w:pPr>
            <w:r>
              <w:rPr>
                <w:bCs/>
                <w:sz w:val="20"/>
                <w:szCs w:val="20"/>
              </w:rPr>
              <w:t xml:space="preserve">- по г. </w:t>
            </w:r>
            <w:r>
              <w:rPr>
                <w:bCs/>
                <w:sz w:val="20"/>
                <w:szCs w:val="20"/>
              </w:rPr>
              <w:t xml:space="preserve">Пскову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7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7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t xml:space="preserve">.</w:t>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77"/>
              <w:spacing w:before="40" w:after="40"/>
              <w:rPr>
                <w:bCs/>
                <w:sz w:val="20"/>
                <w:szCs w:val="20"/>
              </w:rPr>
            </w:pPr>
            <w:r>
              <w:rPr>
                <w:bCs/>
                <w:sz w:val="20"/>
                <w:szCs w:val="20"/>
              </w:rPr>
              <w:t xml:space="preserve">- по </w:t>
            </w:r>
            <w:r>
              <w:rPr>
                <w:bCs/>
                <w:sz w:val="20"/>
                <w:szCs w:val="20"/>
              </w:rPr>
              <w:t xml:space="preserve">Псковской </w:t>
            </w:r>
            <w:r>
              <w:rPr>
                <w:bCs/>
                <w:sz w:val="20"/>
                <w:szCs w:val="20"/>
              </w:rPr>
              <w:t xml:space="preserve">области</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sz w:val="20"/>
                <w:szCs w:val="20"/>
              </w:rPr>
            </w:pPr>
            <w:r>
              <w:rPr>
                <w:sz w:val="20"/>
                <w:szCs w:val="20"/>
              </w:rPr>
            </w:r>
            <w:r>
              <w:rPr>
                <w:sz w:val="20"/>
                <w:szCs w:val="20"/>
              </w:rPr>
            </w:r>
            <w:r>
              <w:rPr>
                <w:sz w:val="20"/>
                <w:szCs w:val="20"/>
              </w:rPr>
            </w:r>
          </w:p>
          <w:p>
            <w:pPr>
              <w:pStyle w:val="1177"/>
              <w:jc w:val="both"/>
              <w:spacing w:before="40" w:after="40"/>
              <w:rPr>
                <w:bCs/>
                <w:sz w:val="20"/>
                <w:szCs w:val="20"/>
              </w:rPr>
            </w:pPr>
            <w:r>
              <w:rPr>
                <w:sz w:val="20"/>
                <w:szCs w:val="20"/>
              </w:rPr>
              <w:t xml:space="preserve">- клиентам - социально ориентированным некоммерческим организациям победителям конкурсных отборов по предоставлению субсидий социально ориентированным некоммерческим организациям на реализацию социальных проектов на территории Псковской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77"/>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sz w:val="20"/>
                <w:szCs w:val="20"/>
              </w:rPr>
            </w:pPr>
            <w:r>
              <w:rPr>
                <w:sz w:val="20"/>
                <w:szCs w:val="20"/>
              </w:rPr>
            </w:r>
            <w:r>
              <w:rPr>
                <w:sz w:val="20"/>
                <w:szCs w:val="20"/>
              </w:rPr>
            </w:r>
            <w:r>
              <w:rPr>
                <w:sz w:val="20"/>
                <w:szCs w:val="20"/>
              </w:rPr>
            </w:r>
          </w:p>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77"/>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77"/>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77"/>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77"/>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77"/>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iCs/>
                <w:sz w:val="20"/>
                <w:szCs w:val="20"/>
              </w:rPr>
              <w:t xml:space="preserve">.</w:t>
            </w:r>
            <w:r>
              <w:rPr>
                <w:bCs/>
                <w:iCs/>
                <w:sz w:val="20"/>
                <w:szCs w:val="20"/>
              </w:rPr>
            </w:r>
            <w:r>
              <w:rPr>
                <w:bCs/>
                <w:iCs/>
                <w:sz w:val="20"/>
                <w:szCs w:val="20"/>
              </w:rPr>
            </w:r>
          </w:p>
          <w:p>
            <w:pPr>
              <w:pStyle w:val="1177"/>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77"/>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не взимается.</w:t>
            </w:r>
            <w:r>
              <w:rPr>
                <w:sz w:val="20"/>
                <w:szCs w:val="20"/>
              </w:rPr>
            </w:r>
            <w:r>
              <w:rPr>
                <w:sz w:val="20"/>
                <w:szCs w:val="20"/>
              </w:rPr>
            </w:r>
          </w:p>
          <w:p>
            <w:pPr>
              <w:pStyle w:val="1177"/>
              <w:jc w:val="both"/>
              <w:spacing w:after="12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177"/>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77"/>
              <w:jc w:val="both"/>
              <w:spacing w:after="12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8"/>
              </w:numPr>
              <w:ind w:left="9" w:firstLine="0"/>
              <w:spacing w:before="40" w:after="40"/>
              <w:tabs>
                <w:tab w:val="num" w:pos="0" w:leader="none"/>
                <w:tab w:val="num" w:pos="292" w:leader="none"/>
                <w:tab w:val="num" w:pos="434"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9"/>
              </w:numPr>
              <w:ind w:left="0" w:firstLine="0"/>
              <w:spacing w:before="40" w:after="40"/>
              <w:tabs>
                <w:tab w:val="left" w:pos="526" w:leader="none"/>
              </w:tabs>
              <w:rPr>
                <w:bCs/>
                <w:sz w:val="20"/>
                <w:szCs w:val="20"/>
              </w:rPr>
            </w:pPr>
            <w:r>
              <w:rPr>
                <w:bCs/>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ind w:left="74"/>
              <w:jc w:val="center"/>
              <w:spacing w:before="40" w:after="40"/>
              <w:rPr>
                <w:sz w:val="20"/>
                <w:szCs w:val="20"/>
              </w:rPr>
            </w:pPr>
            <w:r>
              <w:rPr>
                <w:bCs/>
                <w:sz w:val="20"/>
                <w:szCs w:val="20"/>
              </w:rPr>
              <w:t xml:space="preserve">Не взимается</w:t>
            </w:r>
            <w:r>
              <w:rPr>
                <w:sz w:val="20"/>
                <w:szCs w:val="20"/>
              </w:rPr>
            </w:r>
            <w:r>
              <w:rPr>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9"/>
              </w:numPr>
              <w:ind w:left="0" w:firstLine="0"/>
              <w:spacing w:before="40" w:after="40"/>
              <w:tabs>
                <w:tab w:val="left" w:pos="526" w:leader="none"/>
              </w:tabs>
              <w:rPr>
                <w:bCs/>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bottom w:val="single" w:color="000000" w:sz="4" w:space="0"/>
            </w:tcBorders>
            <w:tcW w:w="2407" w:type="dxa"/>
            <w:vAlign w:val="top"/>
            <w:textDirection w:val="lrTb"/>
            <w:noWrap w:val="false"/>
          </w:tcPr>
          <w:p>
            <w:pPr>
              <w:pStyle w:val="1177"/>
              <w:jc w:val="center"/>
              <w:spacing w:after="40"/>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77"/>
              <w:spacing w:before="40"/>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7.3.2.</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2000 руб. </w:t>
            </w:r>
            <w:r>
              <w:rPr>
                <w:bCs/>
                <w:sz w:val="20"/>
                <w:szCs w:val="20"/>
              </w:rPr>
            </w:r>
            <w:r>
              <w:rPr>
                <w:bCs/>
                <w:sz w:val="20"/>
                <w:szCs w:val="20"/>
              </w:rPr>
            </w:r>
          </w:p>
          <w:p>
            <w:pPr>
              <w:pStyle w:val="1177"/>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restart"/>
            <w:textDirection w:val="lrTb"/>
            <w:noWrap w:val="false"/>
          </w:tcPr>
          <w:p>
            <w:pPr>
              <w:pStyle w:val="117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2000 руб. </w:t>
            </w:r>
            <w:r>
              <w:rPr>
                <w:bCs/>
                <w:sz w:val="20"/>
                <w:szCs w:val="20"/>
              </w:rPr>
            </w:r>
            <w:r>
              <w:rPr>
                <w:bCs/>
                <w:sz w:val="20"/>
                <w:szCs w:val="20"/>
              </w:rPr>
            </w:r>
          </w:p>
          <w:p>
            <w:pPr>
              <w:pStyle w:val="1177"/>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77"/>
              <w:jc w:val="center"/>
              <w:rPr>
                <w:bCs/>
                <w:sz w:val="20"/>
                <w:szCs w:val="20"/>
              </w:rPr>
            </w:pPr>
            <w:r>
              <w:rPr>
                <w:bCs/>
                <w:sz w:val="20"/>
                <w:szCs w:val="20"/>
              </w:rPr>
              <w:t xml:space="preserve">но не более 5000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7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7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77"/>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77"/>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77"/>
              <w:jc w:val="both"/>
              <w:rPr>
                <w:bCs/>
                <w:sz w:val="20"/>
                <w:szCs w:val="20"/>
              </w:rPr>
            </w:pPr>
            <w:r>
              <w:rPr>
                <w:bCs/>
                <w:sz w:val="20"/>
                <w:szCs w:val="20"/>
              </w:rPr>
              <w:t xml:space="preserve">Услуга не предоставляется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7"/>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p>
            <w:pPr>
              <w:pStyle w:val="1177"/>
              <w:jc w:val="both"/>
              <w:rPr>
                <w:bCs/>
                <w:sz w:val="20"/>
                <w:szCs w:val="20"/>
                <w:highlight w:val="yellow"/>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highlight w:val="yellow"/>
              </w:rPr>
            </w:r>
            <w:r>
              <w:rPr>
                <w:bCs/>
                <w:sz w:val="20"/>
                <w:szCs w:val="20"/>
                <w:highlight w:val="yellow"/>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7"/>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77"/>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7"/>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tcBorders>
            <w:tcW w:w="2854" w:type="dxa"/>
            <w:vAlign w:val="top"/>
            <w:textDirection w:val="lrTb"/>
            <w:noWrap w:val="false"/>
          </w:tcPr>
          <w:p>
            <w:pPr>
              <w:pStyle w:val="117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77"/>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77"/>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77"/>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77"/>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77"/>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77"/>
              <w:spacing w:before="40" w:after="40"/>
              <w:rPr>
                <w:bCs/>
                <w:sz w:val="20"/>
                <w:szCs w:val="20"/>
              </w:rPr>
            </w:pPr>
            <w:r>
              <w:rPr>
                <w:bCs/>
                <w:sz w:val="20"/>
                <w:szCs w:val="20"/>
              </w:rPr>
              <w:t xml:space="preserve">Комиссия взимается в день предоставления доступа клиенту </w:t>
            </w:r>
            <w:r>
              <w:rPr>
                <w:bCs/>
                <w:sz w:val="20"/>
                <w:szCs w:val="20"/>
              </w:rPr>
              <w:t xml:space="preserve">к «Интернет-Клиент»/«Свой Бизнес</w:t>
            </w:r>
            <w:r>
              <w:rPr>
                <w:bCs/>
                <w:sz w:val="20"/>
                <w:szCs w:val="20"/>
              </w:rPr>
              <w:t xml:space="preserve">.</w:t>
            </w:r>
            <w:r>
              <w:rPr>
                <w:bCs/>
                <w:sz w:val="20"/>
                <w:szCs w:val="20"/>
              </w:rPr>
            </w:r>
            <w:r>
              <w:rPr>
                <w:bCs/>
                <w:sz w:val="20"/>
                <w:szCs w:val="20"/>
              </w:rPr>
            </w:r>
          </w:p>
          <w:p>
            <w:pPr>
              <w:pStyle w:val="117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7"/>
              <w:jc w:val="both"/>
              <w:spacing w:before="40" w:after="40"/>
              <w:rPr>
                <w:rFonts w:eastAsia="Calibri"/>
                <w:sz w:val="20"/>
                <w:szCs w:val="20"/>
                <w:lang w:eastAsia="en-US"/>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gridSpan w:val="2"/>
            <w:tcBorders>
              <w:top w:val="none" w:color="000000" w:sz="4" w:space="0"/>
            </w:tcBorders>
            <w:tcW w:w="2407" w:type="dxa"/>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77"/>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155 руб.</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77"/>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1 530 руб.</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7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tabs>
                <w:tab w:val="left" w:pos="981" w:leader="none"/>
                <w:tab w:val="left" w:pos="1131" w:leader="none"/>
              </w:tabs>
              <w:rPr>
                <w:sz w:val="20"/>
                <w:szCs w:val="20"/>
              </w:rPr>
            </w:pPr>
            <w:r>
              <w:rPr>
                <w:bCs/>
                <w:sz w:val="20"/>
                <w:szCs w:val="20"/>
              </w:rPr>
              <w:t xml:space="preserve">2 050</w:t>
            </w:r>
            <w:r>
              <w:rPr>
                <w:sz w:val="20"/>
                <w:szCs w:val="20"/>
              </w:rPr>
              <w:t xml:space="preserve"> руб.</w:t>
            </w:r>
            <w:r>
              <w:rPr>
                <w:sz w:val="20"/>
                <w:szCs w:val="20"/>
              </w:rPr>
            </w:r>
            <w:r>
              <w:rPr>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7"/>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tabs>
                <w:tab w:val="left" w:pos="981" w:leader="none"/>
                <w:tab w:val="left" w:pos="1131" w:leader="none"/>
              </w:tabs>
              <w:rPr>
                <w:sz w:val="20"/>
                <w:szCs w:val="20"/>
                <w:lang w:val="en-US"/>
              </w:rPr>
            </w:pPr>
            <w:r>
              <w:rPr>
                <w:bCs/>
                <w:sz w:val="20"/>
                <w:szCs w:val="20"/>
              </w:rPr>
              <w:t xml:space="preserve">Не взимается</w:t>
            </w:r>
            <w:r>
              <w:rPr>
                <w:sz w:val="20"/>
                <w:szCs w:val="20"/>
                <w:lang w:val="en-US"/>
              </w:rPr>
            </w:r>
            <w:r>
              <w:rPr>
                <w:sz w:val="20"/>
                <w:szCs w:val="20"/>
                <w:lang w:val="en-US"/>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Услуга предоставляется клиенту после выполнения условий по п. 7.6.1</w:t>
            </w:r>
            <w:r>
              <w:rPr>
                <w:bCs/>
                <w:sz w:val="20"/>
                <w:szCs w:val="20"/>
              </w:rPr>
            </w:r>
            <w:r>
              <w:rPr>
                <w:bCs/>
                <w:sz w:val="20"/>
                <w:szCs w:val="20"/>
              </w:rPr>
            </w:r>
          </w:p>
          <w:p>
            <w:pPr>
              <w:pStyle w:val="1177"/>
              <w:jc w:val="both"/>
              <w:spacing w:before="40"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w:t>
              <w:br w:type="textWrapping" w:clear="all"/>
              <w:t xml:space="preserve">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временного/</w:t>
            </w:r>
            <w:r>
              <w:rPr>
                <w:rFonts w:eastAsia="Calibri"/>
                <w:sz w:val="20"/>
                <w:szCs w:val="20"/>
                <w:lang w:eastAsia="en-US"/>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77"/>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77"/>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7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sz w:val="20"/>
                <w:szCs w:val="20"/>
              </w:rPr>
              <w:t xml:space="preserve">7.7.</w:t>
            </w:r>
            <w:r>
              <w:rPr>
                <w:bCs/>
                <w:sz w:val="20"/>
                <w:szCs w:val="20"/>
              </w:rPr>
            </w:r>
            <w:r>
              <w:rPr>
                <w:bCs/>
                <w:sz w:val="20"/>
                <w:szCs w:val="20"/>
              </w:rPr>
            </w:r>
          </w:p>
        </w:tc>
        <w:tc>
          <w:tcPr>
            <w:tcW w:w="2854" w:type="dxa"/>
            <w:vAlign w:val="top"/>
            <w:textDirection w:val="lrTb"/>
            <w:noWrap w:val="false"/>
          </w:tcPr>
          <w:p>
            <w:pPr>
              <w:pStyle w:val="1177"/>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77"/>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7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77"/>
              <w:rPr>
                <w:rFonts w:eastAsia="Calibri"/>
                <w:sz w:val="20"/>
                <w:szCs w:val="20"/>
                <w:lang w:eastAsia="en-US"/>
              </w:rPr>
            </w:pPr>
            <w:r>
              <w:rPr>
                <w:rFonts w:eastAsia="Calibri"/>
                <w:sz w:val="20"/>
                <w:szCs w:val="20"/>
                <w:lang w:eastAsia="en-US"/>
              </w:rPr>
              <w:t xml:space="preserve">Услуга доступна в «Интернет-Клиент», «Мобильный банк», «Свой Бизнес»</w:t>
            </w:r>
            <w:r>
              <w:rPr>
                <w:rFonts w:eastAsia="Calibri"/>
                <w:bCs/>
                <w:sz w:val="20"/>
                <w:szCs w:val="20"/>
                <w:lang w:eastAsia="en-US"/>
              </w:rPr>
              <w:t xml:space="preserve">.</w:t>
            </w:r>
            <w:r>
              <w:rPr>
                <w:rFonts w:eastAsia="Calibri"/>
                <w:sz w:val="20"/>
                <w:szCs w:val="20"/>
                <w:lang w:eastAsia="en-US"/>
              </w:rPr>
            </w:r>
            <w:r>
              <w:rPr>
                <w:rFonts w:eastAsia="Calibri"/>
                <w:sz w:val="20"/>
                <w:szCs w:val="20"/>
                <w:lang w:eastAsia="en-US"/>
              </w:rPr>
            </w:r>
          </w:p>
          <w:p>
            <w:pPr>
              <w:pStyle w:val="117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7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77"/>
              <w:rPr>
                <w:rFonts w:eastAsia="Calibri"/>
                <w:sz w:val="20"/>
                <w:szCs w:val="20"/>
                <w:lang w:eastAsia="en-US"/>
              </w:rPr>
            </w:pPr>
            <w:r>
              <w:rPr>
                <w:rFonts w:eastAsia="Calibri"/>
                <w:sz w:val="20"/>
                <w:szCs w:val="20"/>
                <w:lang w:eastAsia="en-US"/>
              </w:rPr>
              <w:t xml:space="preserve">Услуга облагается НДС, сумма кот</w:t>
            </w:r>
            <w:r>
              <w:rPr>
                <w:rFonts w:eastAsia="Calibri"/>
                <w:sz w:val="20"/>
                <w:szCs w:val="20"/>
                <w:lang w:eastAsia="en-US"/>
              </w:rPr>
              <w:t xml:space="preserve">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sz w:val="20"/>
                <w:szCs w:val="20"/>
              </w:rPr>
            </w:pPr>
            <w:r>
              <w:rPr>
                <w:sz w:val="20"/>
                <w:szCs w:val="20"/>
                <w:lang w:val="en-US"/>
              </w:rPr>
              <w:t xml:space="preserve">7.8</w:t>
            </w:r>
            <w:r>
              <w:rPr>
                <w:sz w:val="20"/>
                <w:szCs w:val="20"/>
              </w:rPr>
            </w:r>
            <w:r>
              <w:rPr>
                <w:sz w:val="20"/>
                <w:szCs w:val="20"/>
              </w:rPr>
            </w:r>
          </w:p>
        </w:tc>
        <w:tc>
          <w:tcPr>
            <w:tcW w:w="2854" w:type="dxa"/>
            <w:vAlign w:val="top"/>
            <w:textDirection w:val="lrTb"/>
            <w:noWrap w:val="false"/>
          </w:tcPr>
          <w:p>
            <w:pPr>
              <w:pStyle w:val="1177"/>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sz w:val="20"/>
                <w:szCs w:val="20"/>
                <w:lang w:val="en-US"/>
              </w:rPr>
            </w:pPr>
            <w:r>
              <w:rPr>
                <w:sz w:val="20"/>
                <w:szCs w:val="20"/>
              </w:rPr>
              <w:t xml:space="preserve">7.</w:t>
            </w:r>
            <w:r>
              <w:rPr>
                <w:sz w:val="20"/>
                <w:szCs w:val="20"/>
                <w:lang w:val="en-US"/>
              </w:rPr>
              <w:t xml:space="preserve">9</w:t>
            </w:r>
            <w:r>
              <w:rPr>
                <w:sz w:val="20"/>
                <w:szCs w:val="20"/>
              </w:rPr>
              <w:t xml:space="preserve">.</w:t>
            </w:r>
            <w:r>
              <w:rPr>
                <w:sz w:val="20"/>
                <w:szCs w:val="20"/>
                <w:lang w:val="en-US"/>
              </w:rPr>
            </w:r>
            <w:r>
              <w:rPr>
                <w:sz w:val="20"/>
                <w:szCs w:val="20"/>
                <w:lang w:val="en-US"/>
              </w:rPr>
            </w:r>
          </w:p>
        </w:tc>
        <w:tc>
          <w:tcPr>
            <w:gridSpan w:val="4"/>
            <w:tcW w:w="9189" w:type="dxa"/>
            <w:vAlign w:val="top"/>
            <w:textDirection w:val="lrTb"/>
            <w:noWrap w:val="false"/>
          </w:tcPr>
          <w:p>
            <w:pPr>
              <w:pStyle w:val="1177"/>
              <w:rPr>
                <w:bCs/>
                <w:sz w:val="20"/>
                <w:szCs w:val="20"/>
              </w:rPr>
            </w:pPr>
            <w:r>
              <w:rPr>
                <w:bCs/>
                <w:sz w:val="20"/>
                <w:szCs w:val="20"/>
              </w:rPr>
              <w:t xml:space="preserve">Сервис «</w:t>
            </w:r>
            <w:r>
              <w:rPr>
                <w:bCs/>
                <w:sz w:val="20"/>
                <w:szCs w:val="20"/>
                <w:lang w:val="en-US"/>
              </w:rPr>
              <w:t xml:space="preserve">SMS</w:t>
            </w:r>
            <w:r>
              <w:rPr>
                <w:bCs/>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tc>
        <w:tc>
          <w:tcPr>
            <w:tcW w:w="2854" w:type="dxa"/>
            <w:vAlign w:val="top"/>
            <w:textDirection w:val="lrTb"/>
            <w:noWrap w:val="false"/>
          </w:tcPr>
          <w:p>
            <w:pPr>
              <w:pStyle w:val="1177"/>
              <w:spacing w:after="120"/>
              <w:rPr>
                <w:sz w:val="20"/>
                <w:szCs w:val="20"/>
              </w:rPr>
            </w:pPr>
            <w:r>
              <w:rPr>
                <w:sz w:val="20"/>
                <w:szCs w:val="20"/>
              </w:rPr>
              <w:t xml:space="preserve">Комиссионное вознаграждение (абонентская плата) за сервис «</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189 руб. ежемесячно за каждый банковский счет, подключенный к Сервису, и за каждый телефонный номер</w:t>
            </w:r>
            <w:r>
              <w:rPr>
                <w:bCs/>
                <w:sz w:val="20"/>
                <w:szCs w:val="20"/>
              </w:rPr>
            </w:r>
            <w:r>
              <w:rPr>
                <w:bCs/>
                <w:sz w:val="20"/>
                <w:szCs w:val="20"/>
              </w:rPr>
            </w:r>
          </w:p>
        </w:tc>
        <w:tc>
          <w:tcPr>
            <w:tcW w:w="3928" w:type="dxa"/>
            <w:vAlign w:val="top"/>
            <w:textDirection w:val="lrTb"/>
            <w:noWrap w:val="false"/>
          </w:tcPr>
          <w:p>
            <w:pPr>
              <w:pStyle w:val="1177"/>
              <w:rPr>
                <w:b/>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
                <w:bCs/>
                <w:sz w:val="20"/>
                <w:szCs w:val="20"/>
              </w:rPr>
            </w:r>
            <w:r>
              <w:rPr>
                <w:b/>
                <w:bCs/>
                <w:sz w:val="20"/>
                <w:szCs w:val="20"/>
              </w:rPr>
            </w:r>
          </w:p>
          <w:p>
            <w:pPr>
              <w:pStyle w:val="1177"/>
              <w:rPr>
                <w:bCs/>
                <w:sz w:val="20"/>
                <w:szCs w:val="20"/>
              </w:rPr>
            </w:pPr>
            <w:r>
              <w:rPr>
                <w:bCs/>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w:t>
            </w:r>
            <w:r>
              <w:rPr>
                <w:bCs/>
                <w:sz w:val="20"/>
                <w:szCs w:val="20"/>
              </w:rPr>
            </w:r>
            <w:r>
              <w:rPr>
                <w:bCs/>
                <w:sz w:val="20"/>
                <w:szCs w:val="20"/>
              </w:rPr>
            </w:r>
          </w:p>
          <w:p>
            <w:pPr>
              <w:pStyle w:val="1177"/>
              <w:rPr>
                <w:bCs/>
                <w:sz w:val="20"/>
                <w:szCs w:val="20"/>
              </w:rPr>
            </w:pPr>
            <w:r>
              <w:rPr>
                <w:bCs/>
                <w:sz w:val="20"/>
                <w:szCs w:val="20"/>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r>
              <w:rPr>
                <w:bCs/>
                <w:sz w:val="20"/>
                <w:szCs w:val="20"/>
              </w:rPr>
            </w:r>
          </w:p>
        </w:tc>
      </w:tr>
    </w:tbl>
    <w:p>
      <w:pPr>
        <w:pStyle w:val="1199"/>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9"/>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77"/>
        <w:ind w:left="142" w:firstLine="567"/>
        <w:jc w:val="both"/>
        <w:tabs>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sz w:val="20"/>
          <w:szCs w:val="20"/>
        </w:rPr>
      </w:r>
      <w:r>
        <w:rPr>
          <w:sz w:val="20"/>
          <w:szCs w:val="20"/>
        </w:rPr>
      </w:r>
    </w:p>
    <w:p>
      <w:pPr>
        <w:pStyle w:val="1177"/>
        <w:jc w:val="both"/>
        <w:rPr>
          <w:sz w:val="20"/>
          <w:szCs w:val="20"/>
        </w:rPr>
      </w:pPr>
      <w:r>
        <w:rPr>
          <w:sz w:val="20"/>
          <w:szCs w:val="20"/>
        </w:rPr>
        <w:t xml:space="preserve">** Срок действия – с 23.03.2018 по 06.03.2019 включительно</w:t>
      </w:r>
      <w:r>
        <w:rPr>
          <w:sz w:val="20"/>
          <w:szCs w:val="20"/>
        </w:rPr>
      </w:r>
      <w:r>
        <w:rPr>
          <w:sz w:val="20"/>
          <w:szCs w:val="20"/>
        </w:rPr>
      </w:r>
    </w:p>
    <w:p>
      <w:pPr>
        <w:pStyle w:val="1177"/>
        <w:jc w:val="both"/>
        <w:rPr>
          <w:bCs/>
          <w:iCs/>
          <w:sz w:val="20"/>
          <w:szCs w:val="20"/>
        </w:rPr>
      </w:pPr>
      <w:r>
        <w:rPr>
          <w:bCs/>
          <w:iCs/>
          <w:sz w:val="20"/>
          <w:szCs w:val="20"/>
        </w:rPr>
      </w:r>
      <w:r>
        <w:rPr>
          <w:bCs/>
          <w:iCs/>
          <w:sz w:val="20"/>
          <w:szCs w:val="20"/>
        </w:rPr>
      </w:r>
      <w:r>
        <w:rPr>
          <w:bCs/>
          <w:iCs/>
          <w:sz w:val="20"/>
          <w:szCs w:val="20"/>
        </w:rPr>
      </w:r>
    </w:p>
    <w:p>
      <w:pPr>
        <w:pStyle w:val="117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7"/>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177"/>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177"/>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2.</w:t>
        <w:tab/>
      </w:r>
      <w:r>
        <w:rPr>
          <w:bCs/>
          <w:iCs/>
          <w:sz w:val="20"/>
          <w:szCs w:val="20"/>
        </w:rPr>
        <w:t xml:space="preserve">Дистанционное банковское обслуживание бюджетных учрежден</w:t>
      </w:r>
      <w:r>
        <w:rPr>
          <w:bCs/>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Cs/>
          <w:sz w:val="20"/>
          <w:szCs w:val="20"/>
        </w:rPr>
        <w:t xml:space="preserve"> </w:t>
      </w:r>
      <w:r>
        <w:rPr>
          <w:bCs/>
          <w:iCs/>
          <w:sz w:val="20"/>
          <w:szCs w:val="20"/>
        </w:rPr>
        <w:t xml:space="preserve">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 По операциям, совершаемым через «Мобильный банк»/«Мобильное приложение «Свой Бизнес Мобайл», установлены следующие лимиты:</w:t>
      </w:r>
      <w:r>
        <w:rPr>
          <w:rFonts w:eastAsia="Calibri"/>
          <w:sz w:val="20"/>
          <w:szCs w:val="20"/>
          <w:lang w:eastAsia="en-US"/>
        </w:rPr>
        <w:t xml:space="preserve">:</w:t>
      </w:r>
      <w:r>
        <w:rPr>
          <w:bCs/>
          <w:iCs/>
          <w:sz w:val="20"/>
          <w:szCs w:val="20"/>
        </w:rPr>
      </w:r>
      <w:r>
        <w:rPr>
          <w:bCs/>
          <w:iCs/>
          <w:sz w:val="20"/>
          <w:szCs w:val="20"/>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177"/>
        <w:jc w:val="both"/>
        <w:spacing w:before="40"/>
        <w:tabs>
          <w:tab w:val="left" w:pos="284" w:leader="none"/>
          <w:tab w:val="left" w:pos="1134" w:leader="none"/>
        </w:tabs>
        <w:rPr>
          <w:rFonts w:eastAsia="Calibri"/>
          <w:sz w:val="20"/>
          <w:szCs w:val="20"/>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lang w:eastAsia="en-US"/>
        </w:rPr>
      </w:r>
      <w:r>
        <w:rPr>
          <w:rFonts w:eastAsia="Calibri"/>
          <w:sz w:val="20"/>
          <w:szCs w:val="20"/>
          <w:lang w:eastAsia="en-US"/>
        </w:rPr>
      </w:r>
    </w:p>
    <w:p>
      <w:pPr>
        <w:pStyle w:val="1177"/>
      </w:pPr>
      <w:r/>
      <w:r/>
    </w:p>
    <w:p>
      <w:pPr>
        <w:pStyle w:val="1181"/>
      </w:pPr>
      <w:r/>
      <w:bookmarkStart w:id="11" w:name="_Toc446937101"/>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1"/>
      <w:r/>
      <w:r/>
    </w:p>
    <w:p>
      <w:pPr>
        <w:pStyle w:val="117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7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8.1.</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До 10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55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8.2.</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11 мест до 20 мест </w:t>
            </w:r>
            <w:r>
              <w:rPr>
                <w:bCs/>
                <w:sz w:val="20"/>
              </w:rPr>
            </w:r>
            <w:r>
              <w:rPr>
                <w:bCs/>
                <w:sz w:val="20"/>
              </w:rPr>
            </w:r>
          </w:p>
        </w:tc>
        <w:tc>
          <w:tcPr>
            <w:tcW w:w="1985" w:type="dxa"/>
            <w:vAlign w:val="top"/>
            <w:textDirection w:val="lrTb"/>
            <w:noWrap w:val="false"/>
          </w:tcPr>
          <w:p>
            <w:pPr>
              <w:pStyle w:val="1177"/>
              <w:jc w:val="center"/>
              <w:spacing w:before="40" w:after="40"/>
              <w:rPr>
                <w:bCs/>
                <w:sz w:val="20"/>
              </w:rPr>
            </w:pPr>
            <w:r>
              <w:rPr>
                <w:bCs/>
                <w:sz w:val="20"/>
              </w:rPr>
              <w:t xml:space="preserve">105 долл. США</w:t>
            </w:r>
            <w:r>
              <w:rPr>
                <w:bCs/>
                <w:sz w:val="20"/>
              </w:rPr>
            </w:r>
            <w:r>
              <w:rPr>
                <w:bCs/>
                <w:sz w:val="20"/>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8.3.</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21 места до 30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155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8.4.</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31 места до 40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205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77"/>
      </w:pPr>
      <w:r/>
      <w:r/>
    </w:p>
    <w:p>
      <w:pPr>
        <w:pStyle w:val="1181"/>
      </w:pPr>
      <w:r/>
      <w:bookmarkStart w:id="12" w:name="_Toc446937102"/>
      <w:r>
        <w:t xml:space="preserve">9</w:t>
      </w:r>
      <w:r>
        <w:t xml:space="preserve">.</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12"/>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Тарифы</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gridSpan w:val="2"/>
            <w:tcW w:w="595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165*245*410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W w:w="3544" w:type="dxa"/>
            <w:vAlign w:val="top"/>
            <w:vMerge w:val="restart"/>
            <w:textDirection w:val="lrTb"/>
            <w:noWrap w:val="false"/>
          </w:tcPr>
          <w:p>
            <w:pPr>
              <w:pStyle w:val="1177"/>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185*510*410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225*245*410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t xml:space="preserve">4</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r>
            <w:r>
              <w:rPr>
                <w:rFonts w:eastAsia="Calibri"/>
                <w:bCs/>
                <w:sz w:val="20"/>
                <w:szCs w:val="20"/>
                <w:lang w:eastAsia="en-US"/>
              </w:rPr>
              <w:t xml:space="preserve">310*245*410 (</w:t>
            </w:r>
            <w:r>
              <w:rPr>
                <w:rFonts w:eastAsia="Calibri"/>
                <w:bCs/>
                <w:sz w:val="20"/>
                <w:szCs w:val="20"/>
                <w:lang w:eastAsia="en-US"/>
              </w:rPr>
              <w:t xml:space="preserve">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color w:val="000000"/>
                <w:sz w:val="20"/>
                <w:szCs w:val="20"/>
                <w:lang w:eastAsia="en-US"/>
              </w:rPr>
              <w:t xml:space="preserve">210 руб. за каждое посещение</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color w:val="000000"/>
                <w:sz w:val="20"/>
                <w:szCs w:val="20"/>
                <w:lang w:eastAsia="en-US"/>
              </w:rPr>
              <w:t xml:space="preserve">155 руб. за единицу банковской техники</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77"/>
      </w:pPr>
      <w:r/>
      <w:r/>
    </w:p>
    <w:p>
      <w:pPr>
        <w:pStyle w:val="1181"/>
      </w:pPr>
      <w:r/>
      <w:bookmarkStart w:id="13" w:name="_Toc446937103"/>
      <w:r/>
      <w:r/>
    </w:p>
    <w:p>
      <w:pPr>
        <w:pStyle w:val="1181"/>
      </w:pPr>
      <w:r>
        <w:t xml:space="preserve">10.</w:t>
      </w:r>
      <w:r>
        <w:t xml:space="preserve"> </w:t>
      </w:r>
      <w:r>
        <w:t xml:space="preserve">Услуги</w:t>
      </w:r>
      <w:r>
        <w:t xml:space="preserve"> </w:t>
      </w:r>
      <w:r>
        <w:t xml:space="preserve">инкассации</w:t>
      </w:r>
      <w:r>
        <w:t xml:space="preserve"> </w:t>
      </w:r>
      <w:bookmarkEnd w:id="13"/>
      <w:r/>
      <w:r/>
    </w:p>
    <w:p>
      <w:pPr>
        <w:pStyle w:val="1177"/>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7"/>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77"/>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77"/>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77"/>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rPr>
                <w:rFonts w:eastAsia="Calibri"/>
                <w:sz w:val="20"/>
                <w:szCs w:val="20"/>
                <w:lang w:eastAsia="en-US"/>
              </w:rPr>
            </w:pPr>
            <w:r>
              <w:rPr>
                <w:rFonts w:eastAsia="Calibri"/>
                <w:sz w:val="20"/>
                <w:szCs w:val="20"/>
                <w:lang w:eastAsia="en-US"/>
              </w:rPr>
              <w:t xml:space="preserve">Не менее 0,15% от суммы </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до 600 000,00** руб. (включительно),</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минимум 360 руб.;</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не менее 0,10% от суммы с 600 000,01** руб. до 5 000 000,00* руб. (включительно); </w:t>
            </w:r>
            <w:r>
              <w:rPr>
                <w:rFonts w:eastAsia="Calibri"/>
                <w:sz w:val="20"/>
                <w:szCs w:val="20"/>
                <w:lang w:eastAsia="en-US"/>
              </w:rPr>
            </w:r>
            <w:r>
              <w:rPr>
                <w:rFonts w:eastAsia="Calibri"/>
                <w:sz w:val="20"/>
                <w:szCs w:val="20"/>
                <w:lang w:eastAsia="en-US"/>
              </w:rPr>
            </w:r>
          </w:p>
          <w:p>
            <w:pPr>
              <w:pStyle w:val="1177"/>
              <w:ind w:left="-51" w:firstLine="51"/>
              <w:jc w:val="center"/>
              <w:rPr>
                <w:rFonts w:eastAsia="Calibri"/>
                <w:bCs/>
                <w:sz w:val="20"/>
                <w:szCs w:val="20"/>
                <w:lang w:eastAsia="en-US"/>
              </w:rPr>
            </w:pPr>
            <w:r>
              <w:rPr>
                <w:rFonts w:eastAsia="Calibri"/>
                <w:sz w:val="20"/>
                <w:szCs w:val="20"/>
                <w:lang w:eastAsia="en-US"/>
              </w:rPr>
              <w:t xml:space="preserve">не менее 0,05% от суммы с 5 000 000,01** руб. и выше»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77"/>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77"/>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0,2% от суммы, минимум 150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7"/>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77"/>
        <w:jc w:val="both"/>
        <w:spacing w:after="200"/>
        <w:rPr>
          <w:rFonts w:eastAsia="Calibri"/>
          <w:bCs/>
          <w:sz w:val="20"/>
          <w:szCs w:val="20"/>
          <w:u w:val="single"/>
          <w:lang w:eastAsia="en-US"/>
        </w:rPr>
      </w:pPr>
      <w:r>
        <w:rPr>
          <w:rFonts w:eastAsia="Calibri"/>
          <w:bCs/>
          <w:sz w:val="20"/>
          <w:szCs w:val="20"/>
          <w:u w:val="single"/>
          <w:lang w:eastAsia="en-US"/>
        </w:rPr>
      </w:r>
      <w:r>
        <w:rPr>
          <w:rFonts w:eastAsia="Calibri"/>
          <w:bCs/>
          <w:sz w:val="20"/>
          <w:szCs w:val="20"/>
          <w:u w:val="single"/>
          <w:lang w:eastAsia="en-US"/>
        </w:rPr>
      </w:r>
      <w:r>
        <w:rPr>
          <w:rFonts w:eastAsia="Calibri"/>
          <w:bCs/>
          <w:sz w:val="20"/>
          <w:szCs w:val="20"/>
          <w:u w:val="single"/>
          <w:lang w:eastAsia="en-US"/>
        </w:rPr>
      </w:r>
    </w:p>
    <w:p>
      <w:pPr>
        <w:pStyle w:val="1177"/>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77"/>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77"/>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77"/>
      </w:pPr>
      <w:r/>
      <w:r/>
    </w:p>
    <w:p>
      <w:pPr>
        <w:pStyle w:val="1181"/>
      </w:pPr>
      <w:r/>
      <w:bookmarkStart w:id="14" w:name="_Toc446937104"/>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14"/>
      <w:r/>
      <w:r/>
    </w:p>
    <w:p>
      <w:pPr>
        <w:pStyle w:val="1177"/>
        <w:rPr>
          <w:lang w:val="en-US" w:eastAsia="en-US"/>
        </w:rPr>
      </w:pPr>
      <w:r>
        <w:rPr>
          <w:lang w:val="en-US" w:eastAsia="en-US"/>
        </w:rPr>
      </w:r>
      <w:r>
        <w:rPr>
          <w:lang w:val="en-US" w:eastAsia="en-US"/>
        </w:rPr>
      </w:r>
      <w:r>
        <w:rPr>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7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77"/>
              <w:jc w:val="center"/>
              <w:spacing w:before="40" w:after="4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77"/>
              <w:ind w:firstLine="708"/>
              <w:jc w:val="center"/>
              <w:spacing w:before="40" w:after="4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77"/>
              <w:jc w:val="center"/>
              <w:spacing w:before="40" w:after="4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77"/>
              <w:jc w:val="center"/>
              <w:spacing w:before="40" w:after="4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77"/>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77"/>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7"/>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77"/>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7"/>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77"/>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7"/>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7"/>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7"/>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77"/>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7"/>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77"/>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7"/>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7"/>
              <w:ind w:left="11" w:hanging="11"/>
              <w:jc w:val="both"/>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77"/>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77"/>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7"/>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77"/>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7"/>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77"/>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7"/>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77"/>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7"/>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77"/>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7"/>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7"/>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77"/>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77"/>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77"/>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77"/>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77"/>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77"/>
        <w:rPr>
          <w:lang w:val="en-US" w:eastAsia="en-US"/>
        </w:rPr>
      </w:pPr>
      <w:r>
        <w:rPr>
          <w:lang w:val="en-US" w:eastAsia="en-US"/>
        </w:rPr>
      </w:r>
      <w:r>
        <w:rPr>
          <w:lang w:val="en-US" w:eastAsia="en-US"/>
        </w:rPr>
      </w:r>
      <w:r>
        <w:rPr>
          <w:lang w:val="en-US" w:eastAsia="en-US"/>
        </w:rPr>
      </w:r>
    </w:p>
    <w:p>
      <w:pPr>
        <w:pStyle w:val="1177"/>
        <w:jc w:val="center"/>
        <w:keepNext/>
        <w:spacing w:before="120" w:after="4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7"/>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77"/>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7"/>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7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 </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201"/>
                <w:sz w:val="20"/>
                <w:szCs w:val="20"/>
              </w:rPr>
              <w:footnoteReference w:id="3"/>
            </w:r>
            <w:r>
              <w:rPr>
                <w:sz w:val="20"/>
                <w:szCs w:val="20"/>
              </w:rPr>
              <w:t xml:space="preserve"> со дня, следующего за: </w:t>
            </w:r>
            <w:r>
              <w:rPr>
                <w:sz w:val="20"/>
                <w:szCs w:val="20"/>
              </w:rPr>
            </w:r>
            <w:r>
              <w:rPr>
                <w:sz w:val="20"/>
                <w:szCs w:val="20"/>
              </w:rPr>
            </w:r>
          </w:p>
          <w:p>
            <w:pPr>
              <w:pStyle w:val="117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77"/>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7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77"/>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7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225"/>
              <w:numPr>
                <w:ilvl w:val="0"/>
                <w:numId w:val="22"/>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17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7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201"/>
                <w:sz w:val="20"/>
                <w:szCs w:val="20"/>
              </w:rPr>
              <w:footnoteReference w:id="4"/>
            </w:r>
            <w:r>
              <w:rPr>
                <w:bCs/>
                <w:sz w:val="20"/>
                <w:szCs w:val="20"/>
              </w:rPr>
            </w:r>
            <w:r>
              <w:rPr>
                <w:bCs/>
                <w:sz w:val="20"/>
                <w:szCs w:val="20"/>
              </w:rPr>
            </w:r>
          </w:p>
          <w:p>
            <w:pPr>
              <w:pStyle w:val="117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t xml:space="preserve">Не более </w:t>
            </w:r>
            <w:r>
              <w:rPr>
                <w:sz w:val="20"/>
                <w:szCs w:val="20"/>
              </w:rPr>
            </w:r>
            <w:r>
              <w:rPr>
                <w:sz w:val="20"/>
                <w:szCs w:val="20"/>
              </w:rPr>
            </w:r>
          </w:p>
          <w:p>
            <w:pPr>
              <w:pStyle w:val="1177"/>
              <w:ind w:left="72"/>
              <w:jc w:val="center"/>
              <w:spacing w:before="40"/>
              <w:rPr>
                <w:sz w:val="20"/>
                <w:szCs w:val="20"/>
              </w:rPr>
            </w:pPr>
            <w:r>
              <w:rPr>
                <w:sz w:val="20"/>
                <w:szCs w:val="20"/>
              </w:rPr>
              <w:t xml:space="preserve">1% годовых</w:t>
            </w:r>
            <w:r>
              <w:rPr>
                <w:sz w:val="20"/>
                <w:szCs w:val="20"/>
              </w:rPr>
            </w:r>
            <w:r>
              <w:rPr>
                <w:sz w:val="20"/>
                <w:szCs w:val="20"/>
              </w:rPr>
            </w:r>
          </w:p>
          <w:p>
            <w:pPr>
              <w:pStyle w:val="1177"/>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rPr>
                <w:sz w:val="20"/>
                <w:szCs w:val="20"/>
              </w:rPr>
            </w:pPr>
            <w:r>
              <w:rPr>
                <w:sz w:val="20"/>
                <w:szCs w:val="20"/>
              </w:rPr>
              <w:t xml:space="preserve">При изменении:</w:t>
            </w:r>
            <w:r>
              <w:rPr>
                <w:sz w:val="20"/>
                <w:szCs w:val="20"/>
              </w:rPr>
            </w:r>
            <w:r>
              <w:rPr>
                <w:sz w:val="20"/>
                <w:szCs w:val="20"/>
              </w:rPr>
            </w:r>
          </w:p>
          <w:p>
            <w:pPr>
              <w:pStyle w:val="117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77"/>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7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7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7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7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7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77"/>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77"/>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77"/>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77"/>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77"/>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77"/>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77"/>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77"/>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7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7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7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77"/>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77"/>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77"/>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5"/>
            </w:r>
            <w:r>
              <w:rPr>
                <w:sz w:val="20"/>
                <w:szCs w:val="20"/>
                <w:vertAlign w:val="superscript"/>
              </w:rPr>
              <w:t xml:space="preserve">,</w:t>
            </w:r>
            <w:r>
              <w:rPr>
                <w:sz w:val="20"/>
                <w:szCs w:val="20"/>
                <w:vertAlign w:val="superscript"/>
              </w:rPr>
              <w:footnoteReference w:id="6"/>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7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77"/>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77"/>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t xml:space="preserve">Не более</w:t>
            </w:r>
            <w:r>
              <w:rPr>
                <w:sz w:val="20"/>
                <w:szCs w:val="20"/>
              </w:rPr>
            </w:r>
            <w:r>
              <w:rPr>
                <w:sz w:val="20"/>
                <w:szCs w:val="20"/>
              </w:rPr>
            </w:r>
          </w:p>
          <w:p>
            <w:pPr>
              <w:pStyle w:val="1177"/>
              <w:ind w:left="74"/>
              <w:jc w:val="center"/>
              <w:spacing w:before="40"/>
              <w:rPr>
                <w:sz w:val="20"/>
                <w:szCs w:val="20"/>
              </w:rPr>
            </w:pPr>
            <w:r>
              <w:rPr>
                <w:sz w:val="20"/>
                <w:szCs w:val="20"/>
              </w:rPr>
              <w:t xml:space="preserve">1,5% годовых</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0,2% от суммы, </w:t>
            </w:r>
            <w:r>
              <w:rPr>
                <w:sz w:val="20"/>
                <w:szCs w:val="20"/>
              </w:rPr>
            </w:r>
            <w:r>
              <w:rPr>
                <w:sz w:val="20"/>
                <w:szCs w:val="20"/>
              </w:rPr>
            </w:r>
          </w:p>
          <w:p>
            <w:pPr>
              <w:pStyle w:val="1177"/>
              <w:jc w:val="center"/>
              <w:spacing w:before="40" w:after="40"/>
              <w:rPr>
                <w:sz w:val="20"/>
                <w:szCs w:val="20"/>
              </w:rPr>
            </w:pPr>
            <w:r>
              <w:rPr>
                <w:sz w:val="20"/>
                <w:szCs w:val="20"/>
              </w:rPr>
              <w:t xml:space="preserve">минимум - 30 000 руб.,</w:t>
            </w:r>
            <w:r>
              <w:rPr>
                <w:sz w:val="20"/>
                <w:szCs w:val="20"/>
              </w:rPr>
            </w:r>
            <w:r>
              <w:rPr>
                <w:sz w:val="20"/>
                <w:szCs w:val="20"/>
              </w:rPr>
            </w:r>
          </w:p>
          <w:p>
            <w:pPr>
              <w:pStyle w:val="117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7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7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7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77"/>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77"/>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bl>
    <w:p>
      <w:pPr>
        <w:pStyle w:val="1177"/>
        <w:ind w:left="284"/>
        <w:jc w:val="both"/>
        <w:rPr>
          <w:bCs/>
          <w:sz w:val="20"/>
          <w:szCs w:val="20"/>
        </w:rPr>
      </w:pPr>
      <w:r>
        <w:rPr>
          <w:bCs/>
          <w:sz w:val="20"/>
          <w:szCs w:val="20"/>
        </w:rPr>
      </w:r>
      <w:r>
        <w:rPr>
          <w:bCs/>
          <w:sz w:val="20"/>
          <w:szCs w:val="20"/>
        </w:rPr>
      </w:r>
      <w:r>
        <w:rPr>
          <w:bCs/>
          <w:sz w:val="20"/>
          <w:szCs w:val="20"/>
        </w:rPr>
      </w:r>
    </w:p>
    <w:p>
      <w:pPr>
        <w:pStyle w:val="117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7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7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7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77"/>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77"/>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77"/>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w:t>
      </w:r>
      <w:r>
        <w:rPr>
          <w:bCs/>
          <w:iCs/>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bCs/>
          <w:iCs/>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w:t>
      </w:r>
      <w:r>
        <w:rPr>
          <w:bCs/>
          <w:iCs/>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 1780</w:t>
      </w:r>
      <w:r>
        <w:rPr>
          <w:bCs/>
          <w:iCs/>
          <w:sz w:val="20"/>
          <w:szCs w:val="20"/>
        </w:rPr>
        <w:t xml:space="preserve">;</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w:t>
      </w:r>
      <w:r>
        <w:rPr>
          <w:bCs/>
          <w:iCs/>
          <w:sz w:val="20"/>
          <w:szCs w:val="20"/>
        </w:rPr>
        <w:t xml:space="preserve"> </w:t>
      </w:r>
      <w:r>
        <w:rPr>
          <w:bCs/>
          <w:iCs/>
          <w:sz w:val="20"/>
          <w:szCs w:val="20"/>
        </w:rPr>
        <w:t xml:space="preserve">при кредитовании в рамках решения Министерства сельского хоз</w:t>
      </w:r>
      <w:r>
        <w:rPr>
          <w:bCs/>
          <w:iCs/>
          <w:sz w:val="20"/>
          <w:szCs w:val="20"/>
        </w:rPr>
        <w:t xml:space="preserve">яйства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w:t>
      </w:r>
      <w:r>
        <w:rPr>
          <w:bCs/>
          <w:iCs/>
          <w:sz w:val="20"/>
          <w:szCs w:val="20"/>
        </w:rPr>
        <w:t xml:space="preserve">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w:t>
      </w:r>
      <w:r>
        <w:rPr>
          <w:bCs/>
          <w:iCs/>
          <w:sz w:val="20"/>
          <w:szCs w:val="20"/>
        </w:rPr>
        <w:t xml:space="preserve">вии с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77"/>
        <w:jc w:val="both"/>
        <w:rPr>
          <w:iCs/>
          <w:sz w:val="20"/>
          <w:szCs w:val="20"/>
          <w:highlight w:val="none"/>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bCs/>
          <w:iCs/>
          <w:sz w:val="20"/>
          <w:szCs w:val="20"/>
          <w:highlight w:val="none"/>
        </w:rPr>
        <w:t xml:space="preserve">;</w:t>
      </w:r>
      <w:r>
        <w:rPr>
          <w:sz w:val="20"/>
          <w:szCs w:val="20"/>
          <w:highlight w:val="none"/>
        </w:rPr>
      </w:r>
    </w:p>
    <w:p>
      <w:pPr>
        <w:jc w:val="both"/>
        <w:rPr>
          <w:sz w:val="20"/>
          <w:szCs w:val="20"/>
        </w:rPr>
        <w:outlineLvl w:val="5"/>
      </w:pPr>
      <w:r>
        <w:rPr>
          <w:bCs/>
          <w:iCs/>
          <w:sz w:val="20"/>
          <w:szCs w:val="20"/>
          <w:highlight w:val="none"/>
        </w:rPr>
      </w:r>
      <w:r>
        <w:rPr>
          <w:rFonts w:ascii="Times New Roman" w:hAnsi="Times New Roman" w:eastAsia="Times New Roman" w:cs="Times New Roman"/>
          <w:sz w:val="20"/>
          <w:szCs w:val="20"/>
          <w:highlight w:val="none"/>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eastAsia="Times New Roman" w:cs="Times New Roman"/>
          <w:sz w:val="20"/>
          <w:szCs w:val="20"/>
          <w:highlight w:val="none"/>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rPr>
        <w:t xml:space="preserve">.</w:t>
      </w:r>
      <w:r>
        <w:rPr>
          <w:bCs/>
          <w:iCs/>
          <w:sz w:val="20"/>
          <w:szCs w:val="20"/>
          <w:highlight w:val="none"/>
        </w:rPr>
      </w:r>
      <w:r>
        <w:rPr>
          <w:bCs/>
          <w:iCs/>
          <w:sz w:val="20"/>
          <w:szCs w:val="20"/>
          <w:highlight w:val="none"/>
        </w:rPr>
      </w:r>
    </w:p>
    <w:p>
      <w:pPr>
        <w:pStyle w:val="1177"/>
        <w:jc w:val="both"/>
        <w:rPr>
          <w:bCs/>
          <w:iCs/>
          <w:sz w:val="20"/>
          <w:szCs w:val="20"/>
        </w:rPr>
        <w:outlineLvl w:val="5"/>
      </w:pPr>
      <w:r>
        <w:rPr>
          <w:bCs/>
          <w:iCs/>
          <w:sz w:val="20"/>
          <w:szCs w:val="20"/>
        </w:rPr>
      </w:r>
      <w:r>
        <w:rPr>
          <w:bCs/>
          <w:iCs/>
          <w:sz w:val="20"/>
          <w:szCs w:val="20"/>
        </w:rPr>
      </w:r>
      <w:r>
        <w:rPr>
          <w:bCs/>
          <w:iCs/>
          <w:sz w:val="20"/>
          <w:szCs w:val="20"/>
        </w:rPr>
      </w:r>
    </w:p>
    <w:tbl>
      <w:tblPr>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77"/>
              <w:jc w:val="center"/>
              <w:spacing w:before="40" w:after="40"/>
              <w:rPr>
                <w:b/>
                <w:bCs/>
                <w:iCs/>
                <w:sz w:val="20"/>
                <w:szCs w:val="20"/>
              </w:rPr>
              <w:outlineLvl w:val="5"/>
            </w:pPr>
            <w:r>
              <w:rPr>
                <w:b/>
                <w:bCs/>
                <w:iCs/>
                <w:sz w:val="20"/>
                <w:szCs w:val="20"/>
              </w:rPr>
              <w:t xml:space="preserve">«№</w:t>
              <w:br w:type="textWrapping" w:clear="all"/>
              <w:t xml:space="preserve">п/п</w:t>
            </w:r>
            <w:r>
              <w:rPr>
                <w:b/>
                <w:bCs/>
                <w:iCs/>
                <w:sz w:val="20"/>
                <w:szCs w:val="20"/>
              </w:rPr>
            </w:r>
            <w:r>
              <w:rPr>
                <w:b/>
                <w:bCs/>
                <w:iCs/>
                <w:sz w:val="20"/>
                <w:szCs w:val="20"/>
              </w:rPr>
            </w:r>
          </w:p>
        </w:tc>
        <w:tc>
          <w:tcPr>
            <w:gridSpan w:val="2"/>
            <w:tcW w:w="8647"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льготных программ</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77"/>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77"/>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77"/>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77"/>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253" w:type="dxa"/>
            <w:vAlign w:val="top"/>
            <w:vMerge w:val="restart"/>
            <w:textDirection w:val="lrTb"/>
            <w:noWrap w:val="false"/>
          </w:tcPr>
          <w:p>
            <w:pPr>
              <w:pStyle w:val="1177"/>
              <w:keepNext/>
              <w:spacing w:before="40" w:after="40"/>
              <w:rPr>
                <w:bCs/>
                <w:iCs/>
                <w:sz w:val="20"/>
                <w:szCs w:val="20"/>
              </w:rPr>
              <w:outlineLvl w:val="5"/>
            </w:pPr>
            <w:r>
              <w:rPr>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bCs/>
                <w:iCs/>
                <w:sz w:val="20"/>
                <w:szCs w:val="20"/>
              </w:rPr>
            </w:r>
            <w:r>
              <w:rPr>
                <w:bCs/>
                <w:iCs/>
                <w:sz w:val="20"/>
                <w:szCs w:val="20"/>
              </w:rPr>
            </w:r>
          </w:p>
        </w:tc>
        <w:tc>
          <w:tcPr>
            <w:tcW w:w="4394"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4"/>
                <w:szCs w:val="24"/>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4"/>
                <w:szCs w:val="24"/>
                <w:highlight w:val="none"/>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253"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4"/>
                <w:szCs w:val="24"/>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4"/>
                <w:szCs w:val="24"/>
                <w:highlight w:val="none"/>
              </w:rPr>
            </w:r>
          </w:p>
        </w:tc>
        <w:tc>
          <w:tcPr>
            <w:tcW w:w="4394"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0"/>
                <w:szCs w:val="20"/>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bCs/>
                <w:iCs/>
                <w:sz w:val="20"/>
                <w:szCs w:val="20"/>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17</w:t>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77"/>
        <w:jc w:val="both"/>
        <w:rPr>
          <w:bCs/>
          <w:iCs/>
          <w:sz w:val="20"/>
          <w:szCs w:val="20"/>
        </w:rPr>
        <w:outlineLvl w:val="5"/>
      </w:pPr>
      <w:r>
        <w:rPr>
          <w:bCs/>
          <w:iCs/>
          <w:sz w:val="20"/>
          <w:szCs w:val="20"/>
        </w:rPr>
      </w:r>
      <w:r>
        <w:rPr>
          <w:bCs/>
          <w:iCs/>
          <w:sz w:val="20"/>
          <w:szCs w:val="20"/>
        </w:rPr>
      </w:r>
      <w:r>
        <w:rPr>
          <w:bCs/>
          <w:iCs/>
          <w:sz w:val="20"/>
          <w:szCs w:val="20"/>
        </w:rPr>
      </w:r>
    </w:p>
    <w:p>
      <w:pPr>
        <w:pStyle w:val="1177"/>
        <w:jc w:val="both"/>
        <w:spacing w:before="120"/>
        <w:rPr>
          <w:iCs/>
          <w:sz w:val="20"/>
          <w:szCs w:val="20"/>
          <w:highlight w:val="none"/>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iCs/>
          <w:sz w:val="20"/>
          <w:szCs w:val="20"/>
          <w:highlight w:val="none"/>
        </w:rPr>
      </w:r>
    </w:p>
    <w:p>
      <w:pPr>
        <w:pStyle w:val="1177"/>
        <w:ind w:firstLine="540"/>
        <w:jc w:val="both"/>
        <w:spacing w:before="40"/>
        <w:rPr>
          <w:b/>
          <w:bCs/>
          <w:sz w:val="2"/>
          <w:szCs w:val="2"/>
        </w:rPr>
      </w:pPr>
      <w:r>
        <w:rPr>
          <w:b/>
          <w:bCs/>
          <w:sz w:val="2"/>
          <w:szCs w:val="2"/>
        </w:rPr>
      </w:r>
      <w:r>
        <w:rPr>
          <w:b/>
          <w:bCs/>
          <w:sz w:val="2"/>
          <w:szCs w:val="2"/>
        </w:rPr>
      </w:r>
      <w:r>
        <w:rPr>
          <w:b/>
          <w:bCs/>
          <w:sz w:val="2"/>
          <w:szCs w:val="2"/>
        </w:rPr>
      </w:r>
    </w:p>
    <w:p>
      <w:pPr>
        <w:pStyle w:val="1177"/>
      </w:pPr>
      <w:r/>
      <w:r/>
    </w:p>
    <w:p>
      <w:pPr>
        <w:pStyle w:val="1181"/>
        <w:rPr>
          <w:lang w:val="ru-RU"/>
        </w:rPr>
      </w:pPr>
      <w:r/>
      <w:bookmarkStart w:id="15" w:name="_Toc446937106"/>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принимающих</w:t>
      </w:r>
      <w:r>
        <w:t xml:space="preserve"> </w:t>
      </w:r>
      <w:r>
        <w:t xml:space="preserve">к</w:t>
      </w:r>
      <w:r>
        <w:t xml:space="preserve"> </w:t>
      </w:r>
      <w:r>
        <w:t xml:space="preserve">оплате</w:t>
      </w:r>
      <w:r>
        <w:t xml:space="preserve"> </w:t>
      </w:r>
      <w:r>
        <w:t xml:space="preserve">платежные</w:t>
      </w:r>
      <w:r>
        <w:t xml:space="preserve"> </w:t>
      </w:r>
      <w:r>
        <w:t xml:space="preserve">карты</w:t>
      </w:r>
      <w:bookmarkEnd w:id="15"/>
      <w:r>
        <w:rPr>
          <w:lang w:val="ru-RU"/>
        </w:rPr>
        <w:t xml:space="preserve"> </w:t>
      </w:r>
      <w:r>
        <w:rPr>
          <w:lang w:val="ru-RU"/>
        </w:rPr>
        <w:t xml:space="preserve">а также принимающих оплату через сервис быстрых платежей платежной системы Банка России</w:t>
      </w:r>
      <w:r>
        <w:rPr>
          <w:lang w:val="ru-RU"/>
        </w:rPr>
      </w:r>
      <w:r>
        <w:rPr>
          <w:lang w:val="ru-RU"/>
        </w:rP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6"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rPr>
                <w:sz w:val="20"/>
                <w:szCs w:val="20"/>
              </w:rPr>
            </w:pPr>
            <w:r>
              <w:rPr>
                <w:sz w:val="20"/>
                <w:szCs w:val="20"/>
              </w:rPr>
              <w:t xml:space="preserve">13.1.</w:t>
            </w:r>
            <w:r>
              <w:rPr>
                <w:sz w:val="20"/>
                <w:szCs w:val="20"/>
              </w:rPr>
            </w:r>
            <w:r>
              <w:rPr>
                <w:sz w:val="20"/>
                <w:szCs w:val="20"/>
              </w:rPr>
            </w:r>
          </w:p>
        </w:tc>
        <w:tc>
          <w:tcPr>
            <w:tcW w:w="3826" w:type="dxa"/>
            <w:vAlign w:val="top"/>
            <w:textDirection w:val="lrTb"/>
            <w:noWrap w:val="false"/>
          </w:tcPr>
          <w:p>
            <w:pPr>
              <w:pStyle w:val="1177"/>
              <w:rPr>
                <w:sz w:val="20"/>
                <w:szCs w:val="20"/>
              </w:rPr>
            </w:pPr>
            <w:r>
              <w:rPr>
                <w:i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iCs/>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Согласно </w:t>
              <w:br w:type="textWrapping" w:clear="all"/>
              <w:t xml:space="preserve">Приложению</w:t>
            </w:r>
            <w:r>
              <w:rPr>
                <w:sz w:val="20"/>
                <w:szCs w:val="20"/>
              </w:rPr>
              <w:t xml:space="preserve"> </w:t>
            </w:r>
            <w:r>
              <w:rPr>
                <w:sz w:val="20"/>
                <w:szCs w:val="20"/>
              </w:rPr>
              <w:t xml:space="preserve">к Тарифам</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W w:w="3826" w:type="dxa"/>
            <w:vAlign w:val="top"/>
            <w:textDirection w:val="lrTb"/>
            <w:noWrap w:val="false"/>
          </w:tcPr>
          <w:p>
            <w:pPr>
              <w:pStyle w:val="1177"/>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center"/>
            <w:textDirection w:val="lrTb"/>
            <w:noWrap w:val="false"/>
          </w:tcPr>
          <w:p>
            <w:pPr>
              <w:pStyle w:val="1177"/>
              <w:ind w:left="72"/>
              <w:jc w:val="center"/>
              <w:spacing w:before="40" w:after="40"/>
              <w:widowControl w:val="off"/>
              <w:rPr>
                <w:sz w:val="20"/>
                <w:szCs w:val="20"/>
              </w:rPr>
            </w:pPr>
            <w:r>
              <w:rPr>
                <w:sz w:val="20"/>
                <w:szCs w:val="20"/>
              </w:rPr>
              <w:t xml:space="preserve">13.3. 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widowControl w:val="off"/>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77"/>
              <w:ind w:left="74"/>
              <w:jc w:val="both"/>
              <w:widowControl w:val="off"/>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widowControl w:val="off"/>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77"/>
              <w:ind w:left="74"/>
              <w:jc w:val="both"/>
              <w:widowControl w:val="off"/>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lang w:val="en-US"/>
              </w:rPr>
            </w:pPr>
            <w:r>
              <w:rPr>
                <w:sz w:val="20"/>
                <w:szCs w:val="20"/>
              </w:rPr>
              <w:t xml:space="preserve">Государственные платежи</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jc w:val="both"/>
              <w:widowControl w:val="off"/>
              <w:rPr>
                <w:sz w:val="20"/>
                <w:szCs w:val="20"/>
              </w:rPr>
            </w:pPr>
            <w:r>
              <w:rPr>
                <w:sz w:val="20"/>
                <w:szCs w:val="20"/>
              </w:rPr>
              <w:t xml:space="preserve">Оплата товаров (работ, услуг), не включенных в п.п. 13.5.1.1 и 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0,70% от суммы операции, но не более</w:t>
            </w:r>
            <w:r>
              <w:rPr>
                <w:sz w:val="20"/>
                <w:szCs w:val="20"/>
              </w:rPr>
            </w:r>
            <w:r>
              <w:rPr>
                <w:sz w:val="20"/>
                <w:szCs w:val="20"/>
              </w:rPr>
            </w:r>
          </w:p>
          <w:p>
            <w:pPr>
              <w:pStyle w:val="1177"/>
              <w:ind w:left="72"/>
              <w:jc w:val="center"/>
              <w:spacing w:before="40" w:after="40"/>
              <w:widowControl w:val="off"/>
              <w:rPr>
                <w:sz w:val="20"/>
                <w:szCs w:val="20"/>
              </w:rPr>
            </w:pPr>
            <w:r>
              <w:rPr>
                <w:sz w:val="20"/>
                <w:szCs w:val="20"/>
              </w:rPr>
              <w:t xml:space="preserve">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7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1985" w:type="dxa"/>
            <w:vAlign w:val="center"/>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544" w:type="dxa"/>
            <w:vAlign w:val="center"/>
            <w:textDirection w:val="lrTb"/>
            <w:noWrap w:val="false"/>
          </w:tcPr>
          <w:p>
            <w:pPr>
              <w:pStyle w:val="1177"/>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7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1985" w:type="dxa"/>
            <w:vAlign w:val="center"/>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44" w:type="dxa"/>
            <w:vAlign w:val="center"/>
            <w:textDirection w:val="lrTb"/>
            <w:noWrap w:val="false"/>
          </w:tcPr>
          <w:p>
            <w:pPr>
              <w:pStyle w:val="1177"/>
              <w:jc w:val="center"/>
              <w:spacing w:before="40" w:after="40"/>
              <w:rPr>
                <w:b/>
                <w:sz w:val="20"/>
                <w:szCs w:val="20"/>
              </w:rPr>
            </w:pPr>
            <w:r>
              <w:rPr>
                <w:b/>
                <w:sz w:val="20"/>
                <w:szCs w:val="20"/>
              </w:rPr>
            </w:r>
            <w:r>
              <w:rPr>
                <w:b/>
                <w:sz w:val="20"/>
                <w:szCs w:val="20"/>
              </w:rPr>
            </w:r>
            <w:r>
              <w:rPr>
                <w:b/>
                <w:sz w:val="20"/>
                <w:szCs w:val="20"/>
              </w:rPr>
            </w:r>
          </w:p>
        </w:tc>
      </w:tr>
    </w:tbl>
    <w:p>
      <w:pPr>
        <w:pStyle w:val="1177"/>
        <w:rPr>
          <w:i/>
          <w:sz w:val="16"/>
          <w:szCs w:val="16"/>
        </w:rPr>
      </w:pPr>
      <w:r>
        <w:rPr>
          <w:i/>
          <w:sz w:val="16"/>
          <w:szCs w:val="16"/>
        </w:rPr>
      </w:r>
      <w:r>
        <w:rPr>
          <w:i/>
          <w:sz w:val="16"/>
          <w:szCs w:val="16"/>
        </w:rPr>
      </w:r>
      <w:r>
        <w:rPr>
          <w:i/>
          <w:sz w:val="16"/>
          <w:szCs w:val="16"/>
        </w:rPr>
      </w:r>
    </w:p>
    <w:p>
      <w:pPr>
        <w:pStyle w:val="1177"/>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177"/>
        <w:rPr>
          <w:i/>
          <w:sz w:val="16"/>
          <w:szCs w:val="16"/>
        </w:rPr>
      </w:pP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77"/>
        <w:rPr>
          <w:i/>
          <w:sz w:val="16"/>
          <w:szCs w:val="16"/>
        </w:rPr>
      </w:pPr>
      <w:r>
        <w:rPr>
          <w:i/>
          <w:sz w:val="16"/>
          <w:szCs w:val="16"/>
        </w:rPr>
        <w:t xml:space="preserve">*Под</w:t>
      </w:r>
      <w:r>
        <w:rPr>
          <w:i/>
          <w:sz w:val="16"/>
          <w:szCs w:val="16"/>
        </w:rPr>
        <w:t xml:space="preserve"> </w:t>
      </w:r>
      <w:r>
        <w:rPr>
          <w:i/>
          <w:sz w:val="16"/>
          <w:szCs w:val="16"/>
        </w:rPr>
        <w:t xml:space="preserve">торгово-сервисным</w:t>
      </w:r>
      <w:r>
        <w:rPr>
          <w:i/>
          <w:sz w:val="16"/>
          <w:szCs w:val="16"/>
        </w:rPr>
        <w:t xml:space="preserve"> </w:t>
      </w:r>
      <w:r>
        <w:rPr>
          <w:i/>
          <w:sz w:val="16"/>
          <w:szCs w:val="16"/>
        </w:rPr>
        <w:t xml:space="preserve">предприятием</w:t>
      </w:r>
      <w:r>
        <w:rPr>
          <w:i/>
          <w:sz w:val="16"/>
          <w:szCs w:val="16"/>
        </w:rPr>
        <w:t xml:space="preserve"> </w:t>
      </w:r>
      <w:r>
        <w:rPr>
          <w:i/>
          <w:sz w:val="16"/>
          <w:szCs w:val="16"/>
        </w:rPr>
        <w:t xml:space="preserve">(ТСП)</w:t>
      </w:r>
      <w:r>
        <w:rPr>
          <w:i/>
          <w:sz w:val="16"/>
          <w:szCs w:val="16"/>
        </w:rPr>
        <w:t xml:space="preserve"> </w:t>
      </w:r>
      <w:r>
        <w:rPr>
          <w:i/>
          <w:sz w:val="16"/>
          <w:szCs w:val="16"/>
        </w:rPr>
        <w:t xml:space="preserve">для</w:t>
      </w:r>
      <w:r>
        <w:rPr>
          <w:i/>
          <w:sz w:val="16"/>
          <w:szCs w:val="16"/>
        </w:rPr>
        <w:t xml:space="preserve"> </w:t>
      </w:r>
      <w:r>
        <w:rPr>
          <w:i/>
          <w:sz w:val="16"/>
          <w:szCs w:val="16"/>
        </w:rPr>
        <w:t xml:space="preserve">целей</w:t>
      </w:r>
      <w:r>
        <w:rPr>
          <w:i/>
          <w:sz w:val="16"/>
          <w:szCs w:val="16"/>
        </w:rPr>
        <w:t xml:space="preserve"> </w:t>
      </w:r>
      <w:r>
        <w:rPr>
          <w:i/>
          <w:sz w:val="16"/>
          <w:szCs w:val="16"/>
        </w:rPr>
        <w:t xml:space="preserve">настоящего</w:t>
      </w:r>
      <w:r>
        <w:rPr>
          <w:i/>
          <w:sz w:val="16"/>
          <w:szCs w:val="16"/>
        </w:rPr>
        <w:t xml:space="preserve"> </w:t>
      </w:r>
      <w:r>
        <w:rPr>
          <w:i/>
          <w:sz w:val="16"/>
          <w:szCs w:val="16"/>
        </w:rPr>
        <w:t xml:space="preserve">раздела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юридическое</w:t>
      </w:r>
      <w:r>
        <w:rPr>
          <w:i/>
          <w:sz w:val="16"/>
          <w:szCs w:val="16"/>
        </w:rPr>
        <w:t xml:space="preserve"> </w:t>
      </w:r>
      <w:r>
        <w:rPr>
          <w:i/>
          <w:sz w:val="16"/>
          <w:szCs w:val="16"/>
        </w:rPr>
        <w:t xml:space="preserve">лицо,</w:t>
      </w:r>
      <w:r>
        <w:rPr>
          <w:i/>
          <w:sz w:val="16"/>
          <w:szCs w:val="16"/>
        </w:rPr>
        <w:t xml:space="preserve"> </w:t>
      </w:r>
      <w:r>
        <w:rPr>
          <w:i/>
          <w:sz w:val="16"/>
          <w:szCs w:val="16"/>
        </w:rPr>
        <w:t xml:space="preserve">индивидуальный</w:t>
      </w:r>
      <w:r>
        <w:rPr>
          <w:i/>
          <w:sz w:val="16"/>
          <w:szCs w:val="16"/>
        </w:rPr>
        <w:t xml:space="preserve"> </w:t>
      </w:r>
      <w:r>
        <w:rPr>
          <w:i/>
          <w:sz w:val="16"/>
          <w:szCs w:val="16"/>
        </w:rPr>
        <w:t xml:space="preserve">предприниматель,</w:t>
      </w:r>
      <w:r>
        <w:rPr>
          <w:i/>
          <w:sz w:val="16"/>
          <w:szCs w:val="16"/>
        </w:rPr>
        <w:t xml:space="preserve"> </w:t>
      </w:r>
      <w:r>
        <w:rPr>
          <w:i/>
          <w:sz w:val="16"/>
          <w:szCs w:val="16"/>
        </w:rPr>
        <w:t xml:space="preserve">бюджетное</w:t>
      </w:r>
      <w:r>
        <w:rPr>
          <w:i/>
          <w:sz w:val="16"/>
          <w:szCs w:val="16"/>
        </w:rPr>
        <w:t xml:space="preserve"> </w:t>
      </w:r>
      <w:r>
        <w:rPr>
          <w:i/>
          <w:sz w:val="16"/>
          <w:szCs w:val="16"/>
        </w:rPr>
        <w:t xml:space="preserve">учреждение,</w:t>
      </w:r>
      <w:r>
        <w:rPr>
          <w:i/>
          <w:sz w:val="16"/>
          <w:szCs w:val="16"/>
        </w:rPr>
        <w:t xml:space="preserve"> </w:t>
      </w:r>
      <w:r>
        <w:rPr>
          <w:i/>
          <w:sz w:val="16"/>
          <w:szCs w:val="16"/>
        </w:rPr>
        <w:t xml:space="preserve">нотариус,</w:t>
      </w:r>
      <w:r>
        <w:rPr>
          <w:i/>
          <w:sz w:val="16"/>
          <w:szCs w:val="16"/>
        </w:rPr>
        <w:t xml:space="preserve"> </w:t>
      </w:r>
      <w:r>
        <w:rPr>
          <w:i/>
          <w:sz w:val="16"/>
          <w:szCs w:val="16"/>
        </w:rPr>
        <w:t xml:space="preserve">занимающийся</w:t>
      </w:r>
      <w:r>
        <w:rPr>
          <w:i/>
          <w:sz w:val="16"/>
          <w:szCs w:val="16"/>
        </w:rPr>
        <w:t xml:space="preserve"> </w:t>
      </w:r>
      <w:r>
        <w:rPr>
          <w:i/>
          <w:sz w:val="16"/>
          <w:szCs w:val="16"/>
        </w:rPr>
        <w:t xml:space="preserve">частной</w:t>
      </w:r>
      <w:r>
        <w:rPr>
          <w:i/>
          <w:sz w:val="16"/>
          <w:szCs w:val="16"/>
        </w:rPr>
        <w:t xml:space="preserve"> </w:t>
      </w:r>
      <w:r>
        <w:rPr>
          <w:i/>
          <w:sz w:val="16"/>
          <w:szCs w:val="16"/>
        </w:rPr>
        <w:t xml:space="preserve">практикой,</w:t>
      </w:r>
      <w:r>
        <w:rPr>
          <w:i/>
          <w:sz w:val="16"/>
          <w:szCs w:val="16"/>
        </w:rPr>
        <w:t xml:space="preserve"> </w:t>
      </w:r>
      <w:r>
        <w:rPr>
          <w:i/>
          <w:sz w:val="16"/>
          <w:szCs w:val="16"/>
        </w:rPr>
        <w:t xml:space="preserve">иные</w:t>
      </w:r>
      <w:r>
        <w:rPr>
          <w:i/>
          <w:sz w:val="16"/>
          <w:szCs w:val="16"/>
        </w:rPr>
        <w:t xml:space="preserve"> </w:t>
      </w:r>
      <w:r>
        <w:rPr>
          <w:i/>
          <w:sz w:val="16"/>
          <w:szCs w:val="16"/>
        </w:rPr>
        <w:t xml:space="preserve">организации</w:t>
      </w:r>
      <w:r>
        <w:rPr>
          <w:i/>
          <w:sz w:val="16"/>
          <w:szCs w:val="16"/>
        </w:rPr>
        <w:t xml:space="preserve"> </w:t>
      </w:r>
      <w:r>
        <w:rPr>
          <w:i/>
          <w:sz w:val="16"/>
          <w:szCs w:val="16"/>
        </w:rPr>
        <w:t xml:space="preserve">и</w:t>
      </w:r>
      <w:r>
        <w:rPr>
          <w:i/>
          <w:sz w:val="16"/>
          <w:szCs w:val="16"/>
        </w:rPr>
        <w:t xml:space="preserve"> </w:t>
      </w:r>
      <w:r>
        <w:rPr>
          <w:i/>
          <w:sz w:val="16"/>
          <w:szCs w:val="16"/>
        </w:rPr>
        <w:t xml:space="preserve">учреждения</w:t>
      </w:r>
      <w:r>
        <w:rPr>
          <w:i/>
          <w:sz w:val="16"/>
          <w:szCs w:val="16"/>
        </w:rPr>
        <w:t xml:space="preserve"> </w:t>
      </w:r>
      <w:r>
        <w:rPr>
          <w:i/>
          <w:sz w:val="16"/>
          <w:szCs w:val="16"/>
        </w:rPr>
        <w:t xml:space="preserve">независимо</w:t>
      </w:r>
      <w:r>
        <w:rPr>
          <w:i/>
          <w:sz w:val="16"/>
          <w:szCs w:val="16"/>
        </w:rPr>
        <w:t xml:space="preserve"> </w:t>
      </w:r>
      <w:r>
        <w:rPr>
          <w:i/>
          <w:sz w:val="16"/>
          <w:szCs w:val="16"/>
        </w:rPr>
        <w:t xml:space="preserve">от</w:t>
      </w:r>
      <w:r>
        <w:rPr>
          <w:i/>
          <w:sz w:val="16"/>
          <w:szCs w:val="16"/>
        </w:rPr>
        <w:t xml:space="preserve"> </w:t>
      </w:r>
      <w:r>
        <w:rPr>
          <w:i/>
          <w:sz w:val="16"/>
          <w:szCs w:val="16"/>
        </w:rPr>
        <w:t xml:space="preserve">вида</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и</w:t>
      </w:r>
      <w:r>
        <w:rPr>
          <w:i/>
          <w:sz w:val="16"/>
          <w:szCs w:val="16"/>
        </w:rPr>
        <w:t xml:space="preserve"> </w:t>
      </w:r>
      <w:r>
        <w:rPr>
          <w:i/>
          <w:sz w:val="16"/>
          <w:szCs w:val="16"/>
        </w:rPr>
        <w:t xml:space="preserve">организационно-правовой</w:t>
      </w:r>
      <w:r>
        <w:rPr>
          <w:i/>
          <w:sz w:val="16"/>
          <w:szCs w:val="16"/>
        </w:rPr>
        <w:t xml:space="preserve"> </w:t>
      </w:r>
      <w:r>
        <w:rPr>
          <w:i/>
          <w:sz w:val="16"/>
          <w:szCs w:val="16"/>
        </w:rPr>
        <w:t xml:space="preserve">формы,</w:t>
      </w:r>
      <w:r>
        <w:rPr>
          <w:i/>
          <w:sz w:val="16"/>
          <w:szCs w:val="16"/>
        </w:rPr>
        <w:t xml:space="preserve"> </w:t>
      </w:r>
      <w:r>
        <w:rPr>
          <w:i/>
          <w:sz w:val="16"/>
          <w:szCs w:val="16"/>
        </w:rPr>
        <w:t xml:space="preserve">заключившие</w:t>
      </w:r>
      <w:r>
        <w:rPr>
          <w:i/>
          <w:sz w:val="16"/>
          <w:szCs w:val="16"/>
        </w:rPr>
        <w:t xml:space="preserve"> </w:t>
      </w:r>
      <w:r>
        <w:rPr>
          <w:i/>
          <w:sz w:val="16"/>
          <w:szCs w:val="16"/>
        </w:rPr>
        <w:t xml:space="preserve">с</w:t>
      </w:r>
      <w:r>
        <w:rPr>
          <w:i/>
          <w:sz w:val="16"/>
          <w:szCs w:val="16"/>
        </w:rPr>
        <w:t xml:space="preserve"> </w:t>
      </w:r>
      <w:r>
        <w:rPr>
          <w:i/>
          <w:sz w:val="16"/>
          <w:szCs w:val="16"/>
        </w:rPr>
        <w:t xml:space="preserve">Банком</w:t>
      </w:r>
      <w:r>
        <w:rPr>
          <w:i/>
          <w:sz w:val="16"/>
          <w:szCs w:val="16"/>
        </w:rPr>
        <w:t xml:space="preserve"> </w:t>
      </w:r>
      <w:r>
        <w:rPr>
          <w:i/>
          <w:sz w:val="16"/>
          <w:szCs w:val="16"/>
        </w:rPr>
        <w:t xml:space="preserve">договор</w:t>
      </w:r>
      <w:r>
        <w:rPr>
          <w:i/>
          <w:sz w:val="16"/>
          <w:szCs w:val="16"/>
        </w:rPr>
        <w:t xml:space="preserve"> </w:t>
      </w:r>
      <w:r>
        <w:rPr>
          <w:i/>
          <w:sz w:val="16"/>
          <w:szCs w:val="16"/>
        </w:rPr>
        <w:t xml:space="preserve">эквайринга.</w:t>
      </w:r>
      <w:r>
        <w:rPr>
          <w:i/>
          <w:sz w:val="16"/>
          <w:szCs w:val="16"/>
        </w:rPr>
      </w:r>
      <w:r>
        <w:rPr>
          <w:i/>
          <w:sz w:val="16"/>
          <w:szCs w:val="16"/>
        </w:rPr>
      </w:r>
    </w:p>
    <w:p>
      <w:pPr>
        <w:pStyle w:val="1177"/>
      </w:pPr>
      <w:r/>
      <w:r/>
    </w:p>
    <w:p>
      <w:pPr>
        <w:pStyle w:val="1181"/>
      </w:pPr>
      <w:r>
        <w:t xml:space="preserve">14.</w:t>
      </w:r>
      <w:r>
        <w:t xml:space="preserve"> </w:t>
      </w:r>
      <w:r>
        <w:t xml:space="preserve">Депозитарные</w:t>
      </w:r>
      <w:r>
        <w:t xml:space="preserve"> </w:t>
      </w:r>
      <w:r>
        <w:t xml:space="preserve">услуги</w:t>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77"/>
              <w:jc w:val="center"/>
              <w:rPr>
                <w:b/>
                <w:sz w:val="20"/>
                <w:szCs w:val="20"/>
              </w:rPr>
            </w:pPr>
            <w:r>
              <w:rPr>
                <w:b/>
                <w:sz w:val="20"/>
                <w:szCs w:val="20"/>
              </w:rPr>
            </w:r>
            <w:r>
              <w:rPr>
                <w:b/>
                <w:sz w:val="20"/>
                <w:szCs w:val="20"/>
              </w:rPr>
            </w:r>
            <w:r>
              <w:rPr>
                <w:b/>
                <w:sz w:val="20"/>
                <w:szCs w:val="20"/>
              </w:rPr>
            </w:r>
          </w:p>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gridSpan w:val="3"/>
            <w:tcW w:w="3543"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w:t>
            </w:r>
            <w:r>
              <w:rPr>
                <w:sz w:val="20"/>
                <w:szCs w:val="20"/>
              </w:rPr>
            </w:r>
            <w:r>
              <w:rPr>
                <w:sz w:val="20"/>
                <w:szCs w:val="20"/>
              </w:rPr>
            </w:r>
          </w:p>
        </w:tc>
        <w:tc>
          <w:tcPr>
            <w:gridSpan w:val="6"/>
            <w:tcW w:w="9497" w:type="dxa"/>
            <w:vAlign w:val="top"/>
            <w:textDirection w:val="lrTb"/>
            <w:noWrap w:val="false"/>
          </w:tcPr>
          <w:p>
            <w:pPr>
              <w:pStyle w:val="1177"/>
              <w:rPr>
                <w:sz w:val="20"/>
                <w:szCs w:val="20"/>
              </w:rPr>
            </w:pPr>
            <w:r>
              <w:rPr>
                <w:sz w:val="20"/>
                <w:szCs w:val="20"/>
              </w:rPr>
              <w:t xml:space="preserve">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Открытие счета депо</w:t>
            </w:r>
            <w:r>
              <w:rPr>
                <w:sz w:val="20"/>
                <w:szCs w:val="20"/>
              </w:rPr>
            </w:r>
            <w:r>
              <w:rPr>
                <w:sz w:val="20"/>
                <w:szCs w:val="20"/>
              </w:rPr>
            </w:r>
          </w:p>
        </w:tc>
        <w:tc>
          <w:tcPr>
            <w:gridSpan w:val="2"/>
            <w:tcW w:w="1985" w:type="dxa"/>
            <w:vAlign w:val="top"/>
            <w:textDirection w:val="lrTb"/>
            <w:noWrap w:val="false"/>
          </w:tcPr>
          <w:p>
            <w:pPr>
              <w:pStyle w:val="1177"/>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77"/>
              <w:jc w:val="center"/>
              <w:spacing w:before="40" w:after="40"/>
              <w:rPr>
                <w:bCs/>
                <w:sz w:val="20"/>
                <w:szCs w:val="20"/>
              </w:rPr>
            </w:pPr>
            <w:r>
              <w:rPr>
                <w:rFonts w:eastAsia="Arial Unicode MS"/>
                <w:iCs/>
                <w:color w:val="000000"/>
                <w:sz w:val="20"/>
                <w:szCs w:val="20"/>
              </w:rPr>
              <w:t xml:space="preserve">100 руб. за каждый последующий счет</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14.1.2.</w:t>
            </w:r>
            <w:r>
              <w:rPr>
                <w:sz w:val="20"/>
                <w:szCs w:val="20"/>
              </w:rPr>
            </w:r>
            <w:r>
              <w:rPr>
                <w:sz w:val="20"/>
                <w:szCs w:val="20"/>
              </w:rPr>
            </w:r>
          </w:p>
        </w:tc>
        <w:tc>
          <w:tcPr>
            <w:tcW w:w="3969" w:type="dxa"/>
            <w:vAlign w:val="top"/>
            <w:textDirection w:val="lrTb"/>
            <w:noWrap w:val="false"/>
          </w:tcPr>
          <w:p>
            <w:pPr>
              <w:pStyle w:val="1177"/>
              <w:jc w:val="both"/>
              <w:spacing w:before="40" w:after="40"/>
              <w:rPr>
                <w:rFonts w:eastAsia="Arial Unicode MS"/>
                <w:bCs/>
                <w:sz w:val="20"/>
                <w:szCs w:val="20"/>
              </w:rPr>
            </w:pPr>
            <w:r>
              <w:rPr>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rPr>
            </w:r>
            <w:r>
              <w:rPr>
                <w:rFonts w:eastAsia="Arial Unicode MS"/>
                <w:bCs/>
                <w:sz w:val="20"/>
                <w:szCs w:val="20"/>
              </w:rPr>
            </w:r>
          </w:p>
        </w:tc>
        <w:tc>
          <w:tcPr>
            <w:gridSpan w:val="2"/>
            <w:tcW w:w="1985" w:type="dxa"/>
            <w:vAlign w:val="top"/>
            <w:textDirection w:val="lrTb"/>
            <w:noWrap w:val="false"/>
          </w:tcPr>
          <w:p>
            <w:pPr>
              <w:pStyle w:val="1177"/>
              <w:jc w:val="center"/>
              <w:spacing w:before="40" w:after="40"/>
              <w:rPr>
                <w:bCs/>
                <w:sz w:val="20"/>
                <w:szCs w:val="20"/>
              </w:rPr>
            </w:pPr>
            <w:r>
              <w:rPr>
                <w:color w:val="000000"/>
                <w:sz w:val="20"/>
                <w:szCs w:val="20"/>
              </w:rPr>
              <w:t xml:space="preserve">1 000 руб. за каждый раздел</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14.1.3.</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Ведение счета депо</w:t>
            </w:r>
            <w:r>
              <w:rPr>
                <w:sz w:val="20"/>
                <w:szCs w:val="20"/>
              </w:rPr>
            </w:r>
            <w:r>
              <w:rPr>
                <w:sz w:val="20"/>
                <w:szCs w:val="20"/>
              </w:rPr>
            </w:r>
          </w:p>
        </w:tc>
        <w:tc>
          <w:tcPr>
            <w:gridSpan w:val="2"/>
            <w:tcW w:w="1985" w:type="dxa"/>
            <w:vAlign w:val="top"/>
            <w:textDirection w:val="lrTb"/>
            <w:noWrap w:val="false"/>
          </w:tcPr>
          <w:p>
            <w:pPr>
              <w:pStyle w:val="1177"/>
              <w:jc w:val="center"/>
              <w:spacing w:before="40" w:after="40"/>
              <w:rPr>
                <w:bCs/>
                <w:sz w:val="20"/>
                <w:szCs w:val="20"/>
              </w:rPr>
            </w:pPr>
            <w:r>
              <w:rPr>
                <w:color w:val="000000"/>
                <w:sz w:val="20"/>
                <w:szCs w:val="20"/>
              </w:rPr>
              <w:t xml:space="preserve">Комиссия не взимается</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bCs/>
                <w:color w:val="000000"/>
                <w:sz w:val="20"/>
                <w:szCs w:val="20"/>
              </w:rPr>
              <w:t xml:space="preserve">Открытие счета номинального держателя АО «Россельхозбанк» в реестре владельцев ценных бумаг</w:t>
            </w:r>
            <w:r>
              <w:rPr>
                <w:b/>
                <w:bCs/>
                <w:sz w:val="20"/>
                <w:szCs w:val="20"/>
              </w:rPr>
            </w:r>
            <w:r>
              <w:rPr>
                <w:b/>
                <w:bCs/>
                <w:sz w:val="20"/>
                <w:szCs w:val="20"/>
              </w:rPr>
            </w:r>
          </w:p>
        </w:tc>
        <w:tc>
          <w:tcPr>
            <w:gridSpan w:val="2"/>
            <w:tcW w:w="1985" w:type="dxa"/>
            <w:vAlign w:val="top"/>
            <w:textDirection w:val="lrTb"/>
            <w:noWrap w:val="false"/>
          </w:tcPr>
          <w:p>
            <w:pPr>
              <w:pStyle w:val="1177"/>
              <w:jc w:val="center"/>
              <w:spacing w:before="40" w:after="40"/>
              <w:rPr>
                <w:bCs/>
                <w:sz w:val="20"/>
                <w:szCs w:val="20"/>
              </w:rPr>
            </w:pPr>
            <w:r>
              <w:rPr>
                <w:iCs/>
                <w:color w:val="000000"/>
                <w:sz w:val="20"/>
                <w:szCs w:val="20"/>
              </w:rPr>
              <w:t xml:space="preserve">20 000 руб.</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w:t>
            </w:r>
            <w:r>
              <w:rPr>
                <w:sz w:val="20"/>
                <w:szCs w:val="20"/>
              </w:rPr>
              <w:t xml:space="preserve">5</w:t>
            </w:r>
            <w:r>
              <w:rPr>
                <w:sz w:val="20"/>
                <w:szCs w:val="20"/>
              </w:rPr>
              <w:t xml:space="preserve">.</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14.2.1.</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rFonts w:eastAsia="Calibri"/>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sz w:val="20"/>
                <w:szCs w:val="20"/>
              </w:rPr>
            </w:r>
            <w:r>
              <w:rPr>
                <w:b/>
                <w:bCs/>
                <w:sz w:val="20"/>
                <w:szCs w:val="20"/>
              </w:rPr>
            </w:r>
          </w:p>
        </w:tc>
        <w:tc>
          <w:tcPr>
            <w:gridSpan w:val="2"/>
            <w:tcW w:w="1985" w:type="dxa"/>
            <w:vAlign w:val="top"/>
            <w:textDirection w:val="lrTb"/>
            <w:noWrap w:val="false"/>
          </w:tcPr>
          <w:p>
            <w:pPr>
              <w:pStyle w:val="1177"/>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минимум 300 руб. в месяц,</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7"/>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7"/>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rFonts w:eastAsia="Calibri"/>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7"/>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7"/>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rFonts w:eastAsia="Calibri"/>
                <w:bCs/>
                <w:color w:val="000000"/>
                <w:sz w:val="20"/>
                <w:szCs w:val="20"/>
              </w:rPr>
              <w:t xml:space="preserve"> </w:t>
            </w:r>
            <w:r>
              <w:rPr>
                <w:rFonts w:eastAsia="Calibri"/>
                <w:bCs/>
                <w:color w:val="000000"/>
                <w:sz w:val="20"/>
                <w:szCs w:val="20"/>
              </w:rPr>
              <w:t xml:space="preserve">годовых</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 </w:t>
            </w:r>
            <w:r>
              <w:rPr>
                <w:sz w:val="20"/>
                <w:szCs w:val="20"/>
              </w:rPr>
            </w:r>
            <w:r>
              <w:rPr>
                <w:sz w:val="20"/>
                <w:szCs w:val="20"/>
              </w:rPr>
            </w:r>
          </w:p>
        </w:tc>
        <w:tc>
          <w:tcPr>
            <w:tcW w:w="3969" w:type="dxa"/>
            <w:vAlign w:val="top"/>
            <w:textDirection w:val="lrTb"/>
            <w:noWrap w:val="false"/>
          </w:tcPr>
          <w:p>
            <w:pPr>
              <w:pStyle w:val="1177"/>
              <w:jc w:val="center"/>
              <w:rPr>
                <w:sz w:val="20"/>
                <w:szCs w:val="20"/>
              </w:rPr>
            </w:pPr>
            <w:r>
              <w:rPr>
                <w:sz w:val="20"/>
                <w:szCs w:val="20"/>
              </w:rPr>
              <w:t xml:space="preserve">Хранение неэмиссионных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7"/>
              <w:jc w:val="center"/>
              <w:spacing w:before="40" w:after="40"/>
              <w:rPr>
                <w:rFonts w:eastAsia="Calibri"/>
                <w:color w:val="000000"/>
                <w:sz w:val="20"/>
                <w:szCs w:val="20"/>
              </w:rPr>
            </w:pPr>
            <w:r>
              <w:rPr>
                <w:rFonts w:eastAsia="Calibri"/>
                <w:color w:val="000000"/>
                <w:sz w:val="20"/>
                <w:szCs w:val="20"/>
              </w:rPr>
              <w:t xml:space="preserve">До 300 млн. руб. (включительно) - 0,07% годовых, минимум 300 руб. месяц,</w:t>
            </w:r>
            <w:r>
              <w:rPr>
                <w:rFonts w:eastAsia="Calibri"/>
                <w:color w:val="000000"/>
                <w:sz w:val="20"/>
                <w:szCs w:val="20"/>
              </w:rPr>
            </w:r>
            <w:r>
              <w:rPr>
                <w:rFonts w:eastAsia="Calibri"/>
                <w:color w:val="000000"/>
                <w:sz w:val="20"/>
                <w:szCs w:val="20"/>
              </w:rPr>
            </w:r>
          </w:p>
          <w:p>
            <w:pPr>
              <w:pStyle w:val="1177"/>
              <w:jc w:val="center"/>
              <w:spacing w:before="40" w:after="40"/>
              <w:rPr>
                <w:rFonts w:eastAsia="Calibri"/>
                <w:color w:val="000000"/>
                <w:sz w:val="20"/>
                <w:szCs w:val="20"/>
              </w:rPr>
            </w:pPr>
            <w:r>
              <w:rPr>
                <w:rFonts w:eastAsia="Calibri"/>
                <w:color w:val="000000"/>
                <w:sz w:val="20"/>
                <w:szCs w:val="20"/>
              </w:rPr>
              <w:t xml:space="preserve">от 300 млн. руб. до 500 млн. руб. (включительно) - 0,065% годовых, минимум 300 руб. в месяц,</w:t>
            </w:r>
            <w:r>
              <w:rPr>
                <w:rFonts w:eastAsia="Calibri"/>
                <w:color w:val="000000"/>
                <w:sz w:val="20"/>
                <w:szCs w:val="20"/>
              </w:rPr>
            </w:r>
            <w:r>
              <w:rPr>
                <w:rFonts w:eastAsia="Calibri"/>
                <w:color w:val="000000"/>
                <w:sz w:val="20"/>
                <w:szCs w:val="20"/>
              </w:rPr>
            </w:r>
          </w:p>
          <w:p>
            <w:pPr>
              <w:pStyle w:val="1177"/>
              <w:jc w:val="center"/>
              <w:spacing w:before="40" w:after="40"/>
              <w:rPr>
                <w:bCs/>
                <w:sz w:val="20"/>
                <w:szCs w:val="20"/>
              </w:rPr>
            </w:pPr>
            <w:r>
              <w:rPr>
                <w:rFonts w:eastAsia="Calibri"/>
                <w:color w:val="000000"/>
                <w:sz w:val="20"/>
                <w:szCs w:val="20"/>
              </w:rPr>
              <w:t xml:space="preserve">свыше 500 млн. руб. - 0,06%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Рассчитывается ежеквартально от номинальной стоимости ежедневного остатка ценных бумаг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1 000 руб. в месяц</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14.2.4.</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500 руб. в месяц</w:t>
            </w:r>
            <w:r>
              <w:rPr>
                <w:bCs/>
                <w:sz w:val="20"/>
                <w:szCs w:val="20"/>
              </w:rPr>
            </w:r>
            <w:r>
              <w:rPr>
                <w:bCs/>
                <w:sz w:val="20"/>
                <w:szCs w:val="20"/>
              </w:rPr>
            </w:r>
          </w:p>
        </w:tc>
        <w:tc>
          <w:tcPr>
            <w:gridSpan w:val="3"/>
            <w:tcW w:w="354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14.2.5.</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300 руб. в месяц</w:t>
            </w:r>
            <w:r>
              <w:rPr>
                <w:bCs/>
                <w:sz w:val="20"/>
                <w:szCs w:val="20"/>
              </w:rPr>
            </w:r>
            <w:r>
              <w:rPr>
                <w:bCs/>
                <w:sz w:val="20"/>
                <w:szCs w:val="20"/>
              </w:rPr>
            </w:r>
          </w:p>
        </w:tc>
        <w:tc>
          <w:tcPr>
            <w:gridSpan w:val="3"/>
            <w:tcW w:w="354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14.2.6.</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Хранение и учет ценных бумаг, являющихся обеспечением по кредитам, выданным АО «Россельхозбанк»</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bCs/>
                <w:color w:val="000000"/>
                <w:sz w:val="20"/>
                <w:szCs w:val="20"/>
              </w:rPr>
              <w:t xml:space="preserve">0,035%, годовых минимум 100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14.2.7.</w:t>
            </w:r>
            <w:r>
              <w:rPr>
                <w:sz w:val="20"/>
                <w:szCs w:val="20"/>
              </w:rPr>
            </w:r>
            <w:r>
              <w:rPr>
                <w:sz w:val="20"/>
                <w:szCs w:val="20"/>
              </w:rPr>
            </w:r>
          </w:p>
        </w:tc>
        <w:tc>
          <w:tcPr>
            <w:gridSpan w:val="6"/>
            <w:tcW w:w="9497" w:type="dxa"/>
            <w:vAlign w:val="top"/>
            <w:textDirection w:val="lrTb"/>
            <w:noWrap w:val="false"/>
          </w:tcPr>
          <w:p>
            <w:pPr>
              <w:pStyle w:val="1177"/>
              <w:jc w:val="both"/>
              <w:spacing w:before="40" w:after="40"/>
              <w:rPr>
                <w:rFonts w:eastAsia="Calibri"/>
                <w:i/>
                <w:iCs/>
                <w:sz w:val="20"/>
                <w:szCs w:val="20"/>
              </w:rPr>
            </w:pPr>
            <w:r>
              <w:rPr>
                <w:rFonts w:eastAsia="Calibri"/>
                <w:bCs/>
                <w:sz w:val="20"/>
                <w:szCs w:val="20"/>
              </w:rPr>
              <w:t xml:space="preserve">Хранение и учет на счете ДЕПО ценных бумаг Депонентов, </w:t>
            </w:r>
            <w:r>
              <w:rPr>
                <w:rFonts w:eastAsia="Calibri"/>
                <w:bCs/>
                <w:iCs/>
                <w:sz w:val="20"/>
                <w:szCs w:val="20"/>
              </w:rPr>
              <w:t xml:space="preserve">принятых АО «Россельхозбанк» на брокерское обслуживание</w:t>
            </w:r>
            <w:r>
              <w:rPr>
                <w:rFonts w:eastAsia="Calibri"/>
                <w:i/>
                <w:iCs/>
                <w:sz w:val="20"/>
                <w:szCs w:val="20"/>
              </w:rPr>
            </w:r>
            <w:r>
              <w:rPr>
                <w:rFonts w:eastAsia="Calibri"/>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72" w:right="-101"/>
              <w:jc w:val="center"/>
              <w:spacing w:before="40" w:after="40"/>
              <w:rPr>
                <w:rFonts w:eastAsia="Calibri"/>
                <w:bCs/>
                <w:sz w:val="20"/>
                <w:szCs w:val="20"/>
              </w:rPr>
            </w:pPr>
            <w:r>
              <w:rPr>
                <w:rFonts w:eastAsia="Calibri"/>
                <w:color w:val="000000"/>
                <w:sz w:val="20"/>
                <w:szCs w:val="20"/>
              </w:rPr>
              <w:t xml:space="preserve">Средневзвешенная стоимость</w:t>
            </w:r>
            <w:r>
              <w:rPr>
                <w:rFonts w:eastAsia="Calibri"/>
                <w:sz w:val="20"/>
                <w:szCs w:val="20"/>
                <w:vertAlign w:val="superscript"/>
              </w:rPr>
              <w:footnoteReference w:id="7"/>
            </w:r>
            <w:r>
              <w:rPr>
                <w:rFonts w:eastAsia="Calibri"/>
                <w:color w:val="000000"/>
                <w:sz w:val="20"/>
                <w:szCs w:val="20"/>
              </w:rPr>
              <w:t xml:space="preserve"> ценных бумаг (млрд. руб.)</w:t>
            </w:r>
            <w:r>
              <w:rPr>
                <w:rFonts w:eastAsia="Calibri"/>
                <w:bCs/>
                <w:sz w:val="20"/>
                <w:szCs w:val="20"/>
              </w:rPr>
            </w:r>
            <w:r>
              <w:rPr>
                <w:rFonts w:eastAsia="Calibri"/>
                <w:bCs/>
                <w:sz w:val="20"/>
                <w:szCs w:val="20"/>
              </w:rPr>
            </w:r>
          </w:p>
        </w:tc>
        <w:tc>
          <w:tcPr>
            <w:gridSpan w:val="3"/>
            <w:tcW w:w="1475" w:type="dxa"/>
            <w:vAlign w:val="center"/>
            <w:textDirection w:val="lrTb"/>
            <w:noWrap w:val="false"/>
          </w:tcPr>
          <w:p>
            <w:pPr>
              <w:pStyle w:val="1177"/>
              <w:ind w:left="-72" w:right="-101"/>
              <w:jc w:val="center"/>
              <w:spacing w:before="40" w:after="40"/>
              <w:rPr>
                <w:rFonts w:eastAsia="Calibri"/>
                <w:bCs/>
                <w:sz w:val="20"/>
                <w:szCs w:val="20"/>
              </w:rPr>
            </w:pPr>
            <w:r>
              <w:rPr>
                <w:rFonts w:eastAsia="Calibri"/>
                <w:bCs/>
                <w:sz w:val="20"/>
                <w:szCs w:val="20"/>
              </w:rPr>
              <w:t xml:space="preserve">%</w:t>
            </w:r>
            <w:r>
              <w:rPr>
                <w:rFonts w:eastAsia="Calibri"/>
                <w:bCs/>
                <w:sz w:val="20"/>
                <w:szCs w:val="20"/>
              </w:rPr>
            </w:r>
            <w:r>
              <w:rPr>
                <w:rFonts w:eastAsia="Calibri"/>
                <w:bCs/>
                <w:sz w:val="20"/>
                <w:szCs w:val="20"/>
              </w:rPr>
            </w:r>
          </w:p>
          <w:p>
            <w:pPr>
              <w:pStyle w:val="1177"/>
              <w:ind w:left="-72" w:right="-101"/>
              <w:jc w:val="center"/>
              <w:spacing w:before="40" w:after="40"/>
              <w:rPr>
                <w:rFonts w:eastAsia="Calibri"/>
                <w:bCs/>
                <w:sz w:val="20"/>
                <w:szCs w:val="20"/>
              </w:rPr>
            </w:pPr>
            <w:r>
              <w:rPr>
                <w:rFonts w:eastAsia="Calibri"/>
                <w:sz w:val="20"/>
                <w:szCs w:val="20"/>
              </w:rPr>
              <w:t xml:space="preserve">годовых</w:t>
            </w:r>
            <w:r>
              <w:rPr>
                <w:rFonts w:eastAsia="Calibri"/>
                <w:bCs/>
                <w:sz w:val="20"/>
                <w:szCs w:val="20"/>
              </w:rPr>
            </w:r>
            <w:r>
              <w:rPr>
                <w:rFonts w:eastAsia="Calibri"/>
                <w:bCs/>
                <w:sz w:val="20"/>
                <w:szCs w:val="20"/>
              </w:rPr>
            </w:r>
          </w:p>
        </w:tc>
        <w:tc>
          <w:tcPr>
            <w:tcW w:w="2688" w:type="dxa"/>
            <w:vAlign w:val="top"/>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spacing w:before="40" w:after="40"/>
              <w:rPr>
                <w:rFonts w:eastAsia="Arial Unicode MS"/>
                <w:bCs/>
                <w:sz w:val="20"/>
                <w:szCs w:val="20"/>
              </w:rPr>
            </w:pPr>
            <w:r>
              <w:rPr>
                <w:rFonts w:eastAsia="Calibri"/>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1177"/>
              <w:jc w:val="both"/>
              <w:spacing w:before="40" w:after="40"/>
              <w:rPr>
                <w:rFonts w:eastAsia="Arial Unicode MS"/>
                <w:bCs/>
                <w:sz w:val="20"/>
                <w:szCs w:val="20"/>
              </w:rPr>
            </w:pPr>
            <w:r>
              <w:rPr>
                <w:rFonts w:eastAsia="Calibri"/>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0,026%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center"/>
            <w:vMerge w:val="restart"/>
            <w:textDirection w:val="lrTb"/>
            <w:noWrap w:val="false"/>
          </w:tcPr>
          <w:p>
            <w:pPr>
              <w:pStyle w:val="1177"/>
              <w:ind w:right="-17"/>
              <w:spacing w:before="40" w:after="40"/>
              <w:tabs>
                <w:tab w:val="left" w:pos="4464" w:leader="none"/>
                <w:tab w:val="left" w:pos="5760" w:leader="none"/>
              </w:tabs>
              <w:rPr>
                <w:rFonts w:eastAsia="Calibri"/>
                <w:sz w:val="20"/>
                <w:szCs w:val="20"/>
              </w:rPr>
            </w:pPr>
            <w:r>
              <w:rPr>
                <w:rFonts w:eastAsia="Calibri"/>
                <w:sz w:val="20"/>
                <w:szCs w:val="20"/>
              </w:rPr>
              <w:t xml:space="preserve">Рассчитывается ежеквартально от ежемесячной средневзвешенной стоимости ценных бумаг на счете депо. </w:t>
            </w:r>
            <w:r>
              <w:rPr>
                <w:rFonts w:eastAsia="Calibri"/>
                <w:sz w:val="20"/>
                <w:szCs w:val="20"/>
              </w:rPr>
            </w:r>
            <w:r>
              <w:rPr>
                <w:rFonts w:eastAsia="Calibri"/>
                <w:sz w:val="20"/>
                <w:szCs w:val="20"/>
              </w:rPr>
            </w:r>
          </w:p>
          <w:p>
            <w:pPr>
              <w:pStyle w:val="1177"/>
              <w:ind w:right="-17"/>
              <w:spacing w:before="40" w:after="40"/>
              <w:tabs>
                <w:tab w:val="left" w:pos="4464" w:leader="none"/>
                <w:tab w:val="left" w:pos="576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77"/>
              <w:ind w:right="-17"/>
              <w:spacing w:before="40" w:after="40"/>
              <w:tabs>
                <w:tab w:val="left" w:pos="4464" w:leader="none"/>
                <w:tab w:val="left" w:pos="5760" w:leader="none"/>
              </w:tabs>
              <w:rPr>
                <w:rFonts w:eastAsia="Calibri"/>
                <w:sz w:val="20"/>
                <w:szCs w:val="20"/>
              </w:rPr>
            </w:pPr>
            <w:r>
              <w:rPr>
                <w:rFonts w:eastAsia="Calibri"/>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0,024 %</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5 до 10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0,0197%</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10 до 20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0,0192%</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w:t>
            </w:r>
            <w:r>
              <w:rPr>
                <w:rFonts w:eastAsia="Calibri"/>
                <w:sz w:val="20"/>
                <w:szCs w:val="20"/>
                <w:lang w:val="en-US"/>
              </w:rPr>
              <w:t xml:space="preserve">20</w:t>
            </w:r>
            <w:r>
              <w:rPr>
                <w:rFonts w:eastAsia="Calibri"/>
                <w:sz w:val="20"/>
                <w:szCs w:val="20"/>
              </w:rPr>
              <w:t xml:space="preserve"> до </w:t>
            </w:r>
            <w:r>
              <w:rPr>
                <w:rFonts w:eastAsia="Calibri"/>
                <w:sz w:val="20"/>
                <w:szCs w:val="20"/>
                <w:lang w:val="en-US"/>
              </w:rPr>
              <w:t xml:space="preserve">50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0,01</w:t>
            </w:r>
            <w:r>
              <w:rPr>
                <w:rFonts w:eastAsia="Calibri"/>
                <w:sz w:val="20"/>
                <w:szCs w:val="20"/>
                <w:lang w:val="en-US"/>
              </w:rPr>
              <w:t xml:space="preserve">72</w:t>
            </w:r>
            <w:r>
              <w:rPr>
                <w:rFonts w:eastAsia="Calibri"/>
                <w:sz w:val="20"/>
                <w:szCs w:val="20"/>
              </w:rPr>
              <w:t xml:space="preserve">%</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свыше 50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0,016%</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7"/>
              <w:jc w:val="center"/>
              <w:spacing w:before="40" w:after="40"/>
              <w:rPr>
                <w:rFonts w:eastAsia="Calibri"/>
                <w:bCs/>
                <w:sz w:val="20"/>
                <w:szCs w:val="20"/>
              </w:rPr>
            </w:pPr>
            <w:r>
              <w:rPr>
                <w:rFonts w:eastAsia="Calibri"/>
                <w:bCs/>
                <w:sz w:val="20"/>
                <w:szCs w:val="20"/>
              </w:rPr>
              <w:t xml:space="preserve">14.2.7.2.</w:t>
            </w:r>
            <w:r>
              <w:rPr>
                <w:rFonts w:eastAsia="Calibri"/>
                <w:bCs/>
                <w:sz w:val="20"/>
                <w:szCs w:val="20"/>
              </w:rPr>
            </w:r>
            <w:r>
              <w:rPr>
                <w:rFonts w:eastAsia="Calibri"/>
                <w:bCs/>
                <w:sz w:val="20"/>
                <w:szCs w:val="20"/>
              </w:rPr>
            </w:r>
          </w:p>
        </w:tc>
        <w:tc>
          <w:tcPr>
            <w:tcW w:w="3969" w:type="dxa"/>
            <w:vAlign w:val="top"/>
            <w:vMerge w:val="restart"/>
            <w:textDirection w:val="lrTb"/>
            <w:noWrap w:val="false"/>
          </w:tcPr>
          <w:p>
            <w:pPr>
              <w:pStyle w:val="1177"/>
              <w:jc w:val="both"/>
              <w:spacing w:before="40" w:after="40"/>
              <w:rPr>
                <w:rFonts w:eastAsia="Calibri"/>
                <w:bCs/>
                <w:sz w:val="20"/>
                <w:szCs w:val="20"/>
              </w:rPr>
            </w:pPr>
            <w:r>
              <w:rPr>
                <w:rFonts w:eastAsia="Calibri"/>
                <w:bCs/>
                <w:sz w:val="20"/>
                <w:szCs w:val="20"/>
              </w:rPr>
              <w:t xml:space="preserve">Депозитарный учет акций и российских депозитарных расписок, выпущенных на территории Российской Федерации</w:t>
            </w:r>
            <w:r>
              <w:rPr>
                <w:rFonts w:eastAsia="Calibri"/>
                <w:bCs/>
                <w:sz w:val="20"/>
                <w:szCs w:val="20"/>
              </w:rPr>
            </w:r>
            <w:r>
              <w:rPr>
                <w:rFonts w:eastAsia="Calibri"/>
                <w:bCs/>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до 0,5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0,019%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от 0,5 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0,014%</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0,013%</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свыше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759"/>
        </w:trPr>
        <w:tc>
          <w:tcPr>
            <w:tcW w:w="993" w:type="dxa"/>
            <w:vAlign w:val="top"/>
            <w:textDirection w:val="lrTb"/>
            <w:noWrap w:val="false"/>
          </w:tcPr>
          <w:p>
            <w:pPr>
              <w:pStyle w:val="1177"/>
              <w:jc w:val="center"/>
              <w:rPr>
                <w:sz w:val="20"/>
                <w:szCs w:val="20"/>
              </w:rPr>
            </w:pPr>
            <w:r>
              <w:rPr>
                <w:sz w:val="20"/>
                <w:szCs w:val="20"/>
              </w:rPr>
              <w:t xml:space="preserve">14.2.7.3.</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037"/>
        </w:trPr>
        <w:tc>
          <w:tcPr>
            <w:tcW w:w="993" w:type="dxa"/>
            <w:vAlign w:val="top"/>
            <w:textDirection w:val="lrTb"/>
            <w:noWrap w:val="false"/>
          </w:tcPr>
          <w:p>
            <w:pPr>
              <w:pStyle w:val="1177"/>
              <w:jc w:val="center"/>
              <w:spacing w:before="40" w:after="40"/>
              <w:rPr>
                <w:bCs/>
                <w:sz w:val="20"/>
                <w:szCs w:val="20"/>
              </w:rPr>
            </w:pPr>
            <w:r>
              <w:rPr>
                <w:bCs/>
                <w:sz w:val="20"/>
                <w:szCs w:val="20"/>
              </w:rPr>
              <w:t xml:space="preserve">14.2.7.4.</w:t>
            </w:r>
            <w:r>
              <w:rPr>
                <w:bCs/>
                <w:sz w:val="20"/>
                <w:szCs w:val="20"/>
              </w:rPr>
            </w:r>
            <w:r>
              <w:rPr>
                <w:bCs/>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100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81"/>
        </w:trPr>
        <w:tc>
          <w:tcPr>
            <w:tcW w:w="993" w:type="dxa"/>
            <w:vAlign w:val="top"/>
            <w:textDirection w:val="lrTb"/>
            <w:noWrap w:val="false"/>
          </w:tcPr>
          <w:p>
            <w:pPr>
              <w:pStyle w:val="1177"/>
              <w:jc w:val="center"/>
              <w:spacing w:before="40" w:after="40"/>
              <w:rPr>
                <w:bCs/>
                <w:sz w:val="20"/>
                <w:szCs w:val="20"/>
              </w:rPr>
            </w:pPr>
            <w:r>
              <w:rPr>
                <w:bCs/>
                <w:sz w:val="20"/>
                <w:szCs w:val="20"/>
                <w:lang w:val="en-US"/>
              </w:rPr>
              <w:t xml:space="preserve">14.2.7.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30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490" w:type="dxa"/>
            <w:vAlign w:val="top"/>
            <w:textDirection w:val="lrTb"/>
            <w:noWrap w:val="false"/>
          </w:tcPr>
          <w:p>
            <w:pPr>
              <w:pStyle w:val="1177"/>
              <w:jc w:val="center"/>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t xml:space="preserve">14.3. </w:t>
            </w:r>
            <w:r>
              <w:rPr>
                <w:sz w:val="20"/>
                <w:szCs w:val="20"/>
              </w:rPr>
              <w:t xml:space="preserve">Прием/выдача сертификатов ценных бумаг на/с хранение(я)</w:t>
            </w:r>
            <w:r>
              <w:rPr>
                <w:sz w:val="20"/>
                <w:szCs w:val="20"/>
              </w:rPr>
            </w:r>
            <w:r>
              <w:rPr>
                <w:sz w:val="20"/>
                <w:szCs w:val="20"/>
              </w:rPr>
            </w:r>
          </w:p>
        </w:tc>
        <w:tc>
          <w:tcPr>
            <w:tcW w:w="0" w:type="auto"/>
            <w:vAlign w:val="top"/>
            <w:textDirection w:val="lrTb"/>
            <w:noWrap w:val="false"/>
          </w:tcPr>
          <w:p>
            <w:pPr>
              <w:pStyle w:val="1177"/>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14.3.2.</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 руб. за каждый лист</w:t>
            </w:r>
            <w:r>
              <w:rPr>
                <w:sz w:val="20"/>
                <w:szCs w:val="20"/>
              </w:rPr>
            </w:r>
            <w:r>
              <w:rPr>
                <w:sz w:val="20"/>
                <w:szCs w:val="20"/>
              </w:rPr>
            </w:r>
          </w:p>
          <w:p>
            <w:pPr>
              <w:pStyle w:val="1177"/>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14.3.3.</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14.3.4.</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 руб. за каждый лист</w:t>
            </w:r>
            <w:r>
              <w:rPr>
                <w:sz w:val="20"/>
                <w:szCs w:val="20"/>
              </w:rPr>
            </w:r>
            <w:r>
              <w:rPr>
                <w:sz w:val="20"/>
                <w:szCs w:val="20"/>
              </w:rPr>
            </w:r>
          </w:p>
          <w:p>
            <w:pPr>
              <w:pStyle w:val="1177"/>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14.4.1.</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bCs/>
                <w:color w:val="000000"/>
                <w:sz w:val="20"/>
                <w:szCs w:val="20"/>
              </w:rPr>
              <w:t xml:space="preserve">Перевод «поставка/получение, свободная от платежа»</w:t>
            </w:r>
            <w:r>
              <w:rPr>
                <w:b/>
                <w:bCs/>
                <w:sz w:val="20"/>
                <w:szCs w:val="20"/>
              </w:rPr>
            </w:r>
            <w:r>
              <w:rPr>
                <w:b/>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600 руб.</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14.4.2.</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700 руб.</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14.4.3.</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14.4.4.</w:t>
            </w:r>
            <w:r>
              <w:rPr>
                <w:sz w:val="20"/>
                <w:szCs w:val="20"/>
              </w:rPr>
            </w:r>
            <w:r>
              <w:rPr>
                <w:sz w:val="20"/>
                <w:szCs w:val="20"/>
              </w:rPr>
            </w:r>
          </w:p>
        </w:tc>
        <w:tc>
          <w:tcPr>
            <w:shd w:val="clear" w:color="auto" w:fill="ffffff"/>
            <w:tcW w:w="3969" w:type="dxa"/>
            <w:vAlign w:val="top"/>
            <w:textDirection w:val="lrTb"/>
            <w:noWrap w:val="false"/>
          </w:tcPr>
          <w:p>
            <w:pPr>
              <w:pStyle w:val="1177"/>
              <w:spacing w:after="40"/>
              <w:rPr>
                <w:bCs/>
                <w:color w:val="000000"/>
                <w:sz w:val="20"/>
                <w:szCs w:val="20"/>
              </w:rPr>
            </w:pPr>
            <w:r>
              <w:rPr>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1177"/>
              <w:jc w:val="center"/>
              <w:spacing w:before="40" w:after="40"/>
              <w:rPr>
                <w:color w:val="000000"/>
                <w:sz w:val="20"/>
                <w:szCs w:val="20"/>
              </w:rPr>
            </w:pPr>
            <w:r>
              <w:rPr>
                <w:rFonts w:eastAsia="Calibri"/>
                <w:color w:val="000000"/>
                <w:sz w:val="20"/>
                <w:szCs w:val="20"/>
                <w:lang w:val="en-US"/>
              </w:rPr>
              <w:t xml:space="preserve">600 руб</w:t>
            </w:r>
            <w:r>
              <w:rPr>
                <w:rFonts w:eastAsia="Calibri"/>
                <w:color w:val="000000"/>
                <w:sz w:val="20"/>
                <w:szCs w:val="20"/>
                <w:lang w:val="en-US"/>
              </w:rPr>
              <w:t xml:space="preserve">.</w:t>
            </w:r>
            <w:r>
              <w:rPr>
                <w:color w:val="000000"/>
                <w:sz w:val="20"/>
                <w:szCs w:val="20"/>
              </w:rPr>
            </w:r>
            <w:r>
              <w:rPr>
                <w:color w:val="000000"/>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Дополнительно взимается в качестве возмещения сумма расходов сторонних организаций».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14.4.5.</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Перевод ценных бумаг по разделам счета депо (по счетам 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14.4.6.</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Переводы ценных бумаг по операциям купли / продажи ценных бумаг, совершенным через брокеров АО «Россельхозбанк»</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14.4.7.</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14.4.8.</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0,1% от суммы сделки</w:t>
            </w:r>
            <w:r>
              <w:rPr>
                <w:sz w:val="20"/>
                <w:szCs w:val="20"/>
              </w:rPr>
            </w:r>
            <w:r>
              <w:rPr>
                <w:sz w:val="20"/>
                <w:szCs w:val="20"/>
              </w:rPr>
            </w:r>
          </w:p>
          <w:p>
            <w:pPr>
              <w:pStyle w:val="1177"/>
              <w:jc w:val="center"/>
              <w:rPr>
                <w:sz w:val="20"/>
                <w:szCs w:val="20"/>
              </w:rPr>
            </w:pPr>
            <w:r>
              <w:rPr>
                <w:sz w:val="20"/>
                <w:szCs w:val="20"/>
              </w:rPr>
              <w:t xml:space="preserve">Макс 5000руб.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pageBreakBefore/>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tabs>
                <w:tab w:val="left" w:pos="290" w:leader="none"/>
              </w:tabs>
              <w:rPr>
                <w:bCs/>
                <w:sz w:val="20"/>
                <w:szCs w:val="20"/>
              </w:rPr>
            </w:pPr>
            <w:r>
              <w:rPr>
                <w:bCs/>
                <w:sz w:val="20"/>
                <w:szCs w:val="20"/>
              </w:rPr>
              <w:t xml:space="preserve">-</w:t>
            </w:r>
            <w:r>
              <w:rPr>
                <w:bCs/>
                <w:sz w:val="20"/>
                <w:szCs w:val="20"/>
              </w:rPr>
              <w:t xml:space="preserve"> </w:t>
            </w:r>
            <w:r>
              <w:rPr>
                <w:bCs/>
                <w:sz w:val="20"/>
                <w:szCs w:val="20"/>
              </w:rPr>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1985" w:type="dxa"/>
            <w:vAlign w:val="center"/>
            <w:vMerge w:val="restart"/>
            <w:textDirection w:val="lrTb"/>
            <w:noWrap w:val="false"/>
          </w:tcPr>
          <w:p>
            <w:pPr>
              <w:pStyle w:val="1177"/>
              <w:jc w:val="center"/>
              <w:spacing w:before="40" w:after="40"/>
              <w:rPr>
                <w:sz w:val="20"/>
                <w:szCs w:val="20"/>
              </w:rPr>
            </w:pPr>
            <w:r>
              <w:rPr>
                <w:sz w:val="20"/>
                <w:szCs w:val="20"/>
              </w:rPr>
              <w:t xml:space="preserve">3 000 руб.</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9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rPr>
                <w:sz w:val="20"/>
                <w:szCs w:val="20"/>
              </w:rPr>
            </w:pPr>
            <w:r>
              <w:rPr>
                <w:bCs/>
                <w:sz w:val="20"/>
                <w:szCs w:val="20"/>
              </w:rPr>
              <w:t xml:space="preserve">-</w:t>
            </w:r>
            <w:r>
              <w:rPr>
                <w:bCs/>
                <w:sz w:val="20"/>
                <w:szCs w:val="20"/>
              </w:rPr>
              <w:t xml:space="preserve"> </w:t>
            </w:r>
            <w:r>
              <w:rPr>
                <w:bCs/>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non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6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77"/>
              <w:jc w:val="both"/>
              <w:spacing w:before="40" w:after="40"/>
              <w:tabs>
                <w:tab w:val="left" w:pos="290" w:leader="none"/>
              </w:tabs>
              <w:rPr>
                <w:bCs/>
                <w:sz w:val="20"/>
                <w:szCs w:val="20"/>
              </w:rPr>
            </w:pPr>
            <w:r>
              <w:rPr>
                <w:bCs/>
                <w:sz w:val="20"/>
                <w:szCs w:val="20"/>
              </w:rPr>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non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регистрация уступки прав по договору залога ценных бумаг</w:t>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525"/>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регистрация перехода прав по договору залога ценных бумаг</w:t>
            </w:r>
            <w:r>
              <w:rPr>
                <w:bCs/>
                <w:sz w:val="20"/>
                <w:szCs w:val="20"/>
              </w:rPr>
            </w:r>
            <w:r>
              <w:rPr>
                <w:bCs/>
                <w:sz w:val="20"/>
                <w:szCs w:val="20"/>
              </w:rPr>
            </w:r>
          </w:p>
        </w:tc>
        <w:tc>
          <w:tcPr>
            <w:gridSpan w:val="2"/>
            <w:tcBorders>
              <w:bottom w:val="single" w:color="000000" w:sz="4" w:space="0"/>
            </w:tcBorders>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735"/>
        </w:trPr>
        <w:tc>
          <w:tcPr>
            <w:tcBorders>
              <w:bottom w:val="single" w:color="000000" w:sz="4" w:space="0"/>
            </w:tcBorders>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tabs>
                <w:tab w:val="left" w:pos="290" w:leader="none"/>
              </w:tabs>
              <w:rPr>
                <w:bCs/>
                <w:sz w:val="20"/>
                <w:szCs w:val="20"/>
              </w:rPr>
            </w:pPr>
            <w:r>
              <w:rPr>
                <w:bCs/>
                <w:sz w:val="20"/>
                <w:szCs w:val="20"/>
              </w:rPr>
              <w:t xml:space="preserve">-административное блокирование/разблокирование ценных бумаг на счете депо</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7"/>
              <w:jc w:val="center"/>
              <w:rPr>
                <w:sz w:val="20"/>
                <w:szCs w:val="20"/>
              </w:rPr>
            </w:pPr>
            <w:r>
              <w:rPr>
                <w:sz w:val="20"/>
                <w:szCs w:val="20"/>
              </w:rPr>
              <w:t xml:space="preserve">14.6.1.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77"/>
              <w:jc w:val="center"/>
              <w:rPr>
                <w:sz w:val="20"/>
                <w:szCs w:val="20"/>
              </w:rPr>
            </w:pPr>
            <w:r>
              <w:rPr>
                <w:sz w:val="20"/>
                <w:szCs w:val="20"/>
              </w:rPr>
              <w:t xml:space="preserve">Комиссия не взимается</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105"/>
        </w:trPr>
        <w:tc>
          <w:tcPr>
            <w:tcBorders>
              <w:bottom w:val="none" w:color="000000" w:sz="4" w:space="0"/>
            </w:tcBorders>
            <w:tcW w:w="993" w:type="dxa"/>
            <w:vAlign w:val="top"/>
            <w:textDirection w:val="lrTb"/>
            <w:noWrap w:val="false"/>
          </w:tcPr>
          <w:p>
            <w:pPr>
              <w:pStyle w:val="1177"/>
              <w:jc w:val="center"/>
              <w:rPr>
                <w:sz w:val="20"/>
                <w:szCs w:val="20"/>
              </w:rPr>
            </w:pPr>
            <w:r>
              <w:rPr>
                <w:sz w:val="20"/>
                <w:szCs w:val="20"/>
              </w:rPr>
              <w:t xml:space="preserve">14.6.2.</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1 500 руб.</w:t>
            </w:r>
            <w:r>
              <w:rPr>
                <w:sz w:val="20"/>
                <w:szCs w:val="20"/>
              </w:rPr>
            </w:r>
            <w:r>
              <w:rPr>
                <w:sz w:val="20"/>
                <w:szCs w:val="20"/>
              </w:rPr>
            </w:r>
          </w:p>
        </w:tc>
        <w:tc>
          <w:tcPr>
            <w:gridSpan w:val="3"/>
            <w:tcBorders>
              <w:top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7"/>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14.6.3.</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500 руб.</w:t>
            </w:r>
            <w:r>
              <w:rPr>
                <w:sz w:val="20"/>
                <w:szCs w:val="20"/>
              </w:rPr>
            </w:r>
            <w:r>
              <w:rPr>
                <w:sz w:val="20"/>
                <w:szCs w:val="20"/>
              </w:rPr>
            </w:r>
          </w:p>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14.6.4.</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1 000 руб.</w:t>
            </w:r>
            <w:r>
              <w:rPr>
                <w:sz w:val="20"/>
                <w:szCs w:val="20"/>
              </w:rPr>
            </w:r>
            <w:r>
              <w:rPr>
                <w:sz w:val="20"/>
                <w:szCs w:val="20"/>
              </w:rPr>
            </w:r>
          </w:p>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7"/>
              <w:jc w:val="center"/>
              <w:rPr>
                <w:sz w:val="20"/>
                <w:szCs w:val="20"/>
              </w:rPr>
            </w:pPr>
            <w:r>
              <w:rPr>
                <w:sz w:val="20"/>
                <w:szCs w:val="20"/>
              </w:rPr>
              <w:t xml:space="preserve">14.6.5.</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none" w:color="000000" w:sz="4" w:space="0"/>
            </w:tcBorders>
            <w:tcW w:w="993" w:type="dxa"/>
            <w:vAlign w:val="top"/>
            <w:textDirection w:val="lrTb"/>
            <w:noWrap w:val="false"/>
          </w:tcPr>
          <w:p>
            <w:pPr>
              <w:pStyle w:val="117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350 руб.</w:t>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7"/>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77"/>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Borders>
              <w:top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14.6.7.</w:t>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rFonts w:eastAsia="Calibri"/>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77"/>
              <w:jc w:val="center"/>
              <w:rPr>
                <w:rFonts w:eastAsia="Calibri"/>
                <w:sz w:val="20"/>
                <w:szCs w:val="20"/>
              </w:rPr>
            </w:pPr>
            <w:r>
              <w:rPr>
                <w:rFonts w:eastAsia="Calibri"/>
                <w:color w:val="000000"/>
                <w:sz w:val="20"/>
                <w:szCs w:val="20"/>
              </w:rPr>
              <w:t xml:space="preserve">Комиссия не взимается</w:t>
            </w:r>
            <w:r>
              <w:rPr>
                <w:rFonts w:eastAsia="Calibri"/>
                <w:sz w:val="20"/>
                <w:szCs w:val="20"/>
              </w:rPr>
            </w:r>
            <w:r>
              <w:rPr>
                <w:rFonts w:eastAsia="Calibri"/>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14.7.1.</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225"/>
              <w:numPr>
                <w:ilvl w:val="0"/>
                <w:numId w:val="25"/>
              </w:numPr>
              <w:jc w:val="center"/>
              <w:spacing w:before="40" w:after="40"/>
              <w:rPr>
                <w:sz w:val="20"/>
                <w:szCs w:val="20"/>
              </w:rPr>
            </w:pPr>
            <w:r>
              <w:rPr>
                <w:rFonts w:eastAsia="Calibri"/>
                <w:sz w:val="20"/>
                <w:szCs w:val="20"/>
              </w:rPr>
              <w:t xml:space="preserve">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14.8.1.</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14.8.2.</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1 000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14.8.3.</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14.8.4.</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1985" w:type="dxa"/>
            <w:vAlign w:val="top"/>
            <w:textDirection w:val="lrTb"/>
            <w:noWrap w:val="false"/>
          </w:tcPr>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3 000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14.8.5.</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14.8.6.</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rFonts w:eastAsia="Calibri"/>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100 руб. за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bl>
    <w:p>
      <w:pPr>
        <w:pStyle w:val="1177"/>
        <w:rPr>
          <w:i/>
          <w:sz w:val="16"/>
          <w:szCs w:val="16"/>
        </w:rPr>
      </w:pPr>
      <w:r>
        <w:rPr>
          <w:i/>
          <w:sz w:val="16"/>
          <w:szCs w:val="16"/>
        </w:rPr>
      </w:r>
      <w:r>
        <w:rPr>
          <w:i/>
          <w:sz w:val="16"/>
          <w:szCs w:val="16"/>
        </w:rPr>
      </w:r>
      <w:r>
        <w:rPr>
          <w:i/>
          <w:sz w:val="16"/>
          <w:szCs w:val="16"/>
        </w:rPr>
      </w:r>
    </w:p>
    <w:p>
      <w:pPr>
        <w:pStyle w:val="1177"/>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Так</w:t>
      </w:r>
      <w:r>
        <w:rPr>
          <w:i/>
          <w:sz w:val="16"/>
          <w:szCs w:val="16"/>
        </w:rPr>
        <w:t xml:space="preserve"> </w:t>
      </w:r>
      <w:r>
        <w:rPr>
          <w:i/>
          <w:sz w:val="16"/>
          <w:szCs w:val="16"/>
        </w:rPr>
        <w:t xml:space="preserve">как</w:t>
      </w:r>
      <w:r>
        <w:rPr>
          <w:i/>
          <w:sz w:val="16"/>
          <w:szCs w:val="16"/>
        </w:rPr>
        <w:t xml:space="preserve"> </w:t>
      </w:r>
      <w:r>
        <w:rPr>
          <w:i/>
          <w:sz w:val="16"/>
          <w:szCs w:val="16"/>
        </w:rPr>
        <w:t xml:space="preserve">депозитарные</w:t>
      </w:r>
      <w:r>
        <w:rPr>
          <w:i/>
          <w:sz w:val="16"/>
          <w:szCs w:val="16"/>
        </w:rPr>
        <w:t xml:space="preserve"> </w:t>
      </w:r>
      <w:r>
        <w:rPr>
          <w:i/>
          <w:sz w:val="16"/>
          <w:szCs w:val="16"/>
        </w:rPr>
        <w:t xml:space="preserve">услуги</w:t>
      </w:r>
      <w:r>
        <w:rPr>
          <w:i/>
          <w:sz w:val="16"/>
          <w:szCs w:val="16"/>
        </w:rPr>
        <w:t xml:space="preserve"> </w:t>
      </w:r>
      <w:r>
        <w:rPr>
          <w:i/>
          <w:sz w:val="16"/>
          <w:szCs w:val="16"/>
        </w:rPr>
        <w:t xml:space="preserve">облагаются</w:t>
      </w:r>
      <w:r>
        <w:rPr>
          <w:i/>
          <w:sz w:val="16"/>
          <w:szCs w:val="16"/>
        </w:rPr>
        <w:t xml:space="preserve"> </w:t>
      </w:r>
      <w:r>
        <w:rPr>
          <w:i/>
          <w:sz w:val="16"/>
          <w:szCs w:val="16"/>
        </w:rPr>
        <w:t xml:space="preserve">налогом</w:t>
      </w:r>
      <w:r>
        <w:rPr>
          <w:i/>
          <w:sz w:val="16"/>
          <w:szCs w:val="16"/>
        </w:rPr>
        <w:t xml:space="preserve"> </w:t>
      </w:r>
      <w:r>
        <w:rPr>
          <w:i/>
          <w:sz w:val="16"/>
          <w:szCs w:val="16"/>
        </w:rPr>
        <w:t xml:space="preserve">на</w:t>
      </w:r>
      <w:r>
        <w:rPr>
          <w:i/>
          <w:sz w:val="16"/>
          <w:szCs w:val="16"/>
        </w:rPr>
        <w:t xml:space="preserve"> </w:t>
      </w:r>
      <w:r>
        <w:rPr>
          <w:i/>
          <w:sz w:val="16"/>
          <w:szCs w:val="16"/>
        </w:rPr>
        <w:t xml:space="preserve">добавленную</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НДС</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дополнительно.</w:t>
      </w:r>
      <w:r>
        <w:rPr>
          <w:i/>
          <w:sz w:val="16"/>
          <w:szCs w:val="16"/>
        </w:rPr>
      </w:r>
      <w:r>
        <w:rPr>
          <w:i/>
          <w:sz w:val="16"/>
          <w:szCs w:val="16"/>
        </w:rPr>
      </w:r>
    </w:p>
    <w:p>
      <w:pPr>
        <w:pStyle w:val="1177"/>
      </w:pPr>
      <w:r/>
      <w:r/>
    </w:p>
    <w:p>
      <w:pPr>
        <w:pStyle w:val="1181"/>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77"/>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77"/>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7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7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7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77"/>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177"/>
              <w:rPr>
                <w:sz w:val="20"/>
                <w:szCs w:val="20"/>
              </w:rPr>
            </w:pPr>
            <w:r>
              <w:rPr>
                <w:sz w:val="20"/>
                <w:szCs w:val="20"/>
              </w:rPr>
              <w:t xml:space="preserve">Комиссия включает НДС»</w:t>
            </w:r>
            <w:r>
              <w:rPr>
                <w:sz w:val="20"/>
                <w:szCs w:val="20"/>
              </w:rPr>
            </w:r>
            <w:r>
              <w:rPr>
                <w:sz w:val="20"/>
                <w:szCs w:val="20"/>
              </w:rPr>
            </w:r>
          </w:p>
        </w:tc>
      </w:tr>
    </w:tbl>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sz w:val="22"/>
          <w:szCs w:val="22"/>
        </w:rPr>
      </w:pPr>
      <w:r>
        <w:rPr>
          <w:b/>
          <w:sz w:val="22"/>
          <w:szCs w:val="22"/>
        </w:rPr>
        <w:t xml:space="preserve">16. Операции с драгоценными металлами</w:t>
      </w:r>
      <w:r>
        <w:rPr>
          <w:b/>
          <w:sz w:val="22"/>
          <w:szCs w:val="22"/>
        </w:rPr>
      </w:r>
      <w:r>
        <w:rPr>
          <w:b/>
          <w:sz w:val="22"/>
          <w:szCs w:val="22"/>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794"/>
        <w:gridCol w:w="34"/>
        <w:gridCol w:w="269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77"/>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gridSpan w:val="2"/>
            <w:tcW w:w="3828" w:type="dxa"/>
            <w:vAlign w:val="center"/>
            <w:vMerge w:val="restart"/>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410" w:type="dxa"/>
            <w:vAlign w:val="center"/>
            <w:vMerge w:val="restart"/>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3828"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7"/>
              <w:jc w:val="center"/>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410"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spacing w:before="120" w:after="12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8965" w:type="dxa"/>
            <w:vAlign w:val="top"/>
            <w:textDirection w:val="lrTb"/>
            <w:noWrap w:val="false"/>
          </w:tcPr>
          <w:p>
            <w:pPr>
              <w:pStyle w:val="1177"/>
              <w:spacing w:before="120" w:after="120"/>
              <w:tabs>
                <w:tab w:val="left" w:pos="284" w:leader="none"/>
                <w:tab w:val="left" w:pos="993" w:leader="none"/>
              </w:tabs>
              <w:rPr>
                <w:b/>
                <w:sz w:val="20"/>
                <w:szCs w:val="20"/>
              </w:rPr>
            </w:pPr>
            <w:r>
              <w:rPr>
                <w:b/>
                <w:sz w:val="20"/>
                <w:szCs w:val="20"/>
              </w:rPr>
              <w:t xml:space="preserve">Ведение </w:t>
            </w:r>
            <w:r>
              <w:rPr>
                <w:rFonts w:eastAsia="Calibri"/>
                <w:b/>
                <w:bCs/>
                <w:color w:val="000000"/>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Открытие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Закрытие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Ежемесячное обслуживание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выписки по </w:t>
            </w:r>
            <w:r>
              <w:rPr>
                <w:rFonts w:eastAsia="Calibri"/>
                <w:bCs/>
                <w:color w:val="000000"/>
                <w:sz w:val="20"/>
                <w:szCs w:val="20"/>
              </w:rPr>
              <w:t xml:space="preserve">банковскому счету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дубликата выписки по </w:t>
            </w:r>
            <w:r>
              <w:rPr>
                <w:rFonts w:eastAsia="Calibri"/>
                <w:bCs/>
                <w:color w:val="000000"/>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справки по </w:t>
            </w:r>
            <w:r>
              <w:rPr>
                <w:rFonts w:eastAsia="Calibri"/>
                <w:bCs/>
                <w:color w:val="000000"/>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1" w:type="dxa"/>
            <w:vAlign w:val="top"/>
            <w:textDirection w:val="lrTb"/>
            <w:noWrap w:val="false"/>
          </w:tcPr>
          <w:p>
            <w:pPr>
              <w:pStyle w:val="1227"/>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201"/>
                <w:bCs/>
                <w:i/>
                <w:iCs/>
                <w:smallCaps/>
                <w:sz w:val="20"/>
                <w:szCs w:val="20"/>
              </w:rPr>
              <w:footnoteReference w:id="8"/>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201"/>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722" w:type="dxa"/>
              <w:tblInd w:w="0" w:type="dxa"/>
              <w:tblLayout w:type="fixed"/>
              <w:tblCellMar>
                <w:left w:w="108" w:type="dxa"/>
                <w:top w:w="0" w:type="dxa"/>
                <w:right w:w="108" w:type="dxa"/>
                <w:bottom w:w="0" w:type="dxa"/>
              </w:tblCellMar>
              <w:tblLook w:val="04A0" w:firstRow="1" w:lastRow="0" w:firstColumn="1" w:lastColumn="0" w:noHBand="0" w:noVBand="1"/>
            </w:tblPr>
            <w:tblGrid>
              <w:gridCol w:w="1192"/>
              <w:gridCol w:w="1530"/>
            </w:tblGrid>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201"/>
                <w:b/>
                <w:bCs/>
                <w:i/>
                <w:iCs/>
                <w:smallCaps/>
                <w:sz w:val="20"/>
                <w:szCs w:val="20"/>
              </w:rPr>
              <w:footnoteReference w:id="10"/>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608" w:type="dxa"/>
              <w:tblInd w:w="0" w:type="dxa"/>
              <w:tblLayout w:type="fixed"/>
              <w:tblCellMar>
                <w:left w:w="108" w:type="dxa"/>
                <w:top w:w="0" w:type="dxa"/>
                <w:right w:w="108" w:type="dxa"/>
                <w:bottom w:w="0" w:type="dxa"/>
              </w:tblCellMar>
              <w:tblLook w:val="04A0" w:firstRow="1" w:lastRow="0" w:firstColumn="1" w:lastColumn="0" w:noHBand="0" w:noVBand="1"/>
            </w:tblPr>
            <w:tblGrid>
              <w:gridCol w:w="1364"/>
              <w:gridCol w:w="1244"/>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7"/>
        <w:jc w:val="both"/>
        <w:rPr>
          <w:sz w:val="22"/>
          <w:szCs w:val="22"/>
        </w:rPr>
      </w:pPr>
      <w:r>
        <w:rPr>
          <w:sz w:val="22"/>
          <w:szCs w:val="22"/>
        </w:rPr>
      </w:r>
      <w:r>
        <w:rPr>
          <w:sz w:val="22"/>
          <w:szCs w:val="22"/>
        </w:rPr>
      </w:r>
      <w:r>
        <w:rPr>
          <w:sz w:val="22"/>
          <w:szCs w:val="22"/>
        </w:rPr>
      </w:r>
    </w:p>
    <w:p>
      <w:pPr>
        <w:pStyle w:val="1177"/>
        <w:ind w:left="720"/>
        <w:jc w:val="center"/>
        <w:keepNext/>
        <w:spacing w:after="40"/>
        <w:rPr>
          <w:b/>
          <w:bCs/>
          <w:sz w:val="22"/>
          <w:szCs w:val="22"/>
        </w:rPr>
        <w:outlineLvl w:val="1"/>
      </w:pPr>
      <w:r>
        <w:rPr>
          <w:b/>
          <w:bCs/>
          <w:sz w:val="22"/>
          <w:szCs w:val="22"/>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77"/>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Сопровождение Торговой системы РСХБ-Дилинг АО «Россельхозбанк» </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77"/>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Регистрация в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Подключение дополнительных счетов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Смена логина</w:t>
            </w:r>
            <w:r>
              <w:rPr>
                <w:rStyle w:val="1201"/>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Предоставление доступа в Торговую систему РСХБ-Дилинг 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Блокировка доступа/ возобновление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77"/>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77"/>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77"/>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77"/>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АО «Россельхозбанк».</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7"/>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77"/>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7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7"/>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77"/>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77"/>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77"/>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77"/>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Смена логина</w:t>
            </w:r>
            <w:r>
              <w:rPr>
                <w:rStyle w:val="1201"/>
                <w:bCs/>
                <w:sz w:val="20"/>
                <w:szCs w:val="20"/>
              </w:rPr>
              <w:footnoteReference w:id="12"/>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bl>
    <w:p>
      <w:pPr>
        <w:pStyle w:val="1177"/>
        <w:jc w:val="both"/>
        <w:rPr>
          <w:bCs/>
          <w:iCs/>
          <w:sz w:val="20"/>
          <w:szCs w:val="20"/>
        </w:rPr>
      </w:pPr>
      <w:r>
        <w:rPr>
          <w:bCs/>
          <w:iCs/>
          <w:sz w:val="20"/>
          <w:szCs w:val="20"/>
        </w:rPr>
      </w:r>
      <w:r>
        <w:rPr>
          <w:bCs/>
          <w:iCs/>
          <w:sz w:val="20"/>
          <w:szCs w:val="20"/>
        </w:rPr>
      </w:r>
      <w:r>
        <w:rPr>
          <w:bCs/>
          <w:iCs/>
          <w:sz w:val="20"/>
          <w:szCs w:val="20"/>
        </w:rPr>
      </w:r>
    </w:p>
    <w:p>
      <w:pPr>
        <w:pStyle w:val="117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7"/>
        <w:jc w:val="both"/>
        <w:keepNext/>
        <w:spacing w:after="40"/>
        <w:tabs>
          <w:tab w:val="left" w:pos="284" w:leader="none"/>
        </w:tabs>
        <w:rPr>
          <w:sz w:val="20"/>
          <w:szCs w:val="20"/>
          <w:highlight w:val="none"/>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sz w:val="20"/>
          <w:szCs w:val="20"/>
          <w:highlight w:val="none"/>
        </w:rPr>
      </w:r>
      <w:r>
        <w:rPr>
          <w:sz w:val="20"/>
          <w:szCs w:val="20"/>
          <w:highlight w:val="none"/>
        </w:rPr>
      </w:r>
    </w:p>
    <w:p>
      <w:pPr>
        <w:jc w:val="both"/>
        <w:keepNext/>
        <w:spacing w:after="40"/>
        <w:tabs>
          <w:tab w:val="left" w:pos="284" w:leader="none"/>
        </w:tabs>
        <w:rPr>
          <w:sz w:val="20"/>
          <w:szCs w:val="20"/>
          <w:highlight w:val="none"/>
        </w:rPr>
        <w:outlineLvl w:val="1"/>
      </w:pPr>
      <w:r>
        <w:rPr>
          <w:sz w:val="20"/>
          <w:szCs w:val="20"/>
          <w:highlight w:val="none"/>
        </w:rPr>
      </w:r>
      <w:r>
        <w:rPr>
          <w:sz w:val="20"/>
          <w:szCs w:val="20"/>
          <w:highlight w:val="none"/>
        </w:rPr>
      </w:r>
      <w:r>
        <w:rPr>
          <w:sz w:val="20"/>
          <w:szCs w:val="20"/>
          <w:highlight w:val="none"/>
        </w:rPr>
      </w:r>
    </w:p>
    <w:p>
      <w:pPr>
        <w:jc w:val="center"/>
        <w:keepNext/>
        <w:spacing w:after="40" w:line="240" w:lineRule="auto"/>
        <w:rPr>
          <w:rFonts w:ascii="Times New Roman" w:hAnsi="Times New Roman" w:eastAsia="Times New Roman"/>
          <w:b/>
          <w:bCs/>
          <w:sz w:val="24"/>
          <w:szCs w:val="24"/>
          <w:lang w:eastAsia="ru-RU"/>
        </w:rPr>
        <w:outlineLvl w:val="1"/>
      </w:pPr>
      <w:r/>
      <w:bookmarkStart w:id="16" w:name="_18._Операц"/>
      <w:r/>
      <w:bookmarkEnd w:id="16"/>
      <w:r>
        <w:rPr>
          <w:rFonts w:ascii="Times New Roman" w:hAnsi="Times New Roman" w:eastAsia="Times New Roman"/>
          <w:b/>
          <w:bCs/>
          <w:sz w:val="24"/>
          <w:szCs w:val="24"/>
          <w:lang w:eastAsia="ru-RU"/>
        </w:rPr>
        <w:t xml:space="preserve">18. Операции с использованием цифрового рубля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35"/>
        <w:gridCol w:w="3260"/>
        <w:gridCol w:w="1843"/>
        <w:gridCol w:w="4111"/>
      </w:tblGrid>
      <w:tr>
        <w:tblPrEx/>
        <w:trPr/>
        <w:tc>
          <w:tcPr>
            <w:tcW w:w="1135"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rPr>
            </w:r>
            <w:r>
              <w:rPr>
                <w:rFonts w:ascii="Times New Roman" w:hAnsi="Times New Roman" w:eastAsia="Times New Roman"/>
                <w:b/>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rPr>
            </w:r>
            <w:r>
              <w:rPr>
                <w:rFonts w:ascii="Times New Roman" w:hAnsi="Times New Roman" w:eastAsia="Times New Roman"/>
                <w:b/>
              </w:rPr>
            </w:r>
          </w:p>
        </w:tc>
        <w:tc>
          <w:tcPr>
            <w:tcW w:w="3260"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rPr>
            </w:r>
            <w:r>
              <w:rPr>
                <w:rFonts w:ascii="Times New Roman" w:hAnsi="Times New Roman" w:eastAsia="Times New Roman"/>
                <w:b/>
              </w:rPr>
            </w:r>
          </w:p>
        </w:tc>
        <w:tc>
          <w:tcPr>
            <w:tcW w:w="1843"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rPr>
            </w:r>
            <w:r>
              <w:rPr>
                <w:rFonts w:ascii="Times New Roman" w:hAnsi="Times New Roman" w:eastAsia="Times New Roman"/>
                <w:b/>
              </w:rPr>
            </w:r>
          </w:p>
        </w:tc>
        <w:tc>
          <w:tcPr>
            <w:tcW w:w="41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rPr>
            </w:r>
            <w:r>
              <w:rPr>
                <w:rFonts w:ascii="Times New Roman" w:hAnsi="Times New Roman" w:eastAsia="Times New Roman"/>
                <w:b/>
              </w:rPr>
            </w:r>
          </w:p>
        </w:tc>
      </w:tr>
      <w:tr>
        <w:tblPrEx/>
        <w:trPr/>
        <w:tc>
          <w:tcPr>
            <w:tcW w:w="1135" w:type="dxa"/>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rPr>
            </w:r>
            <w:r>
              <w:rPr>
                <w:rFonts w:ascii="Times New Roman" w:hAnsi="Times New Roman" w:eastAsia="Times New Roman"/>
                <w:b/>
              </w:rPr>
            </w:r>
          </w:p>
        </w:tc>
        <w:tc>
          <w:tcPr>
            <w:gridSpan w:val="3"/>
            <w:tcW w:w="9214" w:type="dxa"/>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rPr>
            </w:r>
            <w:r>
              <w:rPr>
                <w:rFonts w:ascii="Times New Roman" w:hAnsi="Times New Roman" w:eastAsia="Times New Roman"/>
                <w:b/>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rPr>
            </w:r>
            <w:r>
              <w:rPr>
                <w:rFonts w:ascii="Times New Roman" w:hAnsi="Times New Roman" w:eastAsia="Times New Roman"/>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rPr>
            </w:r>
            <w:r>
              <w:rPr>
                <w:rFonts w:ascii="Times New Roman" w:hAnsi="Times New Roman" w:eastAsia="Times New Roman"/>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rPr>
            </w:r>
            <w:r>
              <w:rPr>
                <w:rFonts w:ascii="Times New Roman" w:hAnsi="Times New Roman" w:eastAsia="Times New Roman"/>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rPr>
            </w:r>
            <w:r>
              <w:rPr>
                <w:rFonts w:ascii="Times New Roman" w:hAnsi="Times New Roman" w:eastAsia="Times New Roman"/>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bl>
    <w:p>
      <w:pPr>
        <w:ind w:left="-425" w:right="-284" w:firstLine="709"/>
        <w:jc w:val="both"/>
        <w:spacing w:before="120" w:after="0" w:line="240" w:lineRule="auto"/>
        <w:rPr>
          <w:rFonts w:ascii="Times New Roman" w:hAnsi="Times New Roman" w:eastAsia="Times New Roman"/>
          <w:sz w:val="24"/>
          <w:szCs w:val="24"/>
        </w:rPr>
      </w:pPr>
      <w:r>
        <w:rPr>
          <w:sz w:val="20"/>
          <w:szCs w:val="20"/>
        </w:rPr>
      </w:r>
      <w:bookmarkStart w:id="0" w:name="undefined"/>
      <w:r>
        <w:rPr>
          <w:sz w:val="20"/>
          <w:szCs w:val="20"/>
        </w:rPr>
      </w:r>
      <w:bookmarkEnd w:id="0"/>
      <w:r>
        <w:rPr>
          <w:rFonts w:ascii="Times New Roman" w:hAnsi="Times New Roman" w:eastAsia="Times New Roman"/>
          <w:sz w:val="20"/>
          <w:szCs w:val="20"/>
          <w:lang w:eastAsia="ru-RU"/>
        </w:rPr>
        <w:t xml:space="preserve">* Срок действия – до 31.12.202</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(включительно).</w:t>
      </w:r>
      <w:r>
        <w:rPr>
          <w:rFonts w:ascii="Times New Roman" w:hAnsi="Times New Roman" w:eastAsia="Times New Roman"/>
          <w:sz w:val="24"/>
          <w:szCs w:val="24"/>
        </w:rPr>
      </w:r>
      <w:r>
        <w:rPr>
          <w:rFonts w:ascii="Times New Roman" w:hAnsi="Times New Roman" w:eastAsia="Times New Roman"/>
          <w:sz w:val="24"/>
          <w:szCs w:val="24"/>
        </w:rPr>
      </w:r>
    </w:p>
    <w:p>
      <w:pPr>
        <w:jc w:val="both"/>
        <w:spacing w:after="0" w:line="240" w:lineRule="auto"/>
        <w:rPr>
          <w:rFonts w:ascii="Times New Roman" w:hAnsi="Times New Roman" w:eastAsia="Times New Roman"/>
          <w:bCs/>
          <w:iCs/>
          <w:sz w:val="24"/>
          <w:szCs w:val="24"/>
        </w:rPr>
      </w:pPr>
      <w:r>
        <w:rPr>
          <w:rFonts w:ascii="Times New Roman" w:hAnsi="Times New Roman" w:eastAsia="Times New Roman"/>
          <w:bCs/>
          <w:iCs/>
          <w:sz w:val="20"/>
          <w:szCs w:val="20"/>
          <w:lang w:eastAsia="ru-RU"/>
        </w:rPr>
      </w:r>
      <w:r>
        <w:rPr>
          <w:rFonts w:ascii="Times New Roman" w:hAnsi="Times New Roman" w:eastAsia="Times New Roman"/>
          <w:bCs/>
          <w:iCs/>
          <w:sz w:val="24"/>
          <w:szCs w:val="24"/>
        </w:rPr>
      </w:r>
      <w:r>
        <w:rPr>
          <w:rFonts w:ascii="Times New Roman" w:hAnsi="Times New Roman" w:eastAsia="Times New Roman"/>
          <w:bCs/>
          <w:iCs/>
          <w:sz w:val="24"/>
          <w:szCs w:val="24"/>
        </w:rPr>
      </w:r>
    </w:p>
    <w:p>
      <w:pPr>
        <w:jc w:val="both"/>
        <w:keepNext/>
        <w:spacing w:after="40"/>
        <w:tabs>
          <w:tab w:val="left" w:pos="284" w:leader="none"/>
        </w:tabs>
        <w:rPr>
          <w:sz w:val="20"/>
          <w:szCs w:val="20"/>
          <w:highlight w:val="none"/>
        </w:rPr>
        <w:outlineLvl w:val="1"/>
      </w:pPr>
      <w:r>
        <w:rPr>
          <w:bCs/>
          <w:iCs/>
          <w:sz w:val="20"/>
          <w:szCs w:val="20"/>
          <w:highlight w:val="none"/>
        </w:rPr>
      </w:r>
      <w:r>
        <w:rPr>
          <w:sz w:val="20"/>
          <w:szCs w:val="20"/>
          <w:highlight w:val="none"/>
        </w:rPr>
      </w:r>
      <w:r>
        <w:rPr>
          <w:sz w:val="20"/>
          <w:szCs w:val="20"/>
          <w:highlight w:val="none"/>
        </w:rPr>
      </w:r>
    </w:p>
    <w:sectPr>
      <w:headerReference w:type="default" r:id="rId9"/>
      <w:headerReference w:type="first" r:id="rId10"/>
      <w:footnotePr/>
      <w:endnotePr/>
      <w:type w:val="nextPage"/>
      <w:pgSz w:w="11906" w:h="16838" w:orient="portrait"/>
      <w:pgMar w:top="720" w:right="720" w:bottom="720" w:left="1287" w:header="567" w:footer="56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imesET">
    <w:panose1 w:val="02000603000000000000"/>
  </w:font>
  <w:font w:name="Tahoma">
    <w:panose1 w:val="020B0604030504040204"/>
  </w:font>
  <w:font w:name="Times New Roman">
    <w:panose1 w:val="02020603050405020304"/>
  </w:font>
  <w:font w:name="Calibri">
    <w:panose1 w:val="020F05020202040302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99"/>
        <w:jc w:val="both"/>
      </w:pPr>
      <w:r>
        <w:rPr>
          <w:rStyle w:val="1201"/>
        </w:rPr>
        <w:footnoteRef/>
      </w:r>
      <w:r>
        <w:rPr>
          <w:rStyle w:val="1201"/>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99"/>
      </w:pPr>
      <w:r>
        <w:rPr>
          <w:rStyle w:val="120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9"/>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99"/>
      </w:pPr>
      <w:r>
        <w:rPr>
          <w:rStyle w:val="120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9"/>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199"/>
        <w:rPr>
          <w:lang w:val="ru-RU"/>
        </w:rPr>
      </w:pPr>
      <w:r>
        <w:rPr>
          <w:lang w:val="ru-RU"/>
        </w:rPr>
      </w:r>
      <w:r>
        <w:rPr>
          <w:lang w:val="ru-RU"/>
        </w:rPr>
      </w:r>
      <w:r>
        <w:rPr>
          <w:lang w:val="ru-RU"/>
        </w:rPr>
      </w:r>
    </w:p>
  </w:footnote>
  <w:footnote w:id="5">
    <w:p>
      <w:pPr>
        <w:pStyle w:val="1199"/>
        <w:jc w:val="both"/>
      </w:pPr>
      <w:r>
        <w:rPr>
          <w:rStyle w:val="120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9"/>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99"/>
      </w:pPr>
      <w:r>
        <w:rPr>
          <w:rStyle w:val="120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9"/>
      </w:pP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177"/>
        <w:ind w:right="-17"/>
        <w:jc w:val="both"/>
        <w:spacing w:before="40" w:after="40"/>
        <w:tabs>
          <w:tab w:val="left" w:pos="4464" w:leader="none"/>
          <w:tab w:val="left" w:pos="5760" w:leader="none"/>
        </w:tabs>
        <w:rPr>
          <w:sz w:val="20"/>
          <w:szCs w:val="20"/>
        </w:rPr>
      </w:pPr>
      <w:r>
        <w:rPr>
          <w:rStyle w:val="1201"/>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1199"/>
        <w:rPr>
          <w:sz w:val="18"/>
          <w:szCs w:val="18"/>
          <w:lang w:val="ru-RU"/>
        </w:rPr>
      </w:pPr>
      <w:r>
        <w:rPr>
          <w:rStyle w:val="1201"/>
          <w:sz w:val="18"/>
          <w:szCs w:val="18"/>
        </w:rPr>
        <w:footnoteRef/>
      </w:r>
      <w:r>
        <w:rPr>
          <w:sz w:val="18"/>
          <w:szCs w:val="18"/>
        </w:rP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9">
    <w:p>
      <w:pPr>
        <w:pStyle w:val="1199"/>
        <w:jc w:val="both"/>
        <w:rPr>
          <w:sz w:val="18"/>
          <w:szCs w:val="18"/>
          <w:lang w:val="ru-RU"/>
        </w:rPr>
      </w:pPr>
      <w:r>
        <w:rPr>
          <w:rStyle w:val="120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99"/>
        <w:jc w:val="both"/>
        <w:rPr>
          <w:sz w:val="18"/>
          <w:szCs w:val="18"/>
          <w:lang w:val="ru-RU"/>
        </w:rPr>
      </w:pPr>
      <w:r>
        <w:rPr>
          <w:rStyle w:val="120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1">
    <w:p>
      <w:pPr>
        <w:pStyle w:val="1177"/>
        <w:jc w:val="both"/>
        <w:rPr>
          <w:bCs/>
          <w:sz w:val="18"/>
          <w:szCs w:val="18"/>
          <w:lang w:eastAsia="en-US"/>
        </w:rPr>
      </w:pPr>
      <w:r>
        <w:rPr>
          <w:rStyle w:val="12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9"/>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2">
    <w:p>
      <w:pPr>
        <w:pStyle w:val="1177"/>
        <w:jc w:val="both"/>
        <w:rPr>
          <w:bCs/>
          <w:sz w:val="18"/>
          <w:szCs w:val="18"/>
          <w:lang w:eastAsia="en-US"/>
        </w:rPr>
      </w:pPr>
      <w:r>
        <w:rPr>
          <w:rStyle w:val="12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9"/>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7"/>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61</w:t>
    </w:r>
    <w:r>
      <w:rPr>
        <w:sz w:val="20"/>
        <w:szCs w:val="20"/>
      </w:rPr>
      <w:fldChar w:fldCharType="end"/>
    </w:r>
    <w:r>
      <w:rPr>
        <w:sz w:val="20"/>
        <w:szCs w:val="20"/>
      </w:rPr>
    </w:r>
    <w:r>
      <w:rPr>
        <w:sz w:val="20"/>
        <w:szCs w:val="20"/>
      </w:rPr>
    </w:r>
  </w:p>
  <w:p>
    <w:pPr>
      <w:pStyle w:val="1177"/>
      <w:ind w:right="36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8"/>
      <w:rPr>
        <w:color w:val="ffffff"/>
        <w:lang w:val="ru-RU"/>
      </w:rPr>
    </w:pPr>
    <w:r>
      <w:rPr>
        <w:color w:val="ffffff"/>
        <w:lang w:val="ru-RU"/>
      </w:rPr>
      <w:t xml:space="preserve">2013.09.25</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
    <w:multiLevelType w:val="hybridMultilevel"/>
    <w:lvl w:ilvl="0">
      <w:start w:val="1"/>
      <w:numFmt w:val="decimal"/>
      <w:isLgl w:val="false"/>
      <w:suff w:val="tab"/>
      <w:lvlText w:val="%1."/>
      <w:lvlJc w:val="left"/>
      <w:pPr>
        <w:ind w:left="4188" w:hanging="360"/>
      </w:pPr>
    </w:lvl>
    <w:lvl w:ilvl="1">
      <w:start w:val="1"/>
      <w:numFmt w:val="lowerLetter"/>
      <w:isLgl w:val="false"/>
      <w:suff w:val="tab"/>
      <w:lvlText w:val="%2."/>
      <w:lvlJc w:val="left"/>
      <w:pPr>
        <w:ind w:left="4908" w:hanging="360"/>
      </w:pPr>
    </w:lvl>
    <w:lvl w:ilvl="2">
      <w:start w:val="1"/>
      <w:numFmt w:val="lowerRoman"/>
      <w:isLgl w:val="false"/>
      <w:suff w:val="tab"/>
      <w:lvlText w:val="%3."/>
      <w:lvlJc w:val="right"/>
      <w:pPr>
        <w:ind w:left="5628" w:hanging="180"/>
      </w:pPr>
    </w:lvl>
    <w:lvl w:ilvl="3">
      <w:start w:val="1"/>
      <w:numFmt w:val="decimal"/>
      <w:isLgl w:val="false"/>
      <w:suff w:val="tab"/>
      <w:lvlText w:val="%4."/>
      <w:lvlJc w:val="left"/>
      <w:pPr>
        <w:ind w:left="6348" w:hanging="360"/>
      </w:pPr>
    </w:lvl>
    <w:lvl w:ilvl="4">
      <w:start w:val="1"/>
      <w:numFmt w:val="lowerLetter"/>
      <w:isLgl w:val="false"/>
      <w:suff w:val="tab"/>
      <w:lvlText w:val="%5."/>
      <w:lvlJc w:val="left"/>
      <w:pPr>
        <w:ind w:left="7068" w:hanging="360"/>
      </w:pPr>
    </w:lvl>
    <w:lvl w:ilvl="5">
      <w:start w:val="1"/>
      <w:numFmt w:val="lowerRoman"/>
      <w:isLgl w:val="false"/>
      <w:suff w:val="tab"/>
      <w:lvlText w:val="%6."/>
      <w:lvlJc w:val="right"/>
      <w:pPr>
        <w:ind w:left="7788" w:hanging="180"/>
      </w:pPr>
    </w:lvl>
    <w:lvl w:ilvl="6">
      <w:start w:val="1"/>
      <w:numFmt w:val="decimal"/>
      <w:isLgl w:val="false"/>
      <w:suff w:val="tab"/>
      <w:lvlText w:val="%7."/>
      <w:lvlJc w:val="left"/>
      <w:pPr>
        <w:ind w:left="8508" w:hanging="360"/>
      </w:pPr>
    </w:lvl>
    <w:lvl w:ilvl="7">
      <w:start w:val="1"/>
      <w:numFmt w:val="lowerLetter"/>
      <w:isLgl w:val="false"/>
      <w:suff w:val="tab"/>
      <w:lvlText w:val="%8."/>
      <w:lvlJc w:val="left"/>
      <w:pPr>
        <w:ind w:left="9228" w:hanging="360"/>
      </w:pPr>
    </w:lvl>
    <w:lvl w:ilvl="8">
      <w:start w:val="1"/>
      <w:numFmt w:val="lowerRoman"/>
      <w:isLgl w:val="false"/>
      <w:suff w:val="tab"/>
      <w:lvlText w:val="%9."/>
      <w:lvlJc w:val="right"/>
      <w:pPr>
        <w:ind w:left="9948"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decimal"/>
      <w:isLgl w:val="false"/>
      <w:suff w:val="tab"/>
      <w:lvlText w:val="%1."/>
      <w:lvlJc w:val="left"/>
      <w:pPr>
        <w:ind w:left="480" w:hanging="480"/>
        <w:tabs>
          <w:tab w:val="num" w:pos="480" w:leader="none"/>
        </w:tabs>
      </w:pPr>
      <w:rPr>
        <w:rFonts w:cs="Times New Roman"/>
      </w:rPr>
    </w:lvl>
    <w:lvl w:ilvl="1">
      <w:start w:val="1"/>
      <w:numFmt w:val="decimal"/>
      <w:isLgl w:val="false"/>
      <w:suff w:val="tab"/>
      <w:lvlText w:val="%1.%2."/>
      <w:lvlJc w:val="left"/>
      <w:pPr>
        <w:ind w:left="1188" w:hanging="480"/>
        <w:tabs>
          <w:tab w:val="num" w:pos="1188" w:leader="none"/>
        </w:tabs>
      </w:pPr>
      <w:rPr>
        <w:rFonts w:cs="Times New Roman"/>
      </w:rPr>
    </w:lvl>
    <w:lvl w:ilvl="2">
      <w:start w:val="1"/>
      <w:numFmt w:val="decimal"/>
      <w:isLgl w:val="false"/>
      <w:suff w:val="tab"/>
      <w:lvlText w:val="%1.%2.%3."/>
      <w:lvlJc w:val="left"/>
      <w:pPr>
        <w:ind w:left="2136" w:hanging="720"/>
        <w:tabs>
          <w:tab w:val="num" w:pos="2136" w:leader="none"/>
        </w:tabs>
      </w:pPr>
      <w:rPr>
        <w:rFonts w:cs="Times New Roman"/>
      </w:rPr>
    </w:lvl>
    <w:lvl w:ilvl="3">
      <w:start w:val="1"/>
      <w:numFmt w:val="decimal"/>
      <w:isLgl w:val="false"/>
      <w:suff w:val="tab"/>
      <w:lvlText w:val="%1.%2.%3.%4."/>
      <w:lvlJc w:val="left"/>
      <w:pPr>
        <w:ind w:left="2844" w:hanging="720"/>
        <w:tabs>
          <w:tab w:val="num" w:pos="2844" w:leader="none"/>
        </w:tabs>
      </w:pPr>
      <w:rPr>
        <w:rFonts w:cs="Times New Roman"/>
      </w:rPr>
    </w:lvl>
    <w:lvl w:ilvl="4">
      <w:start w:val="1"/>
      <w:numFmt w:val="decimal"/>
      <w:isLgl w:val="false"/>
      <w:suff w:val="tab"/>
      <w:lvlText w:val="%1.%2.%3.%4.%5."/>
      <w:lvlJc w:val="left"/>
      <w:pPr>
        <w:ind w:left="3912" w:hanging="1080"/>
        <w:tabs>
          <w:tab w:val="num" w:pos="3912" w:leader="none"/>
        </w:tabs>
      </w:pPr>
      <w:rPr>
        <w:rFonts w:cs="Times New Roman"/>
      </w:rPr>
    </w:lvl>
    <w:lvl w:ilvl="5">
      <w:start w:val="1"/>
      <w:numFmt w:val="decimal"/>
      <w:isLgl w:val="false"/>
      <w:suff w:val="tab"/>
      <w:lvlText w:val="%1.%2.%3.%4.%5.%6."/>
      <w:lvlJc w:val="left"/>
      <w:pPr>
        <w:ind w:left="4620" w:hanging="1080"/>
        <w:tabs>
          <w:tab w:val="num" w:pos="4620" w:leader="none"/>
        </w:tabs>
      </w:pPr>
      <w:rPr>
        <w:rFonts w:cs="Times New Roman"/>
      </w:rPr>
    </w:lvl>
    <w:lvl w:ilvl="6">
      <w:start w:val="1"/>
      <w:numFmt w:val="decimal"/>
      <w:isLgl w:val="false"/>
      <w:suff w:val="tab"/>
      <w:lvlText w:val="%1.%2.%3.%4.%5.%6.%7."/>
      <w:lvlJc w:val="left"/>
      <w:pPr>
        <w:ind w:left="5688" w:hanging="1440"/>
        <w:tabs>
          <w:tab w:val="num" w:pos="5688" w:leader="none"/>
        </w:tabs>
      </w:pPr>
      <w:rPr>
        <w:rFonts w:cs="Times New Roman"/>
      </w:rPr>
    </w:lvl>
    <w:lvl w:ilvl="7">
      <w:start w:val="1"/>
      <w:numFmt w:val="decimal"/>
      <w:isLgl w:val="false"/>
      <w:suff w:val="tab"/>
      <w:lvlText w:val="%1.%2.%3.%4.%5.%6.%7.%8."/>
      <w:lvlJc w:val="left"/>
      <w:pPr>
        <w:ind w:left="6396" w:hanging="1440"/>
        <w:tabs>
          <w:tab w:val="num" w:pos="6396" w:leader="none"/>
        </w:tabs>
      </w:pPr>
      <w:rPr>
        <w:rFonts w:cs="Times New Roman"/>
      </w:rPr>
    </w:lvl>
    <w:lvl w:ilvl="8">
      <w:start w:val="1"/>
      <w:numFmt w:val="decimal"/>
      <w:isLgl w:val="false"/>
      <w:suff w:val="tab"/>
      <w:lvlText w:val="%1.%2.%3.%4.%5.%6.%7.%8.%9."/>
      <w:lvlJc w:val="left"/>
      <w:pPr>
        <w:ind w:left="7464" w:hanging="1800"/>
        <w:tabs>
          <w:tab w:val="num" w:pos="7464" w:leader="none"/>
        </w:tabs>
      </w:pPr>
      <w:rPr>
        <w:rFonts w:cs="Times New Roman"/>
      </w:rPr>
    </w:lvl>
  </w:abstractNum>
  <w:abstractNum w:abstractNumId="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7"/>
      <w:numFmt w:val="bullet"/>
      <w:isLgl w:val="false"/>
      <w:suff w:val="tab"/>
      <w:lvlText w:val="-"/>
      <w:lvlJc w:val="left"/>
      <w:pPr>
        <w:ind w:left="369" w:hanging="360"/>
      </w:pPr>
      <w:rPr>
        <w:rFonts w:ascii="Times New Roman" w:hAnsi="Times New Roman" w:eastAsia="Times New Roman" w:cs="Times New Roman"/>
      </w:rPr>
    </w:lvl>
    <w:lvl w:ilvl="1">
      <w:start w:val="1"/>
      <w:numFmt w:val="bullet"/>
      <w:isLgl w:val="false"/>
      <w:suff w:val="tab"/>
      <w:lvlText w:val="o"/>
      <w:lvlJc w:val="left"/>
      <w:pPr>
        <w:ind w:left="1089" w:hanging="360"/>
      </w:pPr>
      <w:rPr>
        <w:rFonts w:ascii="Courier New" w:hAnsi="Courier New" w:cs="Courier New"/>
      </w:rPr>
    </w:lvl>
    <w:lvl w:ilvl="2">
      <w:start w:val="1"/>
      <w:numFmt w:val="bullet"/>
      <w:isLgl w:val="false"/>
      <w:suff w:val="tab"/>
      <w:lvlText w:val=""/>
      <w:lvlJc w:val="left"/>
      <w:pPr>
        <w:ind w:left="1809" w:hanging="360"/>
      </w:pPr>
      <w:rPr>
        <w:rFonts w:ascii="Wingdings" w:hAnsi="Wingdings"/>
      </w:rPr>
    </w:lvl>
    <w:lvl w:ilvl="3">
      <w:start w:val="1"/>
      <w:numFmt w:val="bullet"/>
      <w:isLgl w:val="false"/>
      <w:suff w:val="tab"/>
      <w:lvlText w:val=""/>
      <w:lvlJc w:val="left"/>
      <w:pPr>
        <w:ind w:left="2529" w:hanging="360"/>
      </w:pPr>
      <w:rPr>
        <w:rFonts w:ascii="Symbol" w:hAnsi="Symbol"/>
      </w:rPr>
    </w:lvl>
    <w:lvl w:ilvl="4">
      <w:start w:val="1"/>
      <w:numFmt w:val="bullet"/>
      <w:isLgl w:val="false"/>
      <w:suff w:val="tab"/>
      <w:lvlText w:val="o"/>
      <w:lvlJc w:val="left"/>
      <w:pPr>
        <w:ind w:left="3249" w:hanging="360"/>
      </w:pPr>
      <w:rPr>
        <w:rFonts w:ascii="Courier New" w:hAnsi="Courier New" w:cs="Courier New"/>
      </w:rPr>
    </w:lvl>
    <w:lvl w:ilvl="5">
      <w:start w:val="1"/>
      <w:numFmt w:val="bullet"/>
      <w:isLgl w:val="false"/>
      <w:suff w:val="tab"/>
      <w:lvlText w:val=""/>
      <w:lvlJc w:val="left"/>
      <w:pPr>
        <w:ind w:left="3969" w:hanging="360"/>
      </w:pPr>
      <w:rPr>
        <w:rFonts w:ascii="Wingdings" w:hAnsi="Wingdings"/>
      </w:rPr>
    </w:lvl>
    <w:lvl w:ilvl="6">
      <w:start w:val="1"/>
      <w:numFmt w:val="bullet"/>
      <w:isLgl w:val="false"/>
      <w:suff w:val="tab"/>
      <w:lvlText w:val=""/>
      <w:lvlJc w:val="left"/>
      <w:pPr>
        <w:ind w:left="4689" w:hanging="360"/>
      </w:pPr>
      <w:rPr>
        <w:rFonts w:ascii="Symbol" w:hAnsi="Symbol"/>
      </w:rPr>
    </w:lvl>
    <w:lvl w:ilvl="7">
      <w:start w:val="1"/>
      <w:numFmt w:val="bullet"/>
      <w:isLgl w:val="false"/>
      <w:suff w:val="tab"/>
      <w:lvlText w:val="o"/>
      <w:lvlJc w:val="left"/>
      <w:pPr>
        <w:ind w:left="5409" w:hanging="360"/>
      </w:pPr>
      <w:rPr>
        <w:rFonts w:ascii="Courier New" w:hAnsi="Courier New" w:cs="Courier New"/>
      </w:rPr>
    </w:lvl>
    <w:lvl w:ilvl="8">
      <w:start w:val="1"/>
      <w:numFmt w:val="bullet"/>
      <w:isLgl w:val="false"/>
      <w:suff w:val="tab"/>
      <w:lvlText w:val=""/>
      <w:lvlJc w:val="left"/>
      <w:pPr>
        <w:ind w:left="6129" w:hanging="360"/>
      </w:pPr>
      <w:rPr>
        <w:rFonts w:ascii="Wingdings" w:hAnsi="Wingdings"/>
      </w:rPr>
    </w:lvl>
  </w:abstractNum>
  <w:abstractNum w:abstractNumId="1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300"/>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7">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9">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num w:numId="1">
    <w:abstractNumId w:val="8"/>
  </w:num>
  <w:num w:numId="2">
    <w:abstractNumId w:val="26"/>
  </w:num>
  <w:num w:numId="3">
    <w:abstractNumId w:val="35"/>
  </w:num>
  <w:num w:numId="4">
    <w:abstractNumId w:val="18"/>
  </w:num>
  <w:num w:numId="5">
    <w:abstractNumId w:val="25"/>
  </w:num>
  <w:num w:numId="6">
    <w:abstractNumId w:val="38"/>
  </w:num>
  <w:num w:numId="7">
    <w:abstractNumId w:val="17"/>
  </w:num>
  <w:num w:numId="8">
    <w:abstractNumId w:val="33"/>
  </w:num>
  <w:num w:numId="9">
    <w:abstractNumId w:val="10"/>
  </w:num>
  <w:num w:numId="10">
    <w:abstractNumId w:val="9"/>
  </w:num>
  <w:num w:numId="11">
    <w:abstractNumId w:val="7"/>
  </w:num>
  <w:num w:numId="12">
    <w:abstractNumId w:val="13"/>
  </w:num>
  <w:num w:numId="13">
    <w:abstractNumId w:val="20"/>
  </w:num>
  <w:num w:numId="14">
    <w:abstractNumId w:val="15"/>
  </w:num>
  <w:num w:numId="15">
    <w:abstractNumId w:val="5"/>
  </w:num>
  <w:num w:numId="16">
    <w:abstractNumId w:val="0"/>
  </w:num>
  <w:num w:numId="17">
    <w:abstractNumId w:val="29"/>
  </w:num>
  <w:num w:numId="18">
    <w:abstractNumId w:val="19"/>
  </w:num>
  <w:num w:numId="19">
    <w:abstractNumId w:val="21"/>
  </w:num>
  <w:num w:numId="20">
    <w:abstractNumId w:val="28"/>
  </w:num>
  <w:num w:numId="21">
    <w:abstractNumId w:val="1"/>
  </w:num>
  <w:num w:numId="22">
    <w:abstractNumId w:val="30"/>
  </w:num>
  <w:num w:numId="23">
    <w:abstractNumId w:val="12"/>
  </w:num>
  <w:num w:numId="24">
    <w:abstractNumId w:val="27"/>
  </w:num>
  <w:num w:numId="25">
    <w:abstractNumId w:val="24"/>
  </w:num>
  <w:num w:numId="26">
    <w:abstractNumId w:val="2"/>
  </w:num>
  <w:num w:numId="27">
    <w:abstractNumId w:val="32"/>
  </w:num>
  <w:num w:numId="28">
    <w:abstractNumId w:val="3"/>
  </w:num>
  <w:num w:numId="29">
    <w:abstractNumId w:val="3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1"/>
  </w:num>
  <w:num w:numId="33">
    <w:abstractNumId w:val="14"/>
  </w:num>
  <w:num w:numId="34">
    <w:abstractNumId w:val="36"/>
  </w:num>
  <w:num w:numId="35">
    <w:abstractNumId w:val="23"/>
  </w:num>
  <w:num w:numId="36">
    <w:abstractNumId w:val="22"/>
  </w:num>
  <w:num w:numId="37">
    <w:abstractNumId w:val="16"/>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99">
    <w:name w:val="Heading 1"/>
    <w:basedOn w:val="1177"/>
    <w:next w:val="1177"/>
    <w:link w:val="1000"/>
    <w:uiPriority w:val="9"/>
    <w:qFormat/>
    <w:pPr>
      <w:keepLines/>
      <w:keepNext/>
      <w:spacing w:before="480" w:after="200"/>
      <w:outlineLvl w:val="0"/>
    </w:pPr>
    <w:rPr>
      <w:rFonts w:ascii="Arial" w:hAnsi="Arial" w:eastAsia="Arial" w:cs="Arial"/>
      <w:sz w:val="40"/>
      <w:szCs w:val="40"/>
    </w:rPr>
  </w:style>
  <w:style w:type="character" w:styleId="1000">
    <w:name w:val="Heading 1 Char"/>
    <w:link w:val="999"/>
    <w:uiPriority w:val="9"/>
    <w:rPr>
      <w:rFonts w:ascii="Arial" w:hAnsi="Arial" w:eastAsia="Arial" w:cs="Arial"/>
      <w:sz w:val="40"/>
      <w:szCs w:val="40"/>
    </w:rPr>
  </w:style>
  <w:style w:type="paragraph" w:styleId="1001">
    <w:name w:val="Heading 2"/>
    <w:basedOn w:val="1177"/>
    <w:next w:val="1177"/>
    <w:link w:val="1002"/>
    <w:uiPriority w:val="9"/>
    <w:unhideWhenUsed/>
    <w:qFormat/>
    <w:pPr>
      <w:keepLines/>
      <w:keepNext/>
      <w:spacing w:before="360" w:after="200"/>
      <w:outlineLvl w:val="1"/>
    </w:pPr>
    <w:rPr>
      <w:rFonts w:ascii="Arial" w:hAnsi="Arial" w:eastAsia="Arial" w:cs="Arial"/>
      <w:sz w:val="34"/>
    </w:rPr>
  </w:style>
  <w:style w:type="character" w:styleId="1002">
    <w:name w:val="Heading 2 Char"/>
    <w:link w:val="1001"/>
    <w:uiPriority w:val="9"/>
    <w:rPr>
      <w:rFonts w:ascii="Arial" w:hAnsi="Arial" w:eastAsia="Arial" w:cs="Arial"/>
      <w:sz w:val="34"/>
    </w:rPr>
  </w:style>
  <w:style w:type="paragraph" w:styleId="1003">
    <w:name w:val="Heading 3"/>
    <w:basedOn w:val="1177"/>
    <w:next w:val="1177"/>
    <w:link w:val="1004"/>
    <w:uiPriority w:val="9"/>
    <w:unhideWhenUsed/>
    <w:qFormat/>
    <w:pPr>
      <w:keepLines/>
      <w:keepNext/>
      <w:spacing w:before="320" w:after="200"/>
      <w:outlineLvl w:val="2"/>
    </w:pPr>
    <w:rPr>
      <w:rFonts w:ascii="Arial" w:hAnsi="Arial" w:eastAsia="Arial" w:cs="Arial"/>
      <w:sz w:val="30"/>
      <w:szCs w:val="30"/>
    </w:rPr>
  </w:style>
  <w:style w:type="character" w:styleId="1004">
    <w:name w:val="Heading 3 Char"/>
    <w:link w:val="1003"/>
    <w:uiPriority w:val="9"/>
    <w:rPr>
      <w:rFonts w:ascii="Arial" w:hAnsi="Arial" w:eastAsia="Arial" w:cs="Arial"/>
      <w:sz w:val="30"/>
      <w:szCs w:val="30"/>
    </w:rPr>
  </w:style>
  <w:style w:type="paragraph" w:styleId="1005">
    <w:name w:val="Heading 4"/>
    <w:basedOn w:val="1177"/>
    <w:next w:val="1177"/>
    <w:link w:val="1006"/>
    <w:uiPriority w:val="9"/>
    <w:unhideWhenUsed/>
    <w:qFormat/>
    <w:pPr>
      <w:keepLines/>
      <w:keepNext/>
      <w:spacing w:before="320" w:after="200"/>
      <w:outlineLvl w:val="3"/>
    </w:pPr>
    <w:rPr>
      <w:rFonts w:ascii="Arial" w:hAnsi="Arial" w:eastAsia="Arial" w:cs="Arial"/>
      <w:b/>
      <w:bCs/>
      <w:sz w:val="26"/>
      <w:szCs w:val="26"/>
    </w:rPr>
  </w:style>
  <w:style w:type="character" w:styleId="1006">
    <w:name w:val="Heading 4 Char"/>
    <w:link w:val="1005"/>
    <w:uiPriority w:val="9"/>
    <w:rPr>
      <w:rFonts w:ascii="Arial" w:hAnsi="Arial" w:eastAsia="Arial" w:cs="Arial"/>
      <w:b/>
      <w:bCs/>
      <w:sz w:val="26"/>
      <w:szCs w:val="26"/>
    </w:rPr>
  </w:style>
  <w:style w:type="paragraph" w:styleId="1007">
    <w:name w:val="Heading 5"/>
    <w:basedOn w:val="1177"/>
    <w:next w:val="1177"/>
    <w:link w:val="1008"/>
    <w:uiPriority w:val="9"/>
    <w:unhideWhenUsed/>
    <w:qFormat/>
    <w:pPr>
      <w:keepLines/>
      <w:keepNext/>
      <w:spacing w:before="320" w:after="200"/>
      <w:outlineLvl w:val="4"/>
    </w:pPr>
    <w:rPr>
      <w:rFonts w:ascii="Arial" w:hAnsi="Arial" w:eastAsia="Arial" w:cs="Arial"/>
      <w:b/>
      <w:bCs/>
      <w:sz w:val="24"/>
      <w:szCs w:val="24"/>
    </w:rPr>
  </w:style>
  <w:style w:type="character" w:styleId="1008">
    <w:name w:val="Heading 5 Char"/>
    <w:link w:val="1007"/>
    <w:uiPriority w:val="9"/>
    <w:rPr>
      <w:rFonts w:ascii="Arial" w:hAnsi="Arial" w:eastAsia="Arial" w:cs="Arial"/>
      <w:b/>
      <w:bCs/>
      <w:sz w:val="24"/>
      <w:szCs w:val="24"/>
    </w:rPr>
  </w:style>
  <w:style w:type="paragraph" w:styleId="1009">
    <w:name w:val="Heading 6"/>
    <w:basedOn w:val="1177"/>
    <w:next w:val="1177"/>
    <w:link w:val="1010"/>
    <w:uiPriority w:val="9"/>
    <w:unhideWhenUsed/>
    <w:qFormat/>
    <w:pPr>
      <w:keepLines/>
      <w:keepNext/>
      <w:spacing w:before="320" w:after="200"/>
      <w:outlineLvl w:val="5"/>
    </w:pPr>
    <w:rPr>
      <w:rFonts w:ascii="Arial" w:hAnsi="Arial" w:eastAsia="Arial" w:cs="Arial"/>
      <w:b/>
      <w:bCs/>
      <w:sz w:val="22"/>
      <w:szCs w:val="22"/>
    </w:rPr>
  </w:style>
  <w:style w:type="character" w:styleId="1010">
    <w:name w:val="Heading 6 Char"/>
    <w:link w:val="1009"/>
    <w:uiPriority w:val="9"/>
    <w:rPr>
      <w:rFonts w:ascii="Arial" w:hAnsi="Arial" w:eastAsia="Arial" w:cs="Arial"/>
      <w:b/>
      <w:bCs/>
      <w:sz w:val="22"/>
      <w:szCs w:val="22"/>
    </w:rPr>
  </w:style>
  <w:style w:type="paragraph" w:styleId="1011">
    <w:name w:val="Heading 7"/>
    <w:basedOn w:val="1177"/>
    <w:next w:val="1177"/>
    <w:link w:val="1012"/>
    <w:uiPriority w:val="9"/>
    <w:unhideWhenUsed/>
    <w:qFormat/>
    <w:pPr>
      <w:keepLines/>
      <w:keepNext/>
      <w:spacing w:before="320" w:after="200"/>
      <w:outlineLvl w:val="6"/>
    </w:pPr>
    <w:rPr>
      <w:rFonts w:ascii="Arial" w:hAnsi="Arial" w:eastAsia="Arial" w:cs="Arial"/>
      <w:b/>
      <w:bCs/>
      <w:i/>
      <w:iCs/>
      <w:sz w:val="22"/>
      <w:szCs w:val="22"/>
    </w:rPr>
  </w:style>
  <w:style w:type="character" w:styleId="1012">
    <w:name w:val="Heading 7 Char"/>
    <w:link w:val="1011"/>
    <w:uiPriority w:val="9"/>
    <w:rPr>
      <w:rFonts w:ascii="Arial" w:hAnsi="Arial" w:eastAsia="Arial" w:cs="Arial"/>
      <w:b/>
      <w:bCs/>
      <w:i/>
      <w:iCs/>
      <w:sz w:val="22"/>
      <w:szCs w:val="22"/>
    </w:rPr>
  </w:style>
  <w:style w:type="paragraph" w:styleId="1013">
    <w:name w:val="Heading 8"/>
    <w:basedOn w:val="1177"/>
    <w:next w:val="1177"/>
    <w:link w:val="1014"/>
    <w:uiPriority w:val="9"/>
    <w:unhideWhenUsed/>
    <w:qFormat/>
    <w:pPr>
      <w:keepLines/>
      <w:keepNext/>
      <w:spacing w:before="320" w:after="200"/>
      <w:outlineLvl w:val="7"/>
    </w:pPr>
    <w:rPr>
      <w:rFonts w:ascii="Arial" w:hAnsi="Arial" w:eastAsia="Arial" w:cs="Arial"/>
      <w:i/>
      <w:iCs/>
      <w:sz w:val="22"/>
      <w:szCs w:val="22"/>
    </w:rPr>
  </w:style>
  <w:style w:type="character" w:styleId="1014">
    <w:name w:val="Heading 8 Char"/>
    <w:link w:val="1013"/>
    <w:uiPriority w:val="9"/>
    <w:rPr>
      <w:rFonts w:ascii="Arial" w:hAnsi="Arial" w:eastAsia="Arial" w:cs="Arial"/>
      <w:i/>
      <w:iCs/>
      <w:sz w:val="22"/>
      <w:szCs w:val="22"/>
    </w:rPr>
  </w:style>
  <w:style w:type="paragraph" w:styleId="1015">
    <w:name w:val="Heading 9"/>
    <w:basedOn w:val="1177"/>
    <w:next w:val="1177"/>
    <w:link w:val="1016"/>
    <w:uiPriority w:val="9"/>
    <w:unhideWhenUsed/>
    <w:qFormat/>
    <w:pPr>
      <w:keepLines/>
      <w:keepNext/>
      <w:spacing w:before="320" w:after="200"/>
      <w:outlineLvl w:val="8"/>
    </w:pPr>
    <w:rPr>
      <w:rFonts w:ascii="Arial" w:hAnsi="Arial" w:eastAsia="Arial" w:cs="Arial"/>
      <w:i/>
      <w:iCs/>
      <w:sz w:val="21"/>
      <w:szCs w:val="21"/>
    </w:rPr>
  </w:style>
  <w:style w:type="character" w:styleId="1016">
    <w:name w:val="Heading 9 Char"/>
    <w:link w:val="1015"/>
    <w:uiPriority w:val="9"/>
    <w:rPr>
      <w:rFonts w:ascii="Arial" w:hAnsi="Arial" w:eastAsia="Arial" w:cs="Arial"/>
      <w:i/>
      <w:iCs/>
      <w:sz w:val="21"/>
      <w:szCs w:val="21"/>
    </w:rPr>
  </w:style>
  <w:style w:type="paragraph" w:styleId="1017">
    <w:name w:val="List Paragraph"/>
    <w:basedOn w:val="1177"/>
    <w:uiPriority w:val="34"/>
    <w:qFormat/>
    <w:pPr>
      <w:contextualSpacing/>
      <w:ind w:left="720"/>
    </w:pPr>
  </w:style>
  <w:style w:type="paragraph" w:styleId="1018">
    <w:name w:val="No Spacing"/>
    <w:uiPriority w:val="1"/>
    <w:qFormat/>
    <w:pPr>
      <w:spacing w:before="0" w:after="0" w:line="240" w:lineRule="auto"/>
    </w:pPr>
  </w:style>
  <w:style w:type="paragraph" w:styleId="1019">
    <w:name w:val="Title"/>
    <w:basedOn w:val="1177"/>
    <w:next w:val="1177"/>
    <w:link w:val="1020"/>
    <w:uiPriority w:val="10"/>
    <w:qFormat/>
    <w:pPr>
      <w:contextualSpacing/>
      <w:spacing w:before="300" w:after="200"/>
    </w:pPr>
    <w:rPr>
      <w:sz w:val="48"/>
      <w:szCs w:val="48"/>
    </w:rPr>
  </w:style>
  <w:style w:type="character" w:styleId="1020">
    <w:name w:val="Title Char"/>
    <w:link w:val="1019"/>
    <w:uiPriority w:val="10"/>
    <w:rPr>
      <w:sz w:val="48"/>
      <w:szCs w:val="48"/>
    </w:rPr>
  </w:style>
  <w:style w:type="paragraph" w:styleId="1021">
    <w:name w:val="Subtitle"/>
    <w:basedOn w:val="1177"/>
    <w:next w:val="1177"/>
    <w:link w:val="1022"/>
    <w:uiPriority w:val="11"/>
    <w:qFormat/>
    <w:pPr>
      <w:spacing w:before="200" w:after="200"/>
    </w:pPr>
    <w:rPr>
      <w:sz w:val="24"/>
      <w:szCs w:val="24"/>
    </w:rPr>
  </w:style>
  <w:style w:type="character" w:styleId="1022">
    <w:name w:val="Subtitle Char"/>
    <w:link w:val="1021"/>
    <w:uiPriority w:val="11"/>
    <w:rPr>
      <w:sz w:val="24"/>
      <w:szCs w:val="24"/>
    </w:rPr>
  </w:style>
  <w:style w:type="paragraph" w:styleId="1023">
    <w:name w:val="Quote"/>
    <w:basedOn w:val="1177"/>
    <w:next w:val="1177"/>
    <w:link w:val="1024"/>
    <w:uiPriority w:val="29"/>
    <w:qFormat/>
    <w:pPr>
      <w:ind w:left="720" w:right="720"/>
    </w:pPr>
    <w:rPr>
      <w:i/>
    </w:rPr>
  </w:style>
  <w:style w:type="character" w:styleId="1024">
    <w:name w:val="Quote Char"/>
    <w:link w:val="1023"/>
    <w:uiPriority w:val="29"/>
    <w:rPr>
      <w:i/>
    </w:rPr>
  </w:style>
  <w:style w:type="paragraph" w:styleId="1025">
    <w:name w:val="Intense Quote"/>
    <w:basedOn w:val="1177"/>
    <w:next w:val="1177"/>
    <w:link w:val="10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26">
    <w:name w:val="Intense Quote Char"/>
    <w:link w:val="1025"/>
    <w:uiPriority w:val="30"/>
    <w:rPr>
      <w:i/>
    </w:rPr>
  </w:style>
  <w:style w:type="paragraph" w:styleId="1027">
    <w:name w:val="Header"/>
    <w:basedOn w:val="1177"/>
    <w:link w:val="1028"/>
    <w:uiPriority w:val="99"/>
    <w:unhideWhenUsed/>
    <w:pPr>
      <w:spacing w:after="0" w:line="240" w:lineRule="auto"/>
      <w:tabs>
        <w:tab w:val="center" w:pos="7143" w:leader="none"/>
        <w:tab w:val="right" w:pos="14287" w:leader="none"/>
      </w:tabs>
    </w:pPr>
  </w:style>
  <w:style w:type="character" w:styleId="1028">
    <w:name w:val="Header Char"/>
    <w:link w:val="1027"/>
    <w:uiPriority w:val="99"/>
  </w:style>
  <w:style w:type="paragraph" w:styleId="1029">
    <w:name w:val="Footer"/>
    <w:basedOn w:val="1177"/>
    <w:link w:val="1032"/>
    <w:uiPriority w:val="99"/>
    <w:unhideWhenUsed/>
    <w:pPr>
      <w:spacing w:after="0" w:line="240" w:lineRule="auto"/>
      <w:tabs>
        <w:tab w:val="center" w:pos="7143" w:leader="none"/>
        <w:tab w:val="right" w:pos="14287" w:leader="none"/>
      </w:tabs>
    </w:pPr>
  </w:style>
  <w:style w:type="character" w:styleId="1030">
    <w:name w:val="Footer Char"/>
    <w:link w:val="1029"/>
    <w:uiPriority w:val="99"/>
  </w:style>
  <w:style w:type="paragraph" w:styleId="1031">
    <w:name w:val="Caption"/>
    <w:basedOn w:val="1177"/>
    <w:next w:val="1177"/>
    <w:uiPriority w:val="35"/>
    <w:semiHidden/>
    <w:unhideWhenUsed/>
    <w:qFormat/>
    <w:pPr>
      <w:spacing w:line="276" w:lineRule="auto"/>
    </w:pPr>
    <w:rPr>
      <w:b/>
      <w:bCs/>
      <w:color w:val="4f81bd" w:themeColor="accent1"/>
      <w:sz w:val="18"/>
      <w:szCs w:val="18"/>
    </w:rPr>
  </w:style>
  <w:style w:type="character" w:styleId="1032">
    <w:name w:val="Caption Char"/>
    <w:basedOn w:val="1031"/>
    <w:link w:val="1029"/>
    <w:uiPriority w:val="99"/>
  </w:style>
  <w:style w:type="table" w:styleId="103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3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3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3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3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3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3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4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4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4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4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4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4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4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4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4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4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5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5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5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5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5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6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6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6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6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6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6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6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6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7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7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7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7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7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7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7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7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7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7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8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8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8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8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8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8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8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8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9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9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9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9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9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9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9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0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0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0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0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0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10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10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10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1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1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1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1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1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1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1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1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2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2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2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2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2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3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3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3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3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3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3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3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3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3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3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4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5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5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5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5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5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5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5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5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5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59">
    <w:name w:val="Hyperlink"/>
    <w:uiPriority w:val="99"/>
    <w:unhideWhenUsed/>
    <w:rPr>
      <w:color w:val="0000ff" w:themeColor="hyperlink"/>
      <w:u w:val="single"/>
    </w:rPr>
  </w:style>
  <w:style w:type="paragraph" w:styleId="1160">
    <w:name w:val="footnote text"/>
    <w:basedOn w:val="1177"/>
    <w:link w:val="1161"/>
    <w:uiPriority w:val="99"/>
    <w:semiHidden/>
    <w:unhideWhenUsed/>
    <w:pPr>
      <w:spacing w:after="40" w:line="240" w:lineRule="auto"/>
    </w:pPr>
    <w:rPr>
      <w:sz w:val="18"/>
    </w:rPr>
  </w:style>
  <w:style w:type="character" w:styleId="1161">
    <w:name w:val="Footnote Text Char"/>
    <w:link w:val="1160"/>
    <w:uiPriority w:val="99"/>
    <w:rPr>
      <w:sz w:val="18"/>
    </w:rPr>
  </w:style>
  <w:style w:type="character" w:styleId="1162">
    <w:name w:val="footnote reference"/>
    <w:uiPriority w:val="99"/>
    <w:unhideWhenUsed/>
    <w:rPr>
      <w:vertAlign w:val="superscript"/>
    </w:rPr>
  </w:style>
  <w:style w:type="paragraph" w:styleId="1163">
    <w:name w:val="endnote text"/>
    <w:basedOn w:val="1177"/>
    <w:link w:val="1164"/>
    <w:uiPriority w:val="99"/>
    <w:semiHidden/>
    <w:unhideWhenUsed/>
    <w:pPr>
      <w:spacing w:after="0" w:line="240" w:lineRule="auto"/>
    </w:pPr>
    <w:rPr>
      <w:sz w:val="20"/>
    </w:rPr>
  </w:style>
  <w:style w:type="character" w:styleId="1164">
    <w:name w:val="Endnote Text Char"/>
    <w:link w:val="1163"/>
    <w:uiPriority w:val="99"/>
    <w:rPr>
      <w:sz w:val="20"/>
    </w:rPr>
  </w:style>
  <w:style w:type="character" w:styleId="1165">
    <w:name w:val="endnote reference"/>
    <w:uiPriority w:val="99"/>
    <w:semiHidden/>
    <w:unhideWhenUsed/>
    <w:rPr>
      <w:vertAlign w:val="superscript"/>
    </w:rPr>
  </w:style>
  <w:style w:type="paragraph" w:styleId="1166">
    <w:name w:val="toc 1"/>
    <w:basedOn w:val="1177"/>
    <w:next w:val="1177"/>
    <w:uiPriority w:val="39"/>
    <w:unhideWhenUsed/>
    <w:pPr>
      <w:ind w:left="0" w:right="0" w:firstLine="0"/>
      <w:spacing w:after="57"/>
    </w:pPr>
  </w:style>
  <w:style w:type="paragraph" w:styleId="1167">
    <w:name w:val="toc 2"/>
    <w:basedOn w:val="1177"/>
    <w:next w:val="1177"/>
    <w:uiPriority w:val="39"/>
    <w:unhideWhenUsed/>
    <w:pPr>
      <w:ind w:left="283" w:right="0" w:firstLine="0"/>
      <w:spacing w:after="57"/>
    </w:pPr>
  </w:style>
  <w:style w:type="paragraph" w:styleId="1168">
    <w:name w:val="toc 3"/>
    <w:basedOn w:val="1177"/>
    <w:next w:val="1177"/>
    <w:uiPriority w:val="39"/>
    <w:unhideWhenUsed/>
    <w:pPr>
      <w:ind w:left="567" w:right="0" w:firstLine="0"/>
      <w:spacing w:after="57"/>
    </w:pPr>
  </w:style>
  <w:style w:type="paragraph" w:styleId="1169">
    <w:name w:val="toc 4"/>
    <w:basedOn w:val="1177"/>
    <w:next w:val="1177"/>
    <w:uiPriority w:val="39"/>
    <w:unhideWhenUsed/>
    <w:pPr>
      <w:ind w:left="850" w:right="0" w:firstLine="0"/>
      <w:spacing w:after="57"/>
    </w:pPr>
  </w:style>
  <w:style w:type="paragraph" w:styleId="1170">
    <w:name w:val="toc 5"/>
    <w:basedOn w:val="1177"/>
    <w:next w:val="1177"/>
    <w:uiPriority w:val="39"/>
    <w:unhideWhenUsed/>
    <w:pPr>
      <w:ind w:left="1134" w:right="0" w:firstLine="0"/>
      <w:spacing w:after="57"/>
    </w:pPr>
  </w:style>
  <w:style w:type="paragraph" w:styleId="1171">
    <w:name w:val="toc 6"/>
    <w:basedOn w:val="1177"/>
    <w:next w:val="1177"/>
    <w:uiPriority w:val="39"/>
    <w:unhideWhenUsed/>
    <w:pPr>
      <w:ind w:left="1417" w:right="0" w:firstLine="0"/>
      <w:spacing w:after="57"/>
    </w:pPr>
  </w:style>
  <w:style w:type="paragraph" w:styleId="1172">
    <w:name w:val="toc 7"/>
    <w:basedOn w:val="1177"/>
    <w:next w:val="1177"/>
    <w:uiPriority w:val="39"/>
    <w:unhideWhenUsed/>
    <w:pPr>
      <w:ind w:left="1701" w:right="0" w:firstLine="0"/>
      <w:spacing w:after="57"/>
    </w:pPr>
  </w:style>
  <w:style w:type="paragraph" w:styleId="1173">
    <w:name w:val="toc 8"/>
    <w:basedOn w:val="1177"/>
    <w:next w:val="1177"/>
    <w:uiPriority w:val="39"/>
    <w:unhideWhenUsed/>
    <w:pPr>
      <w:ind w:left="1984" w:right="0" w:firstLine="0"/>
      <w:spacing w:after="57"/>
    </w:pPr>
  </w:style>
  <w:style w:type="paragraph" w:styleId="1174">
    <w:name w:val="toc 9"/>
    <w:basedOn w:val="1177"/>
    <w:next w:val="1177"/>
    <w:uiPriority w:val="39"/>
    <w:unhideWhenUsed/>
    <w:pPr>
      <w:ind w:left="2268" w:right="0" w:firstLine="0"/>
      <w:spacing w:after="57"/>
    </w:pPr>
  </w:style>
  <w:style w:type="paragraph" w:styleId="1175">
    <w:name w:val="TOC Heading"/>
    <w:uiPriority w:val="39"/>
    <w:unhideWhenUsed/>
  </w:style>
  <w:style w:type="paragraph" w:styleId="1176">
    <w:name w:val="table of figures"/>
    <w:basedOn w:val="1177"/>
    <w:next w:val="1177"/>
    <w:uiPriority w:val="99"/>
    <w:unhideWhenUsed/>
    <w:pPr>
      <w:spacing w:after="0" w:afterAutospacing="0"/>
    </w:pPr>
  </w:style>
  <w:style w:type="paragraph" w:styleId="1177" w:default="1">
    <w:name w:val="Normal"/>
    <w:next w:val="1177"/>
    <w:link w:val="1177"/>
    <w:qFormat/>
    <w:rPr>
      <w:sz w:val="24"/>
      <w:szCs w:val="24"/>
      <w:lang w:val="ru-RU" w:eastAsia="ru-RU" w:bidi="ar-SA"/>
    </w:rPr>
  </w:style>
  <w:style w:type="paragraph" w:styleId="1178">
    <w:name w:val="Заголовок 1"/>
    <w:basedOn w:val="1177"/>
    <w:next w:val="1177"/>
    <w:link w:val="1190"/>
    <w:uiPriority w:val="9"/>
    <w:qFormat/>
    <w:pPr>
      <w:keepNext/>
      <w:outlineLvl w:val="0"/>
    </w:pPr>
    <w:rPr>
      <w:rFonts w:ascii="Cambria" w:hAnsi="Cambria"/>
      <w:b/>
      <w:bCs/>
      <w:sz w:val="32"/>
      <w:szCs w:val="32"/>
      <w:lang w:val="en-US" w:eastAsia="en-US"/>
    </w:rPr>
  </w:style>
  <w:style w:type="paragraph" w:styleId="1179">
    <w:name w:val="Заголовок 2"/>
    <w:basedOn w:val="1177"/>
    <w:next w:val="1177"/>
    <w:link w:val="1191"/>
    <w:uiPriority w:val="9"/>
    <w:qFormat/>
    <w:pPr>
      <w:jc w:val="center"/>
      <w:keepNext/>
      <w:outlineLvl w:val="1"/>
    </w:pPr>
    <w:rPr>
      <w:rFonts w:ascii="Cambria" w:hAnsi="Cambria"/>
      <w:b/>
      <w:bCs/>
      <w:i/>
      <w:iCs/>
      <w:sz w:val="28"/>
      <w:szCs w:val="28"/>
      <w:lang w:val="en-US" w:eastAsia="en-US"/>
    </w:rPr>
  </w:style>
  <w:style w:type="paragraph" w:styleId="1180">
    <w:name w:val="Заголовок 3"/>
    <w:basedOn w:val="1177"/>
    <w:next w:val="1177"/>
    <w:link w:val="1192"/>
    <w:uiPriority w:val="9"/>
    <w:qFormat/>
    <w:pPr>
      <w:jc w:val="center"/>
      <w:keepNext/>
      <w:outlineLvl w:val="2"/>
    </w:pPr>
    <w:rPr>
      <w:rFonts w:ascii="Cambria" w:hAnsi="Cambria"/>
      <w:b/>
      <w:bCs/>
      <w:sz w:val="26"/>
      <w:szCs w:val="26"/>
      <w:lang w:val="en-US" w:eastAsia="en-US"/>
    </w:rPr>
  </w:style>
  <w:style w:type="paragraph" w:styleId="1181">
    <w:name w:val="Заголовок 4"/>
    <w:basedOn w:val="1177"/>
    <w:next w:val="1177"/>
    <w:link w:val="1193"/>
    <w:uiPriority w:val="9"/>
    <w:qFormat/>
    <w:pPr>
      <w:ind w:right="-1"/>
      <w:jc w:val="center"/>
      <w:keepNext/>
      <w:outlineLvl w:val="3"/>
    </w:pPr>
    <w:rPr>
      <w:b/>
      <w:bCs/>
      <w:sz w:val="22"/>
      <w:szCs w:val="28"/>
      <w:lang w:val="en-US" w:eastAsia="en-US"/>
    </w:rPr>
  </w:style>
  <w:style w:type="paragraph" w:styleId="1182">
    <w:name w:val="Заголовок 5"/>
    <w:basedOn w:val="1177"/>
    <w:next w:val="1177"/>
    <w:link w:val="1194"/>
    <w:uiPriority w:val="9"/>
    <w:qFormat/>
    <w:pPr>
      <w:ind w:left="720"/>
      <w:jc w:val="both"/>
      <w:keepNext/>
      <w:outlineLvl w:val="4"/>
    </w:pPr>
    <w:rPr>
      <w:rFonts w:ascii="Calibri" w:hAnsi="Calibri"/>
      <w:b/>
      <w:bCs/>
      <w:i/>
      <w:iCs/>
      <w:sz w:val="26"/>
      <w:szCs w:val="26"/>
      <w:lang w:val="en-US" w:eastAsia="en-US"/>
    </w:rPr>
  </w:style>
  <w:style w:type="paragraph" w:styleId="1183">
    <w:name w:val="Заголовок 6"/>
    <w:basedOn w:val="1177"/>
    <w:next w:val="1177"/>
    <w:link w:val="1195"/>
    <w:uiPriority w:val="9"/>
    <w:qFormat/>
    <w:pPr>
      <w:ind w:firstLine="709"/>
      <w:jc w:val="both"/>
      <w:keepNext/>
      <w:outlineLvl w:val="5"/>
    </w:pPr>
    <w:rPr>
      <w:rFonts w:ascii="Calibri" w:hAnsi="Calibri"/>
      <w:b/>
      <w:bCs/>
      <w:sz w:val="20"/>
      <w:szCs w:val="20"/>
      <w:lang w:val="en-US" w:eastAsia="en-US"/>
    </w:rPr>
  </w:style>
  <w:style w:type="paragraph" w:styleId="1184">
    <w:name w:val="Заголовок 7"/>
    <w:basedOn w:val="1177"/>
    <w:next w:val="1177"/>
    <w:link w:val="1196"/>
    <w:uiPriority w:val="9"/>
    <w:qFormat/>
    <w:pPr>
      <w:jc w:val="both"/>
      <w:keepNext/>
      <w:outlineLvl w:val="6"/>
    </w:pPr>
    <w:rPr>
      <w:rFonts w:ascii="Calibri" w:hAnsi="Calibri"/>
      <w:lang w:val="en-US" w:eastAsia="en-US"/>
    </w:rPr>
  </w:style>
  <w:style w:type="paragraph" w:styleId="1185">
    <w:name w:val="Заголовок 8"/>
    <w:basedOn w:val="1177"/>
    <w:next w:val="1177"/>
    <w:link w:val="1197"/>
    <w:uiPriority w:val="9"/>
    <w:qFormat/>
    <w:pPr>
      <w:ind w:firstLine="709"/>
      <w:jc w:val="center"/>
      <w:keepNext/>
      <w:spacing w:after="120"/>
      <w:outlineLvl w:val="7"/>
    </w:pPr>
    <w:rPr>
      <w:rFonts w:ascii="Calibri" w:hAnsi="Calibri"/>
      <w:i/>
      <w:iCs/>
      <w:lang w:val="en-US" w:eastAsia="en-US"/>
    </w:rPr>
  </w:style>
  <w:style w:type="paragraph" w:styleId="1186">
    <w:name w:val="Заголовок 9"/>
    <w:basedOn w:val="1177"/>
    <w:next w:val="1177"/>
    <w:link w:val="1198"/>
    <w:uiPriority w:val="9"/>
    <w:qFormat/>
    <w:pPr>
      <w:keepNext/>
      <w:outlineLvl w:val="8"/>
    </w:pPr>
    <w:rPr>
      <w:rFonts w:ascii="Cambria" w:hAnsi="Cambria"/>
      <w:sz w:val="20"/>
      <w:szCs w:val="20"/>
      <w:lang w:val="en-US" w:eastAsia="en-US"/>
    </w:rPr>
  </w:style>
  <w:style w:type="character" w:styleId="1187">
    <w:name w:val="Основной шрифт абзаца"/>
    <w:next w:val="1187"/>
    <w:link w:val="1177"/>
    <w:uiPriority w:val="99"/>
    <w:semiHidden/>
  </w:style>
  <w:style w:type="table" w:styleId="1188">
    <w:name w:val="Обычная таблица"/>
    <w:next w:val="1188"/>
    <w:link w:val="1177"/>
    <w:uiPriority w:val="99"/>
    <w:semiHidden/>
    <w:unhideWhenUsed/>
    <w:qFormat/>
    <w:tblPr/>
  </w:style>
  <w:style w:type="numbering" w:styleId="1189">
    <w:name w:val="Нет списка"/>
    <w:next w:val="1189"/>
    <w:link w:val="1177"/>
    <w:uiPriority w:val="99"/>
    <w:semiHidden/>
    <w:unhideWhenUsed/>
  </w:style>
  <w:style w:type="character" w:styleId="1190">
    <w:name w:val="Заголовок 1 Знак"/>
    <w:next w:val="1190"/>
    <w:link w:val="1178"/>
    <w:uiPriority w:val="9"/>
    <w:rPr>
      <w:rFonts w:ascii="Cambria" w:hAnsi="Cambria" w:eastAsia="Times New Roman" w:cs="Times New Roman"/>
      <w:b/>
      <w:bCs/>
      <w:sz w:val="32"/>
      <w:szCs w:val="32"/>
    </w:rPr>
  </w:style>
  <w:style w:type="character" w:styleId="1191">
    <w:name w:val="Заголовок 2 Знак"/>
    <w:next w:val="1191"/>
    <w:link w:val="1179"/>
    <w:uiPriority w:val="9"/>
    <w:semiHidden/>
    <w:rPr>
      <w:rFonts w:ascii="Cambria" w:hAnsi="Cambria" w:eastAsia="Times New Roman" w:cs="Times New Roman"/>
      <w:b/>
      <w:bCs/>
      <w:i/>
      <w:iCs/>
      <w:sz w:val="28"/>
      <w:szCs w:val="28"/>
    </w:rPr>
  </w:style>
  <w:style w:type="character" w:styleId="1192">
    <w:name w:val="Заголовок 3 Знак"/>
    <w:next w:val="1192"/>
    <w:link w:val="1180"/>
    <w:uiPriority w:val="9"/>
    <w:semiHidden/>
    <w:rPr>
      <w:rFonts w:ascii="Cambria" w:hAnsi="Cambria" w:eastAsia="Times New Roman" w:cs="Times New Roman"/>
      <w:b/>
      <w:bCs/>
      <w:sz w:val="26"/>
      <w:szCs w:val="26"/>
    </w:rPr>
  </w:style>
  <w:style w:type="character" w:styleId="1193">
    <w:name w:val="Заголовок 4 Знак"/>
    <w:next w:val="1193"/>
    <w:link w:val="1181"/>
    <w:uiPriority w:val="9"/>
    <w:rPr>
      <w:b/>
      <w:bCs/>
      <w:sz w:val="22"/>
      <w:szCs w:val="28"/>
      <w:lang w:val="en-US" w:eastAsia="en-US"/>
    </w:rPr>
  </w:style>
  <w:style w:type="character" w:styleId="1194">
    <w:name w:val="Заголовок 5 Знак"/>
    <w:next w:val="1194"/>
    <w:link w:val="1182"/>
    <w:uiPriority w:val="9"/>
    <w:semiHidden/>
    <w:rPr>
      <w:rFonts w:ascii="Calibri" w:hAnsi="Calibri" w:eastAsia="Times New Roman" w:cs="Times New Roman"/>
      <w:b/>
      <w:bCs/>
      <w:i/>
      <w:iCs/>
      <w:sz w:val="26"/>
      <w:szCs w:val="26"/>
    </w:rPr>
  </w:style>
  <w:style w:type="character" w:styleId="1195">
    <w:name w:val="Заголовок 6 Знак"/>
    <w:next w:val="1195"/>
    <w:link w:val="1183"/>
    <w:uiPriority w:val="9"/>
    <w:semiHidden/>
    <w:rPr>
      <w:rFonts w:ascii="Calibri" w:hAnsi="Calibri" w:eastAsia="Times New Roman" w:cs="Times New Roman"/>
      <w:b/>
      <w:bCs/>
    </w:rPr>
  </w:style>
  <w:style w:type="character" w:styleId="1196">
    <w:name w:val="Заголовок 7 Знак"/>
    <w:next w:val="1196"/>
    <w:link w:val="1184"/>
    <w:uiPriority w:val="9"/>
    <w:semiHidden/>
    <w:rPr>
      <w:rFonts w:ascii="Calibri" w:hAnsi="Calibri" w:eastAsia="Times New Roman" w:cs="Times New Roman"/>
      <w:sz w:val="24"/>
      <w:szCs w:val="24"/>
    </w:rPr>
  </w:style>
  <w:style w:type="character" w:styleId="1197">
    <w:name w:val="Заголовок 8 Знак"/>
    <w:next w:val="1197"/>
    <w:link w:val="1185"/>
    <w:uiPriority w:val="9"/>
    <w:semiHidden/>
    <w:rPr>
      <w:rFonts w:ascii="Calibri" w:hAnsi="Calibri" w:eastAsia="Times New Roman" w:cs="Times New Roman"/>
      <w:i/>
      <w:iCs/>
      <w:sz w:val="24"/>
      <w:szCs w:val="24"/>
    </w:rPr>
  </w:style>
  <w:style w:type="character" w:styleId="1198">
    <w:name w:val="Заголовок 9 Знак"/>
    <w:next w:val="1198"/>
    <w:link w:val="1186"/>
    <w:uiPriority w:val="9"/>
    <w:semiHidden/>
    <w:rPr>
      <w:rFonts w:ascii="Cambria" w:hAnsi="Cambria" w:eastAsia="Times New Roman" w:cs="Times New Roman"/>
    </w:rPr>
  </w:style>
  <w:style w:type="paragraph" w:styleId="1199">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77"/>
    <w:next w:val="1199"/>
    <w:link w:val="1200"/>
    <w:qFormat/>
    <w:rPr>
      <w:sz w:val="20"/>
      <w:szCs w:val="20"/>
      <w:lang w:val="en-US" w:eastAsia="en-US"/>
    </w:rPr>
  </w:style>
  <w:style w:type="character" w:styleId="120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200"/>
    <w:link w:val="1199"/>
    <w:rPr>
      <w:sz w:val="20"/>
      <w:szCs w:val="20"/>
    </w:rPr>
  </w:style>
  <w:style w:type="character" w:styleId="120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201"/>
    <w:link w:val="1177"/>
    <w:qFormat/>
    <w:rPr>
      <w:rFonts w:cs="Times New Roman"/>
      <w:vertAlign w:val="superscript"/>
    </w:rPr>
  </w:style>
  <w:style w:type="paragraph" w:styleId="1202">
    <w:name w:val="Текст выноски"/>
    <w:basedOn w:val="1177"/>
    <w:next w:val="1202"/>
    <w:link w:val="1203"/>
    <w:uiPriority w:val="99"/>
    <w:semiHidden/>
    <w:rPr>
      <w:rFonts w:ascii="Tahoma" w:hAnsi="Tahoma"/>
      <w:sz w:val="16"/>
      <w:szCs w:val="16"/>
      <w:lang w:val="en-US" w:eastAsia="en-US"/>
    </w:rPr>
  </w:style>
  <w:style w:type="character" w:styleId="1203">
    <w:name w:val="Текст выноски Знак"/>
    <w:next w:val="1203"/>
    <w:link w:val="1202"/>
    <w:uiPriority w:val="99"/>
    <w:semiHidden/>
    <w:rPr>
      <w:rFonts w:ascii="Tahoma" w:hAnsi="Tahoma" w:cs="Tahoma"/>
      <w:sz w:val="16"/>
      <w:szCs w:val="16"/>
    </w:rPr>
  </w:style>
  <w:style w:type="paragraph" w:styleId="1204">
    <w:name w:val="Без интервала"/>
    <w:next w:val="1204"/>
    <w:link w:val="1205"/>
    <w:uiPriority w:val="99"/>
    <w:qFormat/>
    <w:rPr>
      <w:rFonts w:ascii="Calibri" w:hAnsi="Calibri"/>
      <w:sz w:val="22"/>
      <w:szCs w:val="22"/>
      <w:lang w:val="ru-RU" w:eastAsia="en-US" w:bidi="ar-SA"/>
    </w:rPr>
  </w:style>
  <w:style w:type="character" w:styleId="1205">
    <w:name w:val="Без интервала Знак"/>
    <w:next w:val="1205"/>
    <w:link w:val="1204"/>
    <w:uiPriority w:val="99"/>
    <w:rPr>
      <w:rFonts w:ascii="Calibri" w:hAnsi="Calibri"/>
      <w:sz w:val="22"/>
      <w:szCs w:val="22"/>
      <w:lang w:val="ru-RU" w:eastAsia="en-US" w:bidi="ar-SA"/>
    </w:rPr>
  </w:style>
  <w:style w:type="paragraph" w:styleId="1206">
    <w:name w:val="Оглавление 4"/>
    <w:basedOn w:val="1177"/>
    <w:next w:val="1177"/>
    <w:link w:val="1177"/>
    <w:uiPriority w:val="39"/>
    <w:pPr>
      <w:ind w:right="-307"/>
      <w:spacing w:line="360" w:lineRule="auto"/>
      <w:tabs>
        <w:tab w:val="right" w:pos="10195" w:leader="dot"/>
      </w:tabs>
    </w:pPr>
  </w:style>
  <w:style w:type="character" w:styleId="1207">
    <w:name w:val="Гиперссылка"/>
    <w:next w:val="1207"/>
    <w:link w:val="1177"/>
    <w:uiPriority w:val="99"/>
    <w:unhideWhenUsed/>
    <w:rPr>
      <w:color w:val="0000ff"/>
      <w:u w:val="single"/>
    </w:rPr>
  </w:style>
  <w:style w:type="paragraph" w:styleId="1208">
    <w:name w:val="Верхний колонтитул,ВерхКолонтитул"/>
    <w:basedOn w:val="1177"/>
    <w:next w:val="1208"/>
    <w:link w:val="1209"/>
    <w:uiPriority w:val="99"/>
    <w:unhideWhenUsed/>
    <w:pPr>
      <w:tabs>
        <w:tab w:val="center" w:pos="4677" w:leader="none"/>
        <w:tab w:val="right" w:pos="9355" w:leader="none"/>
      </w:tabs>
    </w:pPr>
    <w:rPr>
      <w:lang w:val="en-US" w:eastAsia="en-US"/>
    </w:rPr>
  </w:style>
  <w:style w:type="character" w:styleId="1209">
    <w:name w:val="Верхний колонтитул Знак,ВерхКолонтитул Знак"/>
    <w:next w:val="1209"/>
    <w:link w:val="1208"/>
    <w:uiPriority w:val="99"/>
    <w:rPr>
      <w:sz w:val="24"/>
      <w:szCs w:val="24"/>
    </w:rPr>
  </w:style>
  <w:style w:type="paragraph" w:styleId="1210">
    <w:name w:val="Нижний колонтитул"/>
    <w:basedOn w:val="1177"/>
    <w:next w:val="1210"/>
    <w:link w:val="1211"/>
    <w:uiPriority w:val="99"/>
    <w:unhideWhenUsed/>
    <w:pPr>
      <w:tabs>
        <w:tab w:val="center" w:pos="4677" w:leader="none"/>
        <w:tab w:val="right" w:pos="9355" w:leader="none"/>
      </w:tabs>
    </w:pPr>
    <w:rPr>
      <w:lang w:val="en-US" w:eastAsia="en-US"/>
    </w:rPr>
  </w:style>
  <w:style w:type="character" w:styleId="1211">
    <w:name w:val="Нижний колонтитул Знак"/>
    <w:next w:val="1211"/>
    <w:link w:val="1210"/>
    <w:uiPriority w:val="99"/>
    <w:rPr>
      <w:sz w:val="24"/>
      <w:szCs w:val="24"/>
    </w:rPr>
  </w:style>
  <w:style w:type="character" w:styleId="1212">
    <w:name w:val="Основной текст Знак,Основной текст_отчет Знак1,bt Знак1"/>
    <w:next w:val="1212"/>
    <w:link w:val="1213"/>
    <w:rPr>
      <w:sz w:val="24"/>
      <w:szCs w:val="24"/>
    </w:rPr>
  </w:style>
  <w:style w:type="paragraph" w:styleId="1213">
    <w:name w:val="Основной текст,Основной текст_отчет,bt"/>
    <w:basedOn w:val="1177"/>
    <w:next w:val="1213"/>
    <w:link w:val="1212"/>
    <w:unhideWhenUsed/>
    <w:pPr>
      <w:jc w:val="both"/>
    </w:pPr>
    <w:rPr>
      <w:lang w:val="en-US" w:eastAsia="en-US"/>
    </w:rPr>
  </w:style>
  <w:style w:type="character" w:styleId="1214">
    <w:name w:val="Основной текст Знак1"/>
    <w:next w:val="1214"/>
    <w:link w:val="1177"/>
    <w:uiPriority w:val="99"/>
    <w:semiHidden/>
    <w:rPr>
      <w:sz w:val="24"/>
      <w:szCs w:val="24"/>
    </w:rPr>
  </w:style>
  <w:style w:type="paragraph" w:styleId="1215">
    <w:name w:val="Основной текст с отступом 2"/>
    <w:basedOn w:val="1177"/>
    <w:next w:val="1215"/>
    <w:link w:val="1216"/>
    <w:unhideWhenUsed/>
    <w:pPr>
      <w:ind w:firstLine="360"/>
      <w:jc w:val="both"/>
    </w:pPr>
    <w:rPr>
      <w:lang w:val="en-US" w:eastAsia="en-US"/>
    </w:rPr>
  </w:style>
  <w:style w:type="character" w:styleId="1216">
    <w:name w:val="Основной текст с отступом 2 Знак"/>
    <w:next w:val="1216"/>
    <w:link w:val="1215"/>
    <w:rPr>
      <w:sz w:val="24"/>
      <w:szCs w:val="24"/>
    </w:rPr>
  </w:style>
  <w:style w:type="paragraph" w:styleId="121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77"/>
    <w:next w:val="1217"/>
    <w:link w:val="1218"/>
    <w:rPr>
      <w:sz w:val="22"/>
      <w:szCs w:val="22"/>
      <w:lang w:val="en-US" w:eastAsia="en-US"/>
    </w:rPr>
  </w:style>
  <w:style w:type="character" w:styleId="1218">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Основной текст 1 Знак1"/>
    <w:next w:val="1218"/>
    <w:link w:val="1217"/>
    <w:rPr>
      <w:sz w:val="22"/>
      <w:szCs w:val="22"/>
    </w:rPr>
  </w:style>
  <w:style w:type="paragraph" w:styleId="1219">
    <w:name w:val="Основной текст 2"/>
    <w:basedOn w:val="1177"/>
    <w:next w:val="1219"/>
    <w:link w:val="1220"/>
    <w:uiPriority w:val="99"/>
    <w:semiHidden/>
    <w:unhideWhenUsed/>
    <w:pPr>
      <w:spacing w:after="120" w:line="480" w:lineRule="auto"/>
    </w:pPr>
    <w:rPr>
      <w:lang w:val="en-US" w:eastAsia="en-US"/>
    </w:rPr>
  </w:style>
  <w:style w:type="character" w:styleId="1220">
    <w:name w:val="Основной текст 2 Знак"/>
    <w:next w:val="1220"/>
    <w:link w:val="1219"/>
    <w:uiPriority w:val="99"/>
    <w:semiHidden/>
    <w:rPr>
      <w:sz w:val="24"/>
      <w:szCs w:val="24"/>
    </w:rPr>
  </w:style>
  <w:style w:type="paragraph" w:styleId="1221">
    <w:name w:val="Название"/>
    <w:basedOn w:val="1177"/>
    <w:next w:val="1177"/>
    <w:link w:val="1222"/>
    <w:uiPriority w:val="10"/>
    <w:qFormat/>
    <w:pPr>
      <w:jc w:val="center"/>
      <w:spacing w:before="240" w:after="60"/>
      <w:outlineLvl w:val="0"/>
    </w:pPr>
    <w:rPr>
      <w:rFonts w:ascii="Cambria" w:hAnsi="Cambria"/>
      <w:b/>
      <w:bCs/>
      <w:sz w:val="32"/>
      <w:szCs w:val="32"/>
      <w:lang w:val="en-US" w:eastAsia="en-US"/>
    </w:rPr>
  </w:style>
  <w:style w:type="character" w:styleId="1222">
    <w:name w:val="Название Знак"/>
    <w:next w:val="1222"/>
    <w:link w:val="1221"/>
    <w:uiPriority w:val="10"/>
    <w:rPr>
      <w:rFonts w:ascii="Cambria" w:hAnsi="Cambria" w:eastAsia="Times New Roman" w:cs="Times New Roman"/>
      <w:b/>
      <w:bCs/>
      <w:sz w:val="32"/>
      <w:szCs w:val="32"/>
    </w:rPr>
  </w:style>
  <w:style w:type="paragraph" w:styleId="1223">
    <w:name w:val="Default"/>
    <w:next w:val="1223"/>
    <w:link w:val="1177"/>
    <w:rPr>
      <w:color w:val="000000"/>
      <w:sz w:val="24"/>
      <w:szCs w:val="24"/>
      <w:lang w:val="ru-RU" w:eastAsia="ru-RU" w:bidi="ar-SA"/>
    </w:rPr>
  </w:style>
  <w:style w:type="character" w:styleId="1224">
    <w:name w:val="Просмотренная гиперссылка"/>
    <w:next w:val="1224"/>
    <w:link w:val="1177"/>
    <w:uiPriority w:val="99"/>
    <w:semiHidden/>
    <w:unhideWhenUsed/>
    <w:rPr>
      <w:color w:val="800080"/>
      <w:u w:val="single"/>
    </w:rPr>
  </w:style>
  <w:style w:type="paragraph" w:styleId="1225">
    <w:name w:val="Абзац списка"/>
    <w:basedOn w:val="1177"/>
    <w:next w:val="1225"/>
    <w:link w:val="1177"/>
    <w:uiPriority w:val="34"/>
    <w:qFormat/>
    <w:pPr>
      <w:contextualSpacing/>
      <w:ind w:left="720"/>
    </w:pPr>
  </w:style>
  <w:style w:type="paragraph" w:styleId="1226">
    <w:name w:val="ConsNormal"/>
    <w:next w:val="1226"/>
    <w:link w:val="1177"/>
    <w:pPr>
      <w:ind w:firstLine="720"/>
      <w:widowControl w:val="off"/>
    </w:pPr>
    <w:rPr>
      <w:rFonts w:ascii="Arial" w:hAnsi="Arial" w:cs="Arial"/>
      <w:lang w:val="ru-RU" w:eastAsia="ru-RU" w:bidi="ar-SA"/>
    </w:rPr>
  </w:style>
  <w:style w:type="paragraph" w:styleId="1227">
    <w:name w:val="Нормальный"/>
    <w:next w:val="1227"/>
    <w:link w:val="1177"/>
    <w:rPr>
      <w:rFonts w:ascii="TimesET" w:hAnsi="TimesET" w:cs="TimesET"/>
      <w:b/>
      <w:bCs/>
      <w:i/>
      <w:iCs/>
      <w:smallCaps/>
      <w:sz w:val="24"/>
      <w:szCs w:val="24"/>
      <w:lang w:val="ru-RU" w:eastAsia="ru-RU" w:bidi="ar-SA"/>
    </w:rPr>
  </w:style>
  <w:style w:type="character" w:styleId="1228" w:default="1">
    <w:name w:val="Default Paragraph Font"/>
    <w:uiPriority w:val="1"/>
    <w:semiHidden/>
    <w:unhideWhenUsed/>
  </w:style>
  <w:style w:type="numbering" w:styleId="1229" w:default="1">
    <w:name w:val="No List"/>
    <w:uiPriority w:val="99"/>
    <w:semiHidden/>
    <w:unhideWhenUsed/>
  </w:style>
  <w:style w:type="table" w:styleId="12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пк1</dc:creator>
  <cp:revision>134</cp:revision>
  <dcterms:created xsi:type="dcterms:W3CDTF">2022-10-19T07:32:00Z</dcterms:created>
  <dcterms:modified xsi:type="dcterms:W3CDTF">2025-06-30T09:22:19Z</dcterms:modified>
  <cp:version>1048576</cp:version>
</cp:coreProperties>
</file>