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99"/>
      </w:tblGrid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 w:cs="Cambria"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sz w:val="32"/>
                <w:szCs w:val="32"/>
                <w:lang w:eastAsia="en-US"/>
              </w:rPr>
              <w:t xml:space="preserve">ТУЛЬСКИЙ РЕГИОНАЛЬНЫЙ ФИЛИАЛ</w:t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sz w:val="32"/>
                <w:szCs w:val="32"/>
                <w:lang w:eastAsia="en-US"/>
              </w:rPr>
              <w:t xml:space="preserve">АО «РОССЕЛЬХОЗБАНК»</w:t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ТАРИФЫ КОМИССИОННОГО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ВОЗНАГРАЖДЕНИЯ НА УСЛУГИ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ЮРИДИЧЕСКИМ ЛИЦАМ, СУБЪЕКТАМ РОССИЙСКОЙ ФЕДЕРАЦИИ, МУНИЦИПАЛЬНЫМ ОБРАЗОВАНИЯМ,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ИНДИВИДУАЛЬНЫМ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ПРЕДПРИНИМАТЕЛЯМ И ФИЗИЧЕСКИМ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ЛИЦАМ, ЗАНИМАЮЩИМСЯ В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УСТАНОВЛЕННОМ ЗАКОНОДАТЕЛЬСТВОМ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РОССИЙКОЙ ФЕДЕРАЦИИ ПОРЯДКЕ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/>
                <w:sz w:val="80"/>
                <w:szCs w:val="80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ЧАСТНОЙ ПРАКТИКОЙ</w:t>
            </w:r>
            <w:r>
              <w:rPr>
                <w:rFonts w:ascii="Cambria" w:hAnsi="Cambria"/>
                <w:sz w:val="80"/>
                <w:szCs w:val="80"/>
                <w:lang w:eastAsia="en-US"/>
              </w:rPr>
            </w:r>
            <w:r>
              <w:rPr>
                <w:rFonts w:ascii="Cambria" w:hAnsi="Cambria"/>
                <w:sz w:val="80"/>
                <w:szCs w:val="80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  <w:t xml:space="preserve">действуют с </w:t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  <w:t xml:space="preserve">30.05.2025г.</w:t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065" cy="1217295"/>
                <wp:effectExtent l="0" t="0" r="635" b="1905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907349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90062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5pt;height:95.8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rPr>
          <w:b/>
          <w:bCs/>
          <w:caps/>
          <w:sz w:val="22"/>
          <w:szCs w:val="22"/>
          <w:highlight w:val="none"/>
        </w:rPr>
      </w:pPr>
      <w:r>
        <w:rPr>
          <w:b/>
          <w:caps/>
          <w:sz w:val="22"/>
          <w:highlight w:val="none"/>
        </w:rPr>
      </w:r>
      <w:r>
        <w:rPr>
          <w:b/>
          <w:bCs/>
          <w:caps/>
          <w:sz w:val="22"/>
          <w:szCs w:val="22"/>
          <w:highlight w:val="none"/>
        </w:rPr>
      </w:r>
      <w:r>
        <w:rPr>
          <w:b/>
          <w:bCs/>
          <w:caps/>
          <w:sz w:val="22"/>
          <w:szCs w:val="22"/>
          <w:highlight w:val="none"/>
        </w:rPr>
      </w:r>
    </w:p>
    <w:p>
      <w:pPr>
        <w:rPr>
          <w:b w:val="0"/>
          <w:bCs w:val="0"/>
          <w:caps/>
          <w:sz w:val="22"/>
          <w:szCs w:val="22"/>
          <w:highlight w:val="none"/>
        </w:rPr>
      </w:pPr>
      <w:r>
        <w:br w:type="page" w:clear="all"/>
      </w:r>
      <w:r>
        <w:rPr>
          <w:b w:val="0"/>
          <w:bCs w:val="0"/>
          <w:caps/>
          <w:sz w:val="22"/>
          <w:szCs w:val="22"/>
        </w:rPr>
        <w:t xml:space="preserve">Содержание:</w:t>
      </w:r>
      <w:r>
        <w:rPr>
          <w:b w:val="0"/>
          <w:bCs w:val="0"/>
          <w:caps/>
          <w:sz w:val="22"/>
          <w:szCs w:val="22"/>
          <w:highlight w:val="none"/>
        </w:rPr>
      </w:r>
      <w:r>
        <w:rPr>
          <w:b w:val="0"/>
          <w:bCs w:val="0"/>
          <w:caps/>
          <w:sz w:val="22"/>
          <w:szCs w:val="22"/>
          <w:highlight w:val="none"/>
        </w:rPr>
      </w:r>
    </w:p>
    <w:p>
      <w:pPr>
        <w:rPr>
          <w:b w:val="0"/>
          <w:bCs w:val="0"/>
          <w:caps/>
          <w:sz w:val="22"/>
          <w:szCs w:val="22"/>
          <w:highlight w:val="none"/>
        </w:rPr>
      </w:pPr>
      <w:r>
        <w:rPr>
          <w:b w:val="0"/>
          <w:bCs w:val="0"/>
          <w:caps/>
          <w:sz w:val="22"/>
          <w:szCs w:val="22"/>
          <w:highlight w:val="none"/>
        </w:rPr>
      </w:r>
      <w:r>
        <w:rPr>
          <w:b w:val="0"/>
          <w:bCs w:val="0"/>
          <w:caps/>
          <w:sz w:val="22"/>
          <w:szCs w:val="22"/>
          <w:highlight w:val="none"/>
        </w:rPr>
      </w:r>
      <w:r>
        <w:rPr>
          <w:b w:val="0"/>
          <w:bCs w:val="0"/>
          <w:caps/>
          <w:sz w:val="22"/>
          <w:szCs w:val="22"/>
          <w:highlight w:val="none"/>
        </w:rPr>
      </w:r>
    </w:p>
    <w:p>
      <w:pPr>
        <w:rPr>
          <w:b w:val="0"/>
          <w:bCs w:val="0"/>
          <w:caps/>
          <w:sz w:val="22"/>
          <w:szCs w:val="22"/>
          <w:highlight w:val="none"/>
        </w:rPr>
      </w:pPr>
      <w:r>
        <w:rPr>
          <w:b w:val="0"/>
          <w:bCs w:val="0"/>
          <w:caps/>
          <w:sz w:val="22"/>
          <w:szCs w:val="22"/>
          <w:highlight w:val="none"/>
        </w:rPr>
      </w:r>
      <w:r>
        <w:rPr>
          <w:b w:val="0"/>
          <w:bCs w:val="0"/>
          <w:caps/>
          <w:sz w:val="22"/>
          <w:szCs w:val="22"/>
          <w:highlight w:val="none"/>
        </w:rPr>
      </w:r>
      <w:r>
        <w:rPr>
          <w:b w:val="0"/>
          <w:bCs w:val="0"/>
          <w:caps/>
          <w:sz w:val="22"/>
          <w:szCs w:val="22"/>
          <w:highlight w:val="none"/>
        </w:rPr>
      </w:r>
    </w:p>
    <w:p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  <w:fldChar w:fldCharType="begin"/>
      </w:r>
      <w:r>
        <w:rPr>
          <w:b w:val="0"/>
          <w:bCs w:val="0"/>
          <w:color w:val="000000" w:themeColor="text1"/>
          <w:sz w:val="22"/>
          <w:szCs w:val="22"/>
          <w:u w:val="none"/>
        </w:rPr>
        <w:instrText xml:space="preserve"> TOC \o "4-4" \h \z \u </w:instrText>
      </w:r>
      <w:r>
        <w:rPr>
          <w:b w:val="0"/>
          <w:bCs w:val="0"/>
          <w:color w:val="000000" w:themeColor="text1"/>
          <w:sz w:val="22"/>
          <w:szCs w:val="22"/>
          <w:u w:val="none"/>
        </w:rPr>
        <w:fldChar w:fldCharType="separate"/>
      </w:r>
      <w:hyperlink r:id="rId13" w:tooltip="file:///N:\ВЫДЕЛЕННЫЕ%20РЕСУРСЫ\Тарифы\Тарифы%20ЮЛ%202023\Тарифы%20ЮЛ%20изм%20№%20119%20с%2001.10.2023\Новая%20папка\Тар.%20юр.лица%20Тульский%20РФ_%2006-10-23.docx#_Toc64472176" w:anchor="_Toc64472176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Открытие и ведение счетов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fldChar w:fldCharType="begin"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instrText xml:space="preserve"> PAGEREF _Toc64472176 \h </w:instrTex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fldChar w:fldCharType="separate"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fldChar w:fldCharType="end"/>
        </w:r>
      </w:hyperlink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4" w:tooltip="file:///N:\ВЫДЕЛЕННЫЕ%20РЕСУРСЫ\Тарифы\Тарифы%20ЮЛ%202023\Тарифы%20ЮЛ%20изм%20№%20119%20с%2001.10.2023\Новая%20папка\Тар.%20юр.лица%20Тульский%20РФ_%2006-10-23.docx#_Toc64472177" w:anchor="_Toc64472177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2.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Кассовые операции*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fldChar w:fldCharType="begin"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instrText xml:space="preserve"> PAGEREF _Toc64472177 \h </w:instrTex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fldChar w:fldCharType="end"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23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5" w:tooltip="file:///N:\ВЫДЕЛЕННЫЕ%20РЕСУРСЫ\Тарифы\Тарифы%20ЮЛ%202023\Тарифы%20ЮЛ%20изм%20№%20119%20с%2001.10.2023\Новая%20папка\Тар.%20юр.лица%20Тульский%20РФ_%2006-10-23.docx#_Toc64472178" w:anchor="_Toc64472178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3.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Выполнение функций агента валютного контроля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27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6" w:tooltip="file:///N:\ВЫДЕЛЕННЫЕ%20РЕСУРСЫ\Тарифы\Тарифы%20ЮЛ%202023\Тарифы%20ЮЛ%20изм%20№%20119%20с%2001.10.2023\Новая%20папка\Тар.%20юр.лица%20Тульский%20РФ_%2006-10-23.docx#_Toc64472179" w:anchor="_Toc64472179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(размер тарифов указан без учета НДС)*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30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7" w:tooltip="file:///N:\ВЫДЕЛЕННЫЕ%20РЕСУРСЫ\Тарифы\Тарифы%20ЮЛ%202023\Тарифы%20ЮЛ%20изм%20№%20119%20с%2001.10.2023\Новая%20папка\Тар.%20юр.лица%20Тульский%20РФ_%2006-10-23.docx#_Toc64472180" w:anchor="_Toc64472180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  <w:lang w:val="en-US"/>
          </w:rPr>
          <w:t xml:space="preserve">4.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Операции с ценными бумагами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  <w:lang w:val="en-US"/>
          </w:rPr>
          <w:t xml:space="preserve">3</w:t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1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8" w:tooltip="file:///N:\ВЫДЕЛЕННЫЕ%20РЕСУРСЫ\Тарифы\Тарифы%20ЮЛ%202023\Тарифы%20ЮЛ%20изм%20№%20119%20с%2001.10.2023\Новая%20папка\Тар.%20юр.лица%20Тульский%20РФ_%2006-10-23.docx#_Toc64472181" w:anchor="_Toc64472181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5.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Документарные операции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32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19" w:tooltip="file:///N:\ВЫДЕЛЕННЫЕ%20РЕСУРСЫ\Тарифы\Тарифы%20ЮЛ%202023\Тарифы%20ЮЛ%20изм%20№%20119%20с%2001.10.2023\Новая%20папка\Тар.%20юр.лица%20Тульский%20РФ_%2006-10-23.docx#_Toc64472182" w:anchor="_Toc64472182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6.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Гарантийные операции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39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0" w:tooltip="file:///N:\ВЫДЕЛЕННЫЕ%20РЕСУРСЫ\Тарифы\Тарифы%20ЮЛ%202023\Тарифы%20ЮЛ%20изм%20№%20119%20с%2001.10.2023\Новая%20папка\Тар.%20юр.лица%20Тульский%20РФ_%2006-10-23.docx#_Toc64472183" w:anchor="_Toc64472183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7.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Дистанционное банковское обслуживание (ДБО)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42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1" w:tooltip="file:///N:\ВЫДЕЛЕННЫЕ%20РЕСУРСЫ\Тарифы\Тарифы%20ЮЛ%202023\Тарифы%20ЮЛ%20изм%20№%20119%20с%2001.10.2023\Новая%20папка\Тар.%20юр.лица%20Тульский%20РФ_%2006-10-23.docx#_Toc64472184" w:anchor="_Toc64472184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8.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Хранение ценностей клиентов в хранилище ценностей Банка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48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2" w:tooltip="file:///N:\ВЫДЕЛЕННЫЕ%20РЕСУРСЫ\Тарифы\Тарифы%20ЮЛ%202023\Тарифы%20ЮЛ%20изм%20№%20119%20с%2001.10.2023\Новая%20папка\Тар.%20юр.лица%20Тульский%20РФ_%2006-10-23.docx#_Toc64472185" w:anchor="_Toc64472185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9.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Операции по предоставлению клиентам в аренду индивидуальных сейфовых ячеек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49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3" w:tooltip="file:///N:\ВЫДЕЛЕННЫЕ%20РЕСУРСЫ\Тарифы\Тарифы%20ЮЛ%202023\Тарифы%20ЮЛ%20изм%20№%20119%20с%2001.10.2023\Новая%20папка\Тар.%20юр.лица%20Тульский%20РФ_%2006-10-23.docx#_Toc64472186" w:anchor="_Toc64472186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10.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Услуги инкассации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50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4" w:tooltip="file:///N:\ВЫДЕЛЕННЫЕ%20РЕСУРСЫ\Тарифы\Тарифы%20ЮЛ%202023\Тарифы%20ЮЛ%20изм%20№%20119%20с%2001.10.2023\Новая%20папка\Тар.%20юр.лица%20Тульский%20РФ_%2006-10-23.docx#_Toc64472187" w:anchor="_Toc64472187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11.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Операции по покупке-продаже иностранной валюты¹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51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5" w:tooltip="file:///N:\ВЫДЕЛЕННЫЕ%20РЕСУРСЫ\Тарифы\Тарифы%20ЮЛ%202023\Тарифы%20ЮЛ%20изм%20№%20119%20с%2001.10.2023\Новая%20папка\Тар.%20юр.лица%20Тульский%20РФ_%2006-10-23.docx#_Toc64472188" w:anchor="_Toc64472188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12.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Кредитные операции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52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6" w:tooltip="file:///N:\ВЫДЕЛЕННЫЕ%20РЕСУРСЫ\Тарифы\Тарифы%20ЮЛ%202023\Тарифы%20ЮЛ%20изм%20№%20119%20с%2001.10.2023\Новая%20папка\Тар.%20юр.лица%20Тульский%20РФ_%2006-10-23.docx#_Toc64472189" w:anchor="_Toc64472189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13.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Обслуживание торгово-сервисных предприятий*, принимающих к оплате платежные карты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63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7" w:tooltip="file:///N:\ВЫДЕЛЕННЫЕ%20РЕСУРСЫ\Тарифы\Тарифы%20ЮЛ%202023\Тарифы%20ЮЛ%20изм%20№%20119%20с%2001.10.2023\Новая%20папка\Тар.%20юр.лица%20Тульский%20РФ_%2006-10-23.docx#_Toc64472190" w:anchor="_Toc64472190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14.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Депозитарные услуги 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  <w:lang w:val="en-US"/>
        </w:rPr>
        <w:t xml:space="preserve">65</w:t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8" w:tooltip="file:///N:\ВЫДЕЛЕННЫЕ%20РЕСУРСЫ\Тарифы\Тарифы%20ЮЛ%202023\Тарифы%20ЮЛ%20изм%20№%20119%20с%2001.10.2023\Новая%20папка\Тар.%20юр.лица%20Тульский%20РФ_%2006-10-23.docx#_Toc64472191" w:anchor="_Toc64472191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15.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Операции с монетами из драгоценных металлов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  <w:lang w:val="en-US"/>
          </w:rPr>
          <w:t xml:space="preserve">69</w:t>
        </w:r>
      </w:hyperlink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29" w:tooltip="file:///N:\ВЫДЕЛЕННЫЕ%20РЕСУРСЫ\Тарифы\Тарифы%20ЮЛ%202023\Тарифы%20ЮЛ%20изм%20№%20119%20с%2001.10.2023\Новая%20папка\Тар.%20юр.лица%20Тульский%20РФ_%2006-10-23.docx#_Toc64472192" w:anchor="_Toc64472192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16.</w:t>
        </w:r>
        <w:r>
          <w:rPr>
            <w:rStyle w:val="1145"/>
            <w:rFonts w:ascii="Calibri" w:hAnsi="Calibri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Операции с драгоценными металлами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  <w:lang w:val="en-US"/>
          </w:rPr>
          <w:t xml:space="preserve">70</w:t>
        </w:r>
      </w:hyperlink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  <w:r>
        <w:rPr>
          <w:rFonts w:ascii="Calibri" w:hAnsi="Calibri"/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  <w:u w:val="none"/>
        </w:rPr>
      </w:r>
      <w:hyperlink r:id="rId30" w:tooltip="file:///N:\ВЫДЕЛЕННЫЕ%20РЕСУРСЫ\Тарифы\Тарифы%20ЮЛ%202023\Тарифы%20ЮЛ%20изм%20№%20119%20с%2001.10.2023\Новая%20папка\Тар.%20юр.лица%20Тульский%20РФ_%2006-10-23.docx#_Toc64472193" w:anchor="_Toc64472193" w:history="1"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 xml:space="preserve">17. Обслуживание с использованием Торговой системы  РСХБ-Дилинг АО «Россельхозбанк», Торговой системы РСХБ-Дилинг 2.0</w:t>
        </w:r>
        <w:r>
          <w:rPr>
            <w:rStyle w:val="1145"/>
            <w:b w:val="0"/>
            <w:bCs w:val="0"/>
            <w:color w:val="000000" w:themeColor="text1"/>
            <w:sz w:val="22"/>
            <w:szCs w:val="22"/>
            <w:u w:val="none"/>
          </w:rPr>
          <w:tab/>
        </w:r>
      </w:hyperlink>
      <w:r>
        <w:rPr>
          <w:rStyle w:val="1145"/>
          <w:b w:val="0"/>
          <w:bCs w:val="0"/>
          <w:color w:val="000000" w:themeColor="text1"/>
          <w:sz w:val="22"/>
          <w:szCs w:val="22"/>
          <w:u w:val="none"/>
        </w:rPr>
        <w:t xml:space="preserve">71</w:t>
      </w:r>
      <w:r>
        <w:rPr>
          <w:b w:val="0"/>
          <w:bCs w:val="0"/>
          <w:color w:val="000000" w:themeColor="text1"/>
          <w:sz w:val="22"/>
          <w:szCs w:val="22"/>
        </w:rPr>
      </w:r>
      <w:r>
        <w:rPr>
          <w:b w:val="0"/>
          <w:bCs w:val="0"/>
          <w:color w:val="000000" w:themeColor="text1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color w:val="000000" w:themeColor="text1"/>
          <w:sz w:val="22"/>
          <w:szCs w:val="22"/>
        </w:rPr>
      </w:pPr>
      <w:r>
        <w:rPr>
          <w:rStyle w:val="1145"/>
          <w:b w:val="0"/>
          <w:bCs w:val="0"/>
          <w:color w:val="000000" w:themeColor="text1"/>
          <w:sz w:val="22"/>
          <w:szCs w:val="22"/>
          <w:u w:val="none"/>
        </w:rPr>
        <w:t xml:space="preserve">18.  Операции с использованием цифрового рубля  </w:t>
      </w:r>
      <w:r>
        <w:rPr>
          <w:b w:val="0"/>
          <w:bCs w:val="0"/>
          <w:color w:val="000000" w:themeColor="text1"/>
          <w:sz w:val="22"/>
          <w:szCs w:val="22"/>
          <w:u w:val="none"/>
        </w:rPr>
        <w:fldChar w:fldCharType="end"/>
      </w:r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…</w:t>
      </w:r>
      <w:r>
        <w:rPr>
          <w:b w:val="0"/>
          <w:bCs w:val="0"/>
          <w:color w:val="000000" w:themeColor="text1"/>
          <w:sz w:val="22"/>
          <w:szCs w:val="22"/>
          <w:u w:val="none"/>
        </w:rPr>
        <w:t xml:space="preserve">              ………………………</w:t>
      </w:r>
      <w:r>
        <w:rPr>
          <w:bCs/>
          <w:color w:val="000000" w:themeColor="text1"/>
          <w:sz w:val="22"/>
          <w:szCs w:val="22"/>
          <w:u w:val="none"/>
        </w:rPr>
        <w:t xml:space="preserve">……………………..73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1131"/>
        <w:rPr>
          <w:sz w:val="26"/>
          <w:szCs w:val="26"/>
        </w:rPr>
      </w:pPr>
      <w:r>
        <w:rPr>
          <w:sz w:val="26"/>
          <w:szCs w:val="26"/>
        </w:rPr>
        <w:t xml:space="preserve">ТАРИФЫ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31"/>
        <w:rPr>
          <w:sz w:val="26"/>
          <w:szCs w:val="26"/>
        </w:rPr>
      </w:pPr>
      <w:r>
        <w:rPr>
          <w:sz w:val="26"/>
          <w:szCs w:val="26"/>
        </w:rPr>
        <w:t xml:space="preserve">КОМИССИОННОГО ВОЗНАГРАЖДЕНИЯ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31"/>
        <w:rPr>
          <w:sz w:val="26"/>
          <w:szCs w:val="26"/>
        </w:rPr>
      </w:pPr>
      <w:r>
        <w:rPr>
          <w:sz w:val="26"/>
          <w:szCs w:val="26"/>
        </w:rPr>
        <w:t xml:space="preserve">НА УСЛУГИ ТУЛЬСКОГО РЕГИОНАЛЬНОГО ФИЛИАЛА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</w:pPr>
      <w:r>
        <w:rPr>
          <w:b/>
          <w:sz w:val="26"/>
          <w:szCs w:val="26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/>
    </w:p>
    <w:p>
      <w:r/>
      <w:r/>
    </w:p>
    <w:p>
      <w:pPr>
        <w:pStyle w:val="1129"/>
        <w:numPr>
          <w:ilvl w:val="0"/>
          <w:numId w:val="2"/>
        </w:numPr>
      </w:pPr>
      <w:r>
        <w:t xml:space="preserve">Открытие</w:t>
      </w:r>
      <w:r>
        <w:t xml:space="preserve"> </w:t>
      </w:r>
      <w:r>
        <w:t xml:space="preserve">и</w:t>
      </w:r>
      <w:r>
        <w:t xml:space="preserve"> </w:t>
      </w:r>
      <w:r>
        <w:t xml:space="preserve">веде</w:t>
      </w:r>
      <w:r>
        <w:t xml:space="preserve">ние</w:t>
      </w:r>
      <w:r>
        <w:t xml:space="preserve"> </w:t>
      </w:r>
      <w:r>
        <w:t xml:space="preserve">счетов</w:t>
      </w:r>
      <w:r/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985"/>
        <w:gridCol w:w="3401"/>
      </w:tblGrid>
      <w:tr>
        <w:tblPrEx/>
        <w:trPr>
          <w:trHeight w:val="233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рублях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7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1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1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Подписание с клиентом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, заключенного с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bCs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Style w:val="1141"/>
                <w:bCs/>
                <w:sz w:val="20"/>
                <w:szCs w:val="20"/>
              </w:rPr>
              <w:footnoteReference w:id="2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  <w:t xml:space="preserve">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подаче заявления: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-клиентами, включенными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заключившими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заключившими договор номинального банковского счета, открываемого организациям, на которые возлагается исполнение обязанностей опекунов или попечителей,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в отношении которых введена процедура конкурсного производства в соответствии с ФЗ «О несостоятельности (банкротстве) № 127-ФЗ.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закрытии счета, в связи с применением Банком права расторжения договора банковского счета в одностороннем порядке по причине отсутствия  движения и остатка денежных средств на счете в течение двух лет.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не взимается  при закрытии счета Банком в одностороннем порядке, в связи с исключением организации/индивидуального предпринимателя из ЕГРЮЛ/ЕГРИП.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1.1.3</w:t>
            </w:r>
            <w:r>
              <w:rPr>
                <w:color w:val="ff0000"/>
                <w:sz w:val="20"/>
                <w:szCs w:val="20"/>
              </w:rPr>
              <w:t xml:space="preserve">.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</w:t>
            </w:r>
            <w:r>
              <w:rPr>
                <w:sz w:val="20"/>
                <w:szCs w:val="20"/>
              </w:rPr>
              <w:t xml:space="preserve">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bCs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</w:t>
            </w:r>
            <w:r>
              <w:rPr>
                <w:bCs/>
                <w:sz w:val="20"/>
                <w:szCs w:val="20"/>
              </w:rPr>
              <w:t xml:space="preserve">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трех</w:t>
            </w:r>
            <w:r>
              <w:rPr>
                <w:sz w:val="20"/>
                <w:szCs w:val="20"/>
              </w:rPr>
              <w:t xml:space="preserve">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четвертого</w:t>
            </w:r>
            <w:r>
              <w:rPr>
                <w:sz w:val="20"/>
                <w:szCs w:val="20"/>
              </w:rPr>
              <w:t xml:space="preserve">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Style w:val="1141"/>
                <w:bCs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sz w:val="20"/>
                <w:szCs w:val="20"/>
              </w:rPr>
              <w:t xml:space="preserve">Банке </w:t>
            </w:r>
            <w:r>
              <w:rPr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с </w:t>
            </w:r>
            <w:r>
              <w:rPr>
                <w:sz w:val="20"/>
                <w:szCs w:val="20"/>
              </w:rPr>
              <w:t xml:space="preserve">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остатки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согласованию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соглашением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банковского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</w:t>
            </w:r>
            <w:r>
              <w:rPr>
                <w:sz w:val="20"/>
                <w:szCs w:val="20"/>
              </w:rPr>
              <w:t xml:space="preserve">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 млн.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 млн.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организациях, взимается в соответствии с п. 1.1.8 Тарифов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Фонда</w:t>
            </w:r>
            <w:r>
              <w:rPr>
                <w:sz w:val="20"/>
                <w:szCs w:val="20"/>
              </w:rPr>
              <w:t xml:space="preserve"> пенсионного и</w:t>
            </w:r>
            <w:r>
              <w:rPr>
                <w:sz w:val="20"/>
                <w:szCs w:val="20"/>
              </w:rPr>
              <w:t xml:space="preserve">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</w:t>
            </w:r>
            <w:r>
              <w:rPr>
                <w:sz w:val="20"/>
                <w:szCs w:val="20"/>
              </w:rPr>
              <w:t xml:space="preserve">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bCs/>
                <w:sz w:val="20"/>
                <w:szCs w:val="20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</w:rPr>
              <w:t xml:space="preserve">из-за отсутствия денежн</w:t>
            </w:r>
            <w:r>
              <w:rPr>
                <w:sz w:val="20"/>
                <w:szCs w:val="20"/>
              </w:rPr>
              <w:t xml:space="preserve">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</w:t>
            </w:r>
            <w:r>
              <w:rPr>
                <w:sz w:val="20"/>
                <w:szCs w:val="20"/>
              </w:rPr>
              <w:t xml:space="preserve">оящего из Условий проведения в </w:t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1.1.7.1.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2"/>
                <w:szCs w:val="22"/>
              </w:rPr>
              <w:t xml:space="preserve">субъектов Российской Федерации, муниципальных образований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согласованию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</w:t>
            </w:r>
            <w:r>
              <w:rPr>
                <w:sz w:val="20"/>
                <w:szCs w:val="20"/>
              </w:rPr>
              <w:br/>
              <w:t xml:space="preserve">в других кредитных организациях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руб. </w:t>
            </w:r>
            <w:r>
              <w:rPr>
                <w:sz w:val="20"/>
                <w:szCs w:val="20"/>
              </w:rPr>
              <w:br/>
              <w:t xml:space="preserve">при ОБЩЕЙ СУММЕ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1%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150 000,01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1,7%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/>
              <w:t xml:space="preserve">до 2 000 000,00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3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/>
              <w:t xml:space="preserve">до 5 000 000,00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6% от суммы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</w:t>
            </w:r>
            <w:r>
              <w:rPr>
                <w:sz w:val="20"/>
                <w:szCs w:val="20"/>
              </w:rPr>
              <w:br/>
              <w:t xml:space="preserve">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на счета кредитных организаций </w:t>
            </w:r>
            <w:r>
              <w:rPr>
                <w:sz w:val="20"/>
                <w:szCs w:val="20"/>
              </w:rPr>
              <w:br/>
              <w:t xml:space="preserve">с балансо</w:t>
            </w:r>
            <w:r>
              <w:rPr>
                <w:sz w:val="20"/>
                <w:szCs w:val="20"/>
              </w:rPr>
              <w:t xml:space="preserve">вой позицией 30102, 30109,</w:t>
            </w:r>
            <w:r>
              <w:rPr>
                <w:sz w:val="20"/>
                <w:szCs w:val="20"/>
              </w:rPr>
              <w:t xml:space="preserve"> 30232, 30301, 30302, 47422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При осуществлении следующих операций комиссия взимается согласно п. 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перевод денежных средств </w:t>
            </w:r>
            <w:r>
              <w:rPr>
                <w:sz w:val="20"/>
                <w:szCs w:val="20"/>
              </w:rPr>
              <w:br/>
              <w:t xml:space="preserve">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заработной платы </w:t>
            </w:r>
            <w:r>
              <w:rPr>
                <w:sz w:val="20"/>
                <w:szCs w:val="20"/>
              </w:rPr>
              <w:br/>
              <w:t xml:space="preserve">и приравненных к ней платежей </w:t>
            </w:r>
            <w:r>
              <w:rPr>
                <w:sz w:val="20"/>
                <w:szCs w:val="20"/>
              </w:rPr>
              <w:br/>
              <w:t xml:space="preserve">(вне рамок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 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 1.1.5 Тарифов только в том случае, если все указанные в поле «Назначение платежа» основания соответствуют операциям, перечисленным в п. 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с номинального банковского счета, открываемого организациям, </w:t>
            </w:r>
            <w:r>
              <w:rPr>
                <w:sz w:val="20"/>
                <w:szCs w:val="20"/>
              </w:rPr>
              <w:br/>
              <w:t xml:space="preserve">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 благотворительных целях (при наличии решения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 приеме </w:t>
            </w:r>
            <w:r>
              <w:rPr>
                <w:sz w:val="20"/>
                <w:szCs w:val="20"/>
              </w:rPr>
              <w:br/>
              <w:t xml:space="preserve">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комиссионное вознаграждение взимается </w:t>
            </w:r>
            <w:r>
              <w:rPr>
                <w:sz w:val="20"/>
                <w:szCs w:val="20"/>
              </w:rPr>
              <w:br/>
              <w:t xml:space="preserve">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</w:t>
            </w:r>
            <w:r>
              <w:rPr>
                <w:sz w:val="20"/>
                <w:szCs w:val="20"/>
              </w:rPr>
              <w:br/>
              <w:t xml:space="preserve">в текущем календарном месяце </w:t>
            </w:r>
            <w:r>
              <w:rPr>
                <w:sz w:val="20"/>
                <w:szCs w:val="20"/>
              </w:rPr>
              <w:br/>
              <w:t xml:space="preserve">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</w:t>
            </w:r>
            <w:r>
              <w:rPr>
                <w:sz w:val="20"/>
                <w:szCs w:val="20"/>
              </w:rPr>
              <w:br/>
              <w:t xml:space="preserve">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</w:t>
            </w:r>
            <w:r>
              <w:rPr>
                <w:sz w:val="20"/>
                <w:szCs w:val="20"/>
              </w:rPr>
              <w:br/>
              <w:t xml:space="preserve">не учитываются операции, указанные в пунктах 2, 3, 4 настоящего примечания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</w:t>
            </w:r>
            <w:r>
              <w:rPr>
                <w:sz w:val="20"/>
                <w:szCs w:val="20"/>
              </w:rPr>
              <w:t xml:space="preserve">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«Перевод денежных средств со счета клиента на счета физических лиц,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bCs/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производится бесплатно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(ООО «Мое дело» ИНН </w:t>
            </w:r>
            <w:r>
              <w:rPr>
                <w:sz w:val="20"/>
                <w:szCs w:val="20"/>
              </w:rPr>
              <w:t xml:space="preserve">7701889831</w:t>
            </w:r>
            <w:r>
              <w:rPr>
                <w:sz w:val="20"/>
                <w:szCs w:val="20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решения» ИНН 9718083320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  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</w:t>
            </w:r>
            <w:r>
              <w:rPr>
                <w:sz w:val="20"/>
                <w:szCs w:val="20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bottom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3000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подаче заявления: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в отношении которых введена процедура конкурсного производства в соответствии с ФЗ «О несостоятельности (банкротстве) № 127-ФЗ.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закрытии счета, в связи с применением Банком права расторжения договора банковского счета в одностороннем порядке по причине отсутствия движения и остатка денежных средств на счете в течение двух лет.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не взимается при закрытии счета Банком в одностороннем порядке, в связи с исключением организации/индивидуального предпринимателя из ЕГРЮЛ/ЕГРИП.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1.2.3</w:t>
            </w:r>
            <w:r>
              <w:rPr>
                <w:color w:val="ff0000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 и в долларах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2 750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1.2.3.3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 Комиссия взимается ежемесячно в последний рабочий день мес</w:t>
            </w:r>
            <w:r>
              <w:rPr>
                <w:sz w:val="20"/>
                <w:szCs w:val="20"/>
              </w:rPr>
              <w:t xml:space="preserve">яца/в день закрытия счета, включая месяц, в котором открыт счет. Комиссия взимается независимо от наличия/отсутствия операций в течение календарного месяца. Комиссия взимается по ставке тарифа, действующей на дату начисления комиссии. Комиссия не взимается</w:t>
            </w:r>
            <w:r>
              <w:rPr>
                <w:sz w:val="20"/>
                <w:szCs w:val="20"/>
              </w:rPr>
              <w:t xml:space="preserve"> если совокупный среднедневной остаток равен нулю. 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</w:t>
            </w:r>
            <w:r>
              <w:rPr>
                <w:sz w:val="20"/>
                <w:szCs w:val="20"/>
              </w:rPr>
              <w:t xml:space="preserve">награждения Банку и на котором имеется доступный остаток, достаточный для оплаты комиссии. При расчете совокупного среднедневного остатка учитываются остатки на расчетном счете в иностранной валюте и соответствующем ему транзитном счете. Совокупный среднед</w:t>
            </w:r>
            <w:r>
              <w:rPr>
                <w:sz w:val="20"/>
                <w:szCs w:val="20"/>
              </w:rPr>
              <w:t xml:space="preserve">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</w:t>
            </w:r>
            <w:r>
              <w:rPr>
                <w:sz w:val="20"/>
                <w:szCs w:val="20"/>
              </w:rPr>
              <w:t xml:space="preserve">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16 http://www.rshb.ru/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Валюта перевода – доллары США.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bCs/>
                <w:sz w:val="20"/>
                <w:szCs w:val="20"/>
              </w:rPr>
              <w:t xml:space="preserve"> Услуга оказывается при наличии технической возможности у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6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целью 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 xml:space="preserve">руб.за</w:t>
            </w:r>
            <w:r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 xml:space="preserve">руб.за</w:t>
            </w:r>
            <w:r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rFonts w:eastAsia="Calibri"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8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.3.14.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1.3.15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1080" w:leader="none"/>
        </w:tabs>
        <w:rPr>
          <w:sz w:val="16"/>
          <w:szCs w:val="16"/>
        </w:rPr>
      </w:pPr>
      <w:r>
        <w:rPr>
          <w:iCs/>
          <w:sz w:val="20"/>
          <w:szCs w:val="20"/>
        </w:rPr>
        <w:t xml:space="preserve">* </w:t>
      </w:r>
      <w:r>
        <w:rPr>
          <w:sz w:val="16"/>
          <w:szCs w:val="16"/>
        </w:rPr>
        <w:t xml:space="preserve">Срок действия – до 31 декабря 2025 года (включительно).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60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Австралийский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Багамский</w:t>
      </w:r>
      <w:r>
        <w:rPr>
          <w:sz w:val="16"/>
          <w:szCs w:val="16"/>
        </w:rPr>
        <w:t xml:space="preserve">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Болгарский лев;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Венгерский форинт;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Вон Республики Корея;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Гонконгский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Датская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Исландская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Канадский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Албанский лек;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Македонский </w:t>
      </w:r>
      <w:r>
        <w:rPr>
          <w:sz w:val="16"/>
          <w:szCs w:val="16"/>
        </w:rPr>
        <w:t xml:space="preserve">денар</w:t>
      </w:r>
      <w:r>
        <w:rPr>
          <w:sz w:val="16"/>
          <w:szCs w:val="16"/>
        </w:rPr>
        <w:t xml:space="preserve">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Новозеландский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Норвежская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Польский злотый;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Румынский лей;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Сингапурский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Украинская гривна;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Фунт стерлингов Соединенного королевства;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Хорватская куна;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Чешская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Шведская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Швейцарский франк;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Японская йена.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140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40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40"/>
        <w:ind w:firstLine="709"/>
        <w:rPr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вышеуказанным договорам, в том числе </w:t>
      </w:r>
      <w:r>
        <w:rPr>
          <w:i/>
          <w:sz w:val="16"/>
          <w:szCs w:val="16"/>
        </w:rPr>
        <w:br/>
        <w:t xml:space="preserve">по договорам залога, договорам поручительства (в том числе прекратившим свое действие)</w:t>
      </w:r>
      <w:r>
        <w:rPr>
          <w:i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before="120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bCs/>
          <w:i/>
          <w:sz w:val="16"/>
          <w:szCs w:val="16"/>
        </w:rPr>
        <w:t xml:space="preserve">Без взимания комиссии в Банке открываются и обслуживаются: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бюджетные счета (счета, открываемые на балансовых позициях 401-404);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депозитные счета нотариусов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 счета;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</w:t>
      </w:r>
      <w:r>
        <w:rPr>
          <w:bCs/>
          <w:i/>
          <w:sz w:val="16"/>
          <w:szCs w:val="16"/>
        </w:rPr>
        <w:t xml:space="preserve">эскроу</w:t>
      </w:r>
      <w:r>
        <w:rPr>
          <w:bCs/>
          <w:i/>
          <w:sz w:val="16"/>
          <w:szCs w:val="16"/>
        </w:rPr>
        <w:t xml:space="preserve"> для расчетов по договору участия в долевом строительстве.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i/>
          <w:sz w:val="16"/>
          <w:szCs w:val="16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after="40"/>
        <w:tabs>
          <w:tab w:val="left" w:pos="0" w:leader="none"/>
          <w:tab w:val="left" w:pos="284" w:leader="none"/>
          <w:tab w:val="left" w:pos="1134" w:leader="none"/>
          <w:tab w:val="center" w:pos="1260" w:leader="none"/>
          <w:tab w:val="left" w:pos="1560" w:leader="none"/>
        </w:tabs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spacing w:after="40"/>
        <w:tabs>
          <w:tab w:val="left" w:pos="0" w:leader="none"/>
          <w:tab w:val="left" w:pos="284" w:leader="none"/>
          <w:tab w:val="left" w:pos="1134" w:leader="none"/>
          <w:tab w:val="center" w:pos="1260" w:leader="none"/>
          <w:tab w:val="left" w:pos="1560" w:leader="none"/>
        </w:tabs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9"/>
        <w:numPr>
          <w:ilvl w:val="0"/>
          <w:numId w:val="2"/>
        </w:numPr>
      </w:pPr>
      <w:r/>
      <w:bookmarkStart w:id="1" w:name="_Toc64472177"/>
      <w:r>
        <w:t xml:space="preserve">Кассовые</w:t>
      </w:r>
      <w:r>
        <w:t xml:space="preserve"> </w:t>
      </w:r>
      <w:r>
        <w:t xml:space="preserve">операции</w:t>
      </w:r>
      <w:r>
        <w:t xml:space="preserve">*</w:t>
      </w:r>
      <w:bookmarkEnd w:id="1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39"/>
        <w:gridCol w:w="3865"/>
        <w:gridCol w:w="1957"/>
        <w:gridCol w:w="3452"/>
        <w:gridCol w:w="235"/>
      </w:tblGrid>
      <w:tr>
        <w:tblPrEx/>
        <w:trPr>
          <w:gridAfter w:val="1"/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</w:t>
            </w: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  <w:t xml:space="preserve">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руб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4 000 000,01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</w:t>
            </w:r>
            <w:r>
              <w:rPr>
                <w:bCs/>
              </w:rPr>
              <w:t xml:space="preserve"> предпринимателям, относящимся к агропромышленному </w:t>
            </w:r>
            <w:r>
              <w:rPr>
                <w:bCs/>
                <w:sz w:val="20"/>
                <w:szCs w:val="20"/>
              </w:rPr>
              <w:t xml:space="preserve">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/>
              <w:t xml:space="preserve">до 3 500 000,00 руб. (включительно)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3 500 000,01</w:t>
            </w:r>
            <w:r>
              <w:rPr>
                <w:sz w:val="20"/>
                <w:szCs w:val="20"/>
              </w:rPr>
              <w:br/>
              <w:t xml:space="preserve">до 6 000 000,00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</w:t>
            </w:r>
            <w:r>
              <w:rPr>
                <w:sz w:val="20"/>
                <w:szCs w:val="20"/>
              </w:rPr>
              <w:t xml:space="preserve"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Helv" w:hAnsi="Helv" w:cs="Helv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11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наличности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результате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образовавшегося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излишка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недостачи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вызывающих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сомнение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подлинности,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экспертизу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ветхих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дефектной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1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банкнот/монет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5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подразделениями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наличии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достаточном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количестве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операционной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кассе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подразделения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банкнот/монет,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требуемых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постоянной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предварительной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заявке**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получения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монеты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</w:t>
            </w:r>
            <w:r>
              <w:rPr>
                <w:bCs/>
                <w:sz w:val="20"/>
                <w:szCs w:val="20"/>
              </w:rPr>
              <w:t xml:space="preserve">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(группы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вызывающих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сомнение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подлинности,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счетов, открытых бюджетным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r>
        <w:rPr>
          <w:bCs/>
          <w:i/>
          <w:sz w:val="16"/>
          <w:szCs w:val="16"/>
        </w:rPr>
        <w:t xml:space="preserve">эскроу</w:t>
      </w:r>
      <w:r>
        <w:rPr>
          <w:bCs/>
          <w:i/>
          <w:sz w:val="16"/>
          <w:szCs w:val="16"/>
        </w:rPr>
        <w:t xml:space="preserve"> для расчетов по договору участия в долевом строительстве осуществляются без взимания Банком комиссии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Плата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услуги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взимается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момент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если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конкретным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пунктом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Тарифов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предусмотрено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Предварительная заявка клиента – это письменное заявление</w:t>
      </w:r>
      <w:r>
        <w:rPr>
          <w:i/>
          <w:sz w:val="16"/>
          <w:szCs w:val="16"/>
        </w:rPr>
        <w:t xml:space="preserve">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</w:t>
      </w:r>
      <w:r>
        <w:rPr>
          <w:i/>
          <w:sz w:val="16"/>
          <w:szCs w:val="16"/>
        </w:rPr>
        <w:t xml:space="preserve">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</w:t>
      </w:r>
      <w:r>
        <w:rPr>
          <w:i/>
          <w:sz w:val="16"/>
          <w:szCs w:val="16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 xml:space="preserve">*****) </w:t>
      </w:r>
      <w:r>
        <w:rPr>
          <w:bCs/>
          <w:i/>
          <w:sz w:val="16"/>
          <w:szCs w:val="16"/>
        </w:rPr>
        <w:t xml:space="preserve">В соответствии с Федеральным законом от 10 июля 2023 года № 304-ФЗ </w:t>
      </w:r>
      <w:r>
        <w:rPr>
          <w:bCs/>
          <w:i/>
          <w:sz w:val="16"/>
          <w:szCs w:val="16"/>
        </w:rPr>
        <w:br/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</w:t>
      </w:r>
      <w:r>
        <w:rPr>
          <w:bCs/>
          <w:i/>
          <w:sz w:val="16"/>
          <w:szCs w:val="16"/>
        </w:rPr>
        <w:t xml:space="preserve">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426" w:leader="none"/>
          <w:tab w:val="left" w:pos="1080" w:leader="none"/>
          <w:tab w:val="left" w:pos="1134" w:leader="none"/>
        </w:tabs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r/>
      <w:r/>
    </w:p>
    <w:p>
      <w:r/>
      <w:r/>
    </w:p>
    <w:p>
      <w:pPr>
        <w:pStyle w:val="1129"/>
        <w:numPr>
          <w:ilvl w:val="0"/>
          <w:numId w:val="2"/>
        </w:numPr>
      </w:pPr>
      <w:r/>
      <w:bookmarkStart w:id="2" w:name="_Toc64472178"/>
      <w:r>
        <w:t xml:space="preserve">Выполнение</w:t>
      </w:r>
      <w:r>
        <w:t xml:space="preserve"> </w:t>
      </w:r>
      <w:r>
        <w:t xml:space="preserve">функций</w:t>
      </w:r>
      <w:r>
        <w:t xml:space="preserve"> </w:t>
      </w:r>
      <w:r>
        <w:t xml:space="preserve">агента</w:t>
      </w:r>
      <w:r>
        <w:t xml:space="preserve"> </w:t>
      </w:r>
      <w:r>
        <w:t xml:space="preserve">валютного</w:t>
      </w:r>
      <w:r>
        <w:t xml:space="preserve"> </w:t>
      </w:r>
      <w:r>
        <w:t xml:space="preserve">контроля</w:t>
      </w:r>
      <w:bookmarkEnd w:id="2"/>
      <w:r/>
      <w:r/>
    </w:p>
    <w:p>
      <w:pPr>
        <w:pStyle w:val="1129"/>
        <w:rPr>
          <w:i/>
        </w:rPr>
      </w:pPr>
      <w:r>
        <w:t xml:space="preserve">                         </w:t>
      </w:r>
      <w:bookmarkStart w:id="3" w:name="_Toc64472179"/>
      <w:r>
        <w:t xml:space="preserve">(размер</w:t>
      </w:r>
      <w:r>
        <w:t xml:space="preserve"> </w:t>
      </w:r>
      <w:r>
        <w:t xml:space="preserve">тарифов</w:t>
      </w:r>
      <w:r>
        <w:t xml:space="preserve"> </w:t>
      </w:r>
      <w:r>
        <w:t xml:space="preserve">указан</w:t>
      </w:r>
      <w:r>
        <w:t xml:space="preserve"> </w:t>
      </w:r>
      <w:r>
        <w:t xml:space="preserve">без</w:t>
      </w:r>
      <w:r>
        <w:t xml:space="preserve"> </w:t>
      </w:r>
      <w:r>
        <w:t xml:space="preserve">учета</w:t>
      </w:r>
      <w:r>
        <w:t xml:space="preserve"> </w:t>
      </w:r>
      <w:r>
        <w:t xml:space="preserve">НДС)*</w:t>
      </w:r>
      <w:bookmarkEnd w:id="3"/>
      <w:r>
        <w:rPr>
          <w:i/>
        </w:rPr>
      </w:r>
      <w:r>
        <w:rPr>
          <w:i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tbl>
      <w:tblPr>
        <w:tblW w:w="1023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431"/>
      </w:tblGrid>
      <w:tr>
        <w:tblPrEx/>
        <w:trPr>
          <w:trHeight w:val="227"/>
          <w:tblHeader/>
        </w:trPr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         миниму</w:t>
            </w:r>
            <w:r>
              <w:rPr>
                <w:sz w:val="20"/>
                <w:szCs w:val="20"/>
              </w:rPr>
              <w:t xml:space="preserve">м 500 руб., </w:t>
            </w:r>
            <w:r>
              <w:rPr>
                <w:sz w:val="20"/>
                <w:szCs w:val="20"/>
              </w:rPr>
              <w:t xml:space="preserve">для головного офиса (далее – ГО), </w:t>
            </w:r>
            <w:r>
              <w:rPr>
                <w:sz w:val="20"/>
                <w:szCs w:val="20"/>
              </w:rPr>
              <w:t xml:space="preserve">РФ </w:t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- Центр розничного и малого бизнеса</w:t>
            </w:r>
            <w:r>
              <w:rPr>
                <w:sz w:val="20"/>
                <w:szCs w:val="20"/>
              </w:rPr>
              <w:t xml:space="preserve"> (далее – </w:t>
            </w:r>
            <w:r>
              <w:rPr>
                <w:sz w:val="20"/>
                <w:szCs w:val="20"/>
              </w:rPr>
              <w:t xml:space="preserve">ЦРМБ</w:t>
            </w:r>
            <w:r>
              <w:rPr>
                <w:sz w:val="20"/>
                <w:szCs w:val="20"/>
              </w:rPr>
              <w:t xml:space="preserve">) и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- «ЦКБ» (далее – 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региональных филиалов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(далее – РФ 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3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 использованием системы дистанционного банковского обслуживания;                                                 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</w:t>
            </w:r>
            <w:r>
              <w:rPr>
                <w:bCs/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3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</w:t>
            </w:r>
            <w:r>
              <w:rPr>
                <w:sz w:val="20"/>
                <w:szCs w:val="20"/>
              </w:rPr>
              <w:t xml:space="preserve">верждающих документах (далее – </w:t>
            </w:r>
            <w:r>
              <w:rPr>
                <w:sz w:val="20"/>
                <w:szCs w:val="20"/>
              </w:rPr>
              <w:t xml:space="preserve">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85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минимум 500 руб., максимум      80 000 руб. для ГО, ЦРМБ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sz w:val="20"/>
                <w:szCs w:val="20"/>
              </w:rPr>
              <w:br/>
              <w:t xml:space="preserve">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  <w:br/>
              <w:t xml:space="preserve">и предоставляется только резидентам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120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bCs/>
          <w:i/>
          <w:sz w:val="16"/>
          <w:szCs w:val="16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bCs/>
          <w:i/>
          <w:sz w:val="16"/>
          <w:szCs w:val="16"/>
        </w:rPr>
        <w:t xml:space="preserve">Регламентом взаимодействия клиентов с АО «</w:t>
      </w:r>
      <w:r>
        <w:rPr>
          <w:bCs/>
          <w:i/>
          <w:sz w:val="16"/>
          <w:szCs w:val="16"/>
        </w:rPr>
        <w:t xml:space="preserve">Россельхозбанк</w:t>
      </w:r>
      <w:r>
        <w:rPr>
          <w:bCs/>
          <w:i/>
          <w:sz w:val="16"/>
          <w:szCs w:val="16"/>
        </w:rPr>
        <w:t xml:space="preserve">» при осуществлении операций, подлежащих валютному контролю.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i/>
          <w:sz w:val="16"/>
          <w:szCs w:val="16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i/>
          <w:sz w:val="16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</w:t>
      </w:r>
      <w:r>
        <w:rPr>
          <w:i/>
          <w:sz w:val="16"/>
          <w:szCs w:val="16"/>
        </w:rPr>
        <w:t xml:space="preserve">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</w:t>
      </w:r>
      <w:r>
        <w:rPr>
          <w:i/>
          <w:sz w:val="16"/>
          <w:szCs w:val="16"/>
        </w:rPr>
        <w:t xml:space="preserve">ия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bCs/>
          <w:i/>
          <w:sz w:val="16"/>
          <w:szCs w:val="16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bCs/>
          <w:i/>
          <w:sz w:val="16"/>
          <w:szCs w:val="16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</w:t>
      </w:r>
      <w:r>
        <w:rPr>
          <w:i/>
          <w:sz w:val="16"/>
          <w:szCs w:val="16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numPr>
          <w:ilvl w:val="0"/>
          <w:numId w:val="5"/>
        </w:numPr>
        <w:contextualSpacing/>
        <w:ind w:left="0" w:firstLine="567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сведений уполномоченного банка о проведенной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numPr>
          <w:ilvl w:val="0"/>
          <w:numId w:val="5"/>
        </w:numPr>
        <w:ind w:left="0"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firstLine="567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567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СПД за клиента: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  <w:t xml:space="preserve">При списании денежных средств с расчетного счета клиента-нерезидента </w:t>
      </w:r>
      <w:r>
        <w:rPr>
          <w:i/>
          <w:sz w:val="16"/>
          <w:szCs w:val="16"/>
        </w:rPr>
        <w:t xml:space="preserve">–</w:t>
      </w:r>
      <w:r>
        <w:rPr>
          <w:i/>
          <w:sz w:val="16"/>
          <w:szCs w:val="16"/>
        </w:rPr>
        <w:t xml:space="preserve"> юридического лица в валюте Российской Федерации: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валютного контроля: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i/>
          <w:sz w:val="16"/>
          <w:szCs w:val="16"/>
        </w:rPr>
        <w:t xml:space="preserve">троля сведений о </w:t>
      </w:r>
      <w:r>
        <w:rPr>
          <w:i/>
          <w:sz w:val="16"/>
          <w:szCs w:val="16"/>
        </w:rPr>
        <w:t xml:space="preserve">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1129"/>
        <w:numPr>
          <w:ilvl w:val="0"/>
          <w:numId w:val="2"/>
        </w:numPr>
        <w:rPr>
          <w:lang w:val="en-US"/>
        </w:rPr>
      </w:pPr>
      <w:r/>
      <w:bookmarkStart w:id="4" w:name="_Toc64472180"/>
      <w:r>
        <w:t xml:space="preserve">Операции</w:t>
      </w:r>
      <w:r>
        <w:t xml:space="preserve"> </w:t>
      </w:r>
      <w:r>
        <w:t xml:space="preserve">с</w:t>
      </w:r>
      <w:r>
        <w:t xml:space="preserve"> </w:t>
      </w:r>
      <w:r>
        <w:t xml:space="preserve">ценными</w:t>
      </w:r>
      <w:r>
        <w:t xml:space="preserve"> </w:t>
      </w:r>
      <w:r>
        <w:t xml:space="preserve">бумагами</w:t>
      </w:r>
      <w:bookmarkEnd w:id="4"/>
      <w:r>
        <w:rPr>
          <w:lang w:val="en-US"/>
        </w:rPr>
      </w:r>
      <w:r>
        <w:rPr>
          <w:lang w:val="en-US"/>
        </w:rPr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«Д»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облагается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алоговых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6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проверка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передаче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заклад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4.4.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pPr>
        <w:pStyle w:val="1129"/>
        <w:numPr>
          <w:ilvl w:val="0"/>
          <w:numId w:val="2"/>
        </w:numPr>
      </w:pPr>
      <w:r/>
      <w:bookmarkStart w:id="5" w:name="_Toc64472181"/>
      <w:r>
        <w:t xml:space="preserve">Документарные</w:t>
      </w:r>
      <w:r>
        <w:t xml:space="preserve"> </w:t>
      </w:r>
      <w:r>
        <w:t xml:space="preserve">операции</w:t>
      </w:r>
      <w:bookmarkEnd w:id="5"/>
      <w:r/>
      <w:r/>
    </w:p>
    <w:p>
      <w:r/>
      <w:r/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260"/>
        <w:gridCol w:w="2552"/>
        <w:gridCol w:w="3431"/>
      </w:tblGrid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4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его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минимум 1 000 руб.,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sz w:val="20"/>
                <w:szCs w:val="20"/>
              </w:rPr>
              <w:t xml:space="preserve">авизования</w:t>
            </w:r>
            <w:r>
              <w:rPr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2"/>
                <w:szCs w:val="22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  <w:t xml:space="preserve">в дату открытия аккредитива/ </w:t>
            </w:r>
            <w:r>
              <w:rPr>
                <w:iCs/>
                <w:sz w:val="22"/>
                <w:szCs w:val="22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аккредит</w:t>
            </w:r>
            <w:r>
              <w:rPr>
                <w:iCs/>
                <w:sz w:val="22"/>
                <w:szCs w:val="22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szCs w:val="22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рублях Российской Федерации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максимум 50 000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- в долларах США, евро и иной валюте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2"/>
                <w:szCs w:val="22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изменений условий ранее авизованного аккредитива, не связанных с увеличением его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аннуляцию/отзыв аккредитива, открытого другим банком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sz w:val="20"/>
                <w:szCs w:val="20"/>
              </w:rPr>
              <w:t xml:space="preserve">авизования</w:t>
            </w:r>
            <w:r>
              <w:rPr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его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подлежащей оплате, минимум 5000 руб., максимум 100 000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 если документы не приняты к оплате), исходя из суммы, подлежащей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2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расчетов по внешнеторговым сделкам (импортные аккредитивы)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2"/>
                <w:szCs w:val="22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</w:t>
            </w:r>
            <w:r>
              <w:rPr>
                <w:iCs/>
                <w:sz w:val="22"/>
                <w:szCs w:val="22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</w:t>
            </w:r>
            <w:r>
              <w:rPr>
                <w:iCs/>
                <w:sz w:val="22"/>
                <w:szCs w:val="22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 в рублях Российской Федерации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343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sz w:val="20"/>
                <w:szCs w:val="20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sz w:val="20"/>
                <w:szCs w:val="20"/>
              </w:rPr>
              <w:br/>
              <w:t xml:space="preserve">на основании требования Банка.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Перевод аккредитива в пользу другого бенефициара (</w:t>
            </w:r>
            <w:r>
              <w:rPr>
                <w:bCs/>
                <w:sz w:val="22"/>
                <w:szCs w:val="22"/>
              </w:rPr>
              <w:t xml:space="preserve">трансферация</w:t>
            </w:r>
            <w:r>
              <w:rPr>
                <w:bCs/>
                <w:sz w:val="22"/>
                <w:szCs w:val="22"/>
              </w:rPr>
              <w:t xml:space="preserve">);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sz w:val="22"/>
                <w:szCs w:val="22"/>
              </w:rPr>
              <w:t xml:space="preserve">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</w:t>
            </w:r>
            <w:r>
              <w:rPr>
                <w:bCs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sz w:val="20"/>
                <w:szCs w:val="20"/>
              </w:rPr>
              <w:t xml:space="preserve"> суммы или суммы её увеличения,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100 000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не связанное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sz w:val="20"/>
                <w:szCs w:val="20"/>
              </w:rPr>
              <w:t xml:space="preserve">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</w:t>
            </w:r>
            <w:r>
              <w:rPr>
                <w:bCs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Предварительное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75 000 руб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  <w:t xml:space="preserve">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2"/>
                <w:szCs w:val="22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запроса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т. ч. если документы не приняты к оплате), исходя из суммы, подлежащей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sz w:val="20"/>
                <w:szCs w:val="20"/>
              </w:rPr>
              <w:t xml:space="preserve">трансферация</w:t>
            </w:r>
            <w:r>
              <w:rPr>
                <w:bCs/>
                <w:sz w:val="20"/>
                <w:szCs w:val="20"/>
              </w:rPr>
              <w:t xml:space="preserve">);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</w:t>
            </w:r>
            <w:r>
              <w:rPr>
                <w:bCs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sz w:val="20"/>
                <w:szCs w:val="20"/>
              </w:rPr>
              <w:t xml:space="preserve"> суммы или суммы </w:t>
            </w:r>
            <w:r>
              <w:rPr>
                <w:bCs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запроса на аннуляцию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sz w:val="20"/>
                <w:szCs w:val="20"/>
              </w:rPr>
              <w:t xml:space="preserve">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</w:t>
            </w:r>
            <w:r>
              <w:rPr>
                <w:bCs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243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06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При указании в наименовании услуги двух и более операций к</w:t>
      </w:r>
      <w:r>
        <w:rPr>
          <w:bCs/>
          <w:i/>
          <w:sz w:val="16"/>
          <w:szCs w:val="16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i/>
          <w:sz w:val="16"/>
          <w:szCs w:val="16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 по Разделам 5.2 «Документарные аккредитивы, открытые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для расчетов по внешнеторговым сделкам (импортные аккредитивы)», </w:t>
      </w:r>
      <w:r>
        <w:rPr>
          <w:i/>
          <w:sz w:val="16"/>
          <w:szCs w:val="16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i/>
          <w:sz w:val="16"/>
          <w:szCs w:val="16"/>
        </w:rPr>
        <w:br/>
        <w:t xml:space="preserve">По аккредитивам и инкассо в иностранной валюте ко</w:t>
      </w:r>
      <w:r>
        <w:rPr>
          <w:i/>
          <w:sz w:val="16"/>
          <w:szCs w:val="16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i/>
          <w:sz w:val="16"/>
          <w:szCs w:val="16"/>
        </w:rPr>
        <w:br/>
        <w:t xml:space="preserve">за период), если иное не предусмотрено соглашением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i/>
          <w:sz w:val="16"/>
          <w:szCs w:val="16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i/>
          <w:sz w:val="16"/>
          <w:szCs w:val="16"/>
        </w:rPr>
        <w:br/>
        <w:t xml:space="preserve">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</w:t>
      </w:r>
      <w:r>
        <w:rPr>
          <w:bCs/>
          <w:i/>
          <w:iCs/>
          <w:sz w:val="16"/>
          <w:szCs w:val="16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8. Комиссионное вознаграждение, уплаченное Банку за оказание услуг (кроме ошибочно удержанного), возврату не подлежит.».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129"/>
        <w:numPr>
          <w:ilvl w:val="0"/>
          <w:numId w:val="2"/>
        </w:numPr>
      </w:pPr>
      <w:r/>
      <w:bookmarkStart w:id="6" w:name="_Toc64472182"/>
      <w:r>
        <w:t xml:space="preserve">Гарантийные</w:t>
      </w:r>
      <w:r>
        <w:t xml:space="preserve"> </w:t>
      </w:r>
      <w:r>
        <w:t xml:space="preserve">операции</w:t>
      </w:r>
      <w:bookmarkEnd w:id="6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банковской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7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приказу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суммы и/или срока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7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</w:t>
            </w:r>
            <w:r>
              <w:rPr>
                <w:sz w:val="20"/>
                <w:szCs w:val="20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/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sz w:val="20"/>
                <w:szCs w:val="20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сумма),так 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Изменение условий Генерального соглашения о выдаче банковских гарантий/Соглашения о порядке и условиях выдачи банковской гарантии, а также условий гарантии, не указанных в п. 6.2.1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5 000 руб.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7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/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/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гарантии,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гарантии,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связанного с увеличением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ее суммы,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20 000 руб.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изменения гарантии, не связанного 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увеличением ее суммы/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запроса 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аннуляцию гарантии/ </w:t>
            </w: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сообщения по гарантии без обязательств со стороны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6.5.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3 500 руб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 к пунктам 6.3-6.7 Тарифов: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 Если уплата комиссионного вознаграж</w:t>
      </w:r>
      <w:r>
        <w:rPr>
          <w:bCs/>
          <w:i/>
          <w:iCs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</w:rPr>
        <w:t xml:space="preserve">.».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r/>
      <w:r/>
    </w:p>
    <w:p>
      <w:r/>
      <w:r/>
    </w:p>
    <w:p>
      <w:pPr>
        <w:pStyle w:val="1129"/>
        <w:numPr>
          <w:ilvl w:val="0"/>
          <w:numId w:val="2"/>
        </w:numPr>
      </w:pPr>
      <w:r/>
      <w:bookmarkStart w:id="7" w:name="_Toc64472183"/>
      <w:r>
        <w:t xml:space="preserve">Дистанционное банковское обслуживание (ДБО)</w:t>
      </w:r>
      <w:bookmarkEnd w:id="7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161"/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8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5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Туле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Тульской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 </w:t>
            </w:r>
            <w:r>
              <w:rPr>
                <w:bCs/>
                <w:sz w:val="20"/>
                <w:szCs w:val="20"/>
              </w:rPr>
              <w:br/>
              <w:t xml:space="preserve">«Банк-Клиент»/«Интернет-Клиент/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68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-для клиентов «Банк-Клиент»/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«Интернет-Клиент»/«Мобильный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для клиентов «Интернет-Клиент»/ «Свой бизнес»,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      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7.3.2-7.3.3 комиссия по    п. 7.3.1 Банком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</w:t>
            </w:r>
            <w:r>
              <w:rPr>
                <w:sz w:val="20"/>
                <w:szCs w:val="20"/>
              </w:rPr>
              <w:t xml:space="preserve">Мобайл</w:t>
            </w:r>
            <w:r>
              <w:rPr>
                <w:sz w:val="20"/>
                <w:szCs w:val="20"/>
              </w:rPr>
              <w:t xml:space="preserve">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</w:t>
            </w:r>
            <w:r>
              <w:rPr>
                <w:bCs/>
                <w:sz w:val="20"/>
                <w:szCs w:val="20"/>
              </w:rPr>
              <w:t xml:space="preserve">ванному рабочему месту системы </w:t>
            </w:r>
            <w:r>
              <w:rPr>
                <w:bCs/>
                <w:sz w:val="20"/>
                <w:szCs w:val="20"/>
              </w:rPr>
              <w:t xml:space="preserve">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2 000,00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hanging="766"/>
              <w:jc w:val="both"/>
              <w:spacing w:after="120"/>
              <w:widowControl w:val="off"/>
              <w:tabs>
                <w:tab w:val="clear" w:pos="964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2 000,00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за каждое автоматизированное рабочее место,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 не более 5 000 руб. с одного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2 050,00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40"/>
              <w:jc w:val="both"/>
              <w:tabs>
                <w:tab w:val="left" w:pos="1134" w:leader="none"/>
              </w:tabs>
              <w:rPr>
                <w:bCs/>
              </w:rPr>
            </w:pPr>
            <w:r>
              <w:rPr>
                <w:bCs/>
              </w:rPr>
              <w:t xml:space="preserve">Тариф включает в себя НДС (дополнительно не взимается).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140"/>
              <w:jc w:val="both"/>
              <w:tabs>
                <w:tab w:val="left" w:pos="1134" w:leader="none"/>
              </w:tabs>
              <w:rPr>
                <w:bCs/>
              </w:rPr>
            </w:pPr>
            <w: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815,00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«Интернет-Клиент»/ «Свой Бизнес»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</w:t>
            </w:r>
            <w:r>
              <w:rPr>
                <w:sz w:val="20"/>
                <w:szCs w:val="20"/>
              </w:rPr>
              <w:t xml:space="preserve">ие 45 дней </w:t>
            </w:r>
            <w:r>
              <w:rPr>
                <w:sz w:val="20"/>
                <w:szCs w:val="20"/>
              </w:rPr>
              <w:t xml:space="preserve">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 «Свой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2 050,00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</w:t>
            </w:r>
            <w:r>
              <w:rPr>
                <w:sz w:val="20"/>
                <w:szCs w:val="20"/>
              </w:rPr>
              <w:t xml:space="preserve">вления Субъекту информационного </w:t>
            </w:r>
            <w:r>
              <w:rPr>
                <w:sz w:val="20"/>
                <w:szCs w:val="20"/>
              </w:rPr>
              <w:t xml:space="preserve">обмена  сертификата ключа проверки электронной подписи.                   </w:t>
            </w: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»/заключения экспертной группы.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46"/>
              <w:jc w:val="center"/>
              <w:widowControl w:val="off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2 050,00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46"/>
              <w:jc w:val="center"/>
              <w:widowControl w:val="off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 «Свой Бизнес» 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 «Свой Бизнес» с использованием Личного кабинета предоставляется в соответствии с п.7.6.2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</w:t>
            </w:r>
            <w:r>
              <w:rPr>
                <w:sz w:val="20"/>
                <w:szCs w:val="20"/>
                <w:lang w:val="en-US"/>
              </w:rPr>
              <w:t xml:space="preserve">SMS </w:t>
            </w:r>
            <w:r>
              <w:rPr>
                <w:sz w:val="20"/>
                <w:szCs w:val="20"/>
              </w:rPr>
              <w:t xml:space="preserve">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Комиссионное вознаграждение (абонентская плата) </w:t>
            </w:r>
            <w:r>
              <w:br/>
              <w:t xml:space="preserve">за сервис </w:t>
            </w:r>
            <w:r>
              <w:t xml:space="preserve">«</w:t>
            </w:r>
            <w:r>
              <w:rPr>
                <w:lang w:val="en-US"/>
              </w:rPr>
              <w:t xml:space="preserve">SMS</w:t>
            </w:r>
            <w:r>
              <w:t xml:space="preserve"> информирование» (далее – Сервис) в рамках операций по счетам Клиента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189 руб. ежемесячно за каждый банковский счет, подключенный </w:t>
            </w:r>
            <w:r>
              <w:br/>
              <w:t xml:space="preserve">к Сервису, </w:t>
            </w:r>
            <w:r>
              <w:br/>
              <w:t xml:space="preserve">и за каждый телефонный номер</w:t>
            </w:r>
            <w:r/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подключении Сервиса до 15-го числа календарного месяца комиссия за текущий месяц взимается </w:t>
            </w:r>
            <w: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br/>
              <w:t xml:space="preserve">за текущий месяц взимается в размере 50% от расчетной величины. </w:t>
            </w:r>
            <w:r/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</w:t>
            </w:r>
            <w: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/>
          </w:p>
        </w:tc>
      </w:tr>
    </w:tbl>
    <w:p>
      <w:pPr>
        <w:rPr>
          <w:bCs/>
          <w:i/>
          <w:sz w:val="16"/>
          <w:szCs w:val="16"/>
          <w:u w:val="single"/>
        </w:rPr>
      </w:pPr>
      <w:r>
        <w:rPr>
          <w:i/>
          <w:iCs/>
          <w:sz w:val="16"/>
          <w:szCs w:val="16"/>
          <w:highlight w:val="none"/>
          <w:u w:val="single"/>
        </w:rPr>
      </w:r>
      <w:r>
        <w:rPr>
          <w:i/>
          <w:iCs/>
          <w:sz w:val="16"/>
          <w:szCs w:val="16"/>
          <w:highlight w:val="none"/>
          <w:u w:val="single"/>
        </w:rPr>
      </w:r>
      <w:r>
        <w:rPr>
          <w:bCs/>
          <w:i/>
          <w:sz w:val="16"/>
          <w:szCs w:val="16"/>
          <w:u w:val="single"/>
        </w:rPr>
      </w:r>
    </w:p>
    <w:p>
      <w:pPr>
        <w:pStyle w:val="1140"/>
        <w:jc w:val="both"/>
        <w:rPr>
          <w:i/>
          <w:sz w:val="16"/>
          <w:szCs w:val="16"/>
        </w:rPr>
      </w:pPr>
      <w:r>
        <w:rPr>
          <w:i w:val="0"/>
          <w:iCs w:val="0"/>
          <w:sz w:val="18"/>
          <w:szCs w:val="18"/>
        </w:rPr>
        <w:t xml:space="preserve">* Под обязательствами перед АО «</w:t>
      </w:r>
      <w:r>
        <w:rPr>
          <w:i w:val="0"/>
          <w:iCs w:val="0"/>
          <w:sz w:val="18"/>
          <w:szCs w:val="18"/>
        </w:rPr>
        <w:t xml:space="preserve">Россельхозбанк</w:t>
      </w:r>
      <w:r>
        <w:rPr>
          <w:i w:val="0"/>
          <w:iCs w:val="0"/>
          <w:sz w:val="18"/>
          <w:szCs w:val="18"/>
        </w:rPr>
        <w:t xml:space="preserve">» по кредитным сделкам понимаются:</w:t>
      </w:r>
      <w:r>
        <w:rPr>
          <w:i w:val="0"/>
          <w:iCs w:val="0"/>
          <w:sz w:val="18"/>
          <w:szCs w:val="18"/>
        </w:rPr>
      </w:r>
      <w:r>
        <w:rPr>
          <w:i/>
          <w:sz w:val="16"/>
          <w:szCs w:val="16"/>
        </w:rPr>
      </w:r>
    </w:p>
    <w:p>
      <w:pPr>
        <w:pStyle w:val="1140"/>
        <w:jc w:val="both"/>
        <w:rPr>
          <w:i/>
          <w:sz w:val="16"/>
          <w:szCs w:val="16"/>
        </w:rPr>
      </w:pPr>
      <w:r>
        <w:rPr>
          <w:i w:val="0"/>
          <w:iCs w:val="0"/>
          <w:sz w:val="18"/>
          <w:szCs w:val="18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 w:val="0"/>
          <w:iCs w:val="0"/>
          <w:sz w:val="18"/>
          <w:szCs w:val="18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 w:val="0"/>
          <w:iCs w:val="0"/>
          <w:sz w:val="18"/>
          <w:szCs w:val="18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i w:val="0"/>
          <w:iCs w:val="0"/>
          <w:sz w:val="18"/>
          <w:szCs w:val="18"/>
        </w:rPr>
        <w:t xml:space="preserve">Россельхозбанк</w:t>
      </w:r>
      <w:r>
        <w:rPr>
          <w:i w:val="0"/>
          <w:iCs w:val="0"/>
          <w:sz w:val="18"/>
          <w:szCs w:val="18"/>
        </w:rPr>
        <w:t xml:space="preserve">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 w:val="0"/>
          <w:iCs w:val="0"/>
          <w:sz w:val="18"/>
          <w:szCs w:val="18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 w:val="0"/>
          <w:iCs w:val="0"/>
          <w:sz w:val="18"/>
          <w:szCs w:val="18"/>
        </w:rPr>
      </w:r>
      <w:r>
        <w:rPr>
          <w:i w:val="0"/>
          <w:iCs w:val="0"/>
          <w:sz w:val="18"/>
          <w:szCs w:val="18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  <w:highlight w:val="none"/>
          <w:u w:val="single"/>
        </w:rPr>
      </w:pPr>
      <w:r>
        <w:rPr>
          <w:i/>
          <w:iCs/>
          <w:sz w:val="16"/>
          <w:szCs w:val="16"/>
          <w:highlight w:val="none"/>
          <w:u w:val="single"/>
        </w:rPr>
      </w:r>
      <w:r>
        <w:rPr>
          <w:i/>
          <w:iCs/>
          <w:sz w:val="16"/>
          <w:szCs w:val="16"/>
          <w:highlight w:val="none"/>
          <w:u w:val="single"/>
        </w:rPr>
      </w:r>
      <w:r>
        <w:rPr>
          <w:bCs/>
          <w:i/>
          <w:sz w:val="16"/>
          <w:szCs w:val="16"/>
          <w:highlight w:val="none"/>
          <w:u w:val="single"/>
        </w:rPr>
      </w:r>
    </w:p>
    <w:p>
      <w:pPr>
        <w:rPr>
          <w:i/>
          <w:iCs/>
          <w:sz w:val="16"/>
          <w:szCs w:val="16"/>
          <w:highlight w:val="none"/>
          <w:u w:val="single"/>
        </w:rPr>
      </w:pPr>
      <w:r>
        <w:rPr>
          <w:i/>
          <w:iCs/>
          <w:sz w:val="16"/>
          <w:szCs w:val="16"/>
          <w:u w:val="single"/>
        </w:rPr>
        <w:t xml:space="preserve">Примечание:</w:t>
      </w:r>
      <w:r>
        <w:rPr>
          <w:i/>
          <w:iCs/>
          <w:sz w:val="16"/>
          <w:szCs w:val="16"/>
          <w:highlight w:val="none"/>
          <w:u w:val="single"/>
        </w:rPr>
      </w:r>
      <w:r>
        <w:rPr>
          <w:i/>
          <w:iCs/>
          <w:sz w:val="16"/>
          <w:szCs w:val="16"/>
          <w:highlight w:val="none"/>
          <w:u w:val="single"/>
        </w:rPr>
      </w:r>
    </w:p>
    <w:p>
      <w:pPr>
        <w:rPr>
          <w:bCs/>
          <w:i/>
          <w:iCs/>
          <w:sz w:val="16"/>
          <w:szCs w:val="16"/>
          <w:u w:val="single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отдельные счета исп</w:t>
      </w:r>
      <w:r>
        <w:rPr>
          <w:bCs/>
          <w:i/>
          <w:sz w:val="16"/>
          <w:szCs w:val="16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bCs/>
          <w:i/>
          <w:sz w:val="16"/>
          <w:szCs w:val="16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bCs/>
          <w:i/>
          <w:iCs/>
          <w:sz w:val="16"/>
          <w:szCs w:val="16"/>
          <w:u w:val="single"/>
        </w:rPr>
      </w:r>
      <w:r>
        <w:rPr>
          <w:bCs/>
          <w:i/>
          <w:iCs/>
          <w:sz w:val="16"/>
          <w:szCs w:val="16"/>
          <w:u w:val="single"/>
        </w:rPr>
      </w:r>
    </w:p>
    <w:p>
      <w:pPr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</w:t>
      </w:r>
      <w:r>
        <w:rPr>
          <w:bCs/>
          <w:i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</w:t>
      </w:r>
      <w:r>
        <w:rPr>
          <w:bCs/>
          <w:i/>
          <w:iCs/>
          <w:sz w:val="16"/>
          <w:szCs w:val="16"/>
        </w:rPr>
        <w:tab/>
        <w:t xml:space="preserve">Дистанционное банковское обслуживание бюджетных (некоммерческих) учреждений осуществляется бесплатно.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</w:t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 xml:space="preserve"> В </w:t>
      </w:r>
      <w:r>
        <w:rPr>
          <w:bCs/>
          <w:i/>
          <w:iCs/>
          <w:sz w:val="16"/>
          <w:szCs w:val="16"/>
        </w:rPr>
        <w:t xml:space="preserve">случае если на момент оказания услуги клиент не имеет счетов, открытых в АО «</w:t>
      </w:r>
      <w:r>
        <w:rPr>
          <w:bCs/>
          <w:i/>
          <w:iCs/>
          <w:sz w:val="16"/>
          <w:szCs w:val="16"/>
        </w:rPr>
        <w:t xml:space="preserve">Россельхозбанк</w:t>
      </w:r>
      <w:r>
        <w:rPr>
          <w:bCs/>
          <w:i/>
          <w:iCs/>
          <w:sz w:val="16"/>
          <w:szCs w:val="16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</w:t>
      </w:r>
      <w:r>
        <w:rPr>
          <w:bCs/>
          <w:i/>
          <w:iCs/>
          <w:sz w:val="16"/>
          <w:szCs w:val="16"/>
        </w:rPr>
        <w:tab/>
      </w:r>
      <w:r>
        <w:rPr>
          <w:i/>
          <w:sz w:val="16"/>
          <w:szCs w:val="16"/>
        </w:rPr>
        <w:t xml:space="preserve">По операциям, совершаемым через «Мобильный банк»/ «Мобильное приложение «Свой Бизнес </w:t>
      </w:r>
      <w:r>
        <w:rPr>
          <w:i/>
          <w:sz w:val="16"/>
          <w:szCs w:val="16"/>
        </w:rPr>
        <w:t xml:space="preserve">Мобайл</w:t>
      </w:r>
      <w:r>
        <w:rPr>
          <w:i/>
          <w:sz w:val="16"/>
          <w:szCs w:val="16"/>
        </w:rPr>
        <w:t xml:space="preserve">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9"/>
        <w:numPr>
          <w:ilvl w:val="0"/>
          <w:numId w:val="2"/>
        </w:numPr>
      </w:pPr>
      <w:r/>
      <w:bookmarkStart w:id="8" w:name="_Toc64472184"/>
      <w:r>
        <w:t xml:space="preserve">Хранение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клиентов</w:t>
      </w:r>
      <w:r>
        <w:t xml:space="preserve"> </w:t>
      </w:r>
      <w:r>
        <w:t xml:space="preserve">в</w:t>
      </w:r>
      <w:r>
        <w:t xml:space="preserve"> </w:t>
      </w:r>
      <w:r>
        <w:t xml:space="preserve">хранилище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Банка</w:t>
      </w:r>
      <w:bookmarkEnd w:id="8"/>
      <w:r/>
      <w:r/>
    </w:p>
    <w:p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(с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учетом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НДС)</w:t>
      </w: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</w:p>
    <w:p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</w:p>
    <w:tbl>
      <w:tblPr>
        <w:tblW w:w="99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147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$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r/>
      <w:r/>
    </w:p>
    <w:p>
      <w:pPr>
        <w:pStyle w:val="1129"/>
        <w:numPr>
          <w:ilvl w:val="0"/>
          <w:numId w:val="2"/>
        </w:numPr>
      </w:pPr>
      <w:r/>
      <w:bookmarkStart w:id="9" w:name="_Toc64472185"/>
      <w:r>
        <w:t xml:space="preserve">Операции по предоставлению клиентам в аренду индивидуальных сейфовых ячеек</w:t>
      </w:r>
      <w:bookmarkEnd w:id="9"/>
      <w:r/>
      <w:r/>
    </w:p>
    <w:p>
      <w:r/>
      <w:r/>
    </w:p>
    <w:tbl>
      <w:tblPr>
        <w:tblW w:w="99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147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9.1.Предоставление в аренду индивидуальных сейфовых ячеек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оказывается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76,2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127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254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381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  <w:t xml:space="preserve">от 516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оказывается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8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0 руб. за каждое посещение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 за единицу банковской техники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pPr>
        <w:pStyle w:val="1129"/>
        <w:numPr>
          <w:ilvl w:val="0"/>
          <w:numId w:val="2"/>
        </w:numPr>
      </w:pPr>
      <w:r/>
      <w:bookmarkStart w:id="10" w:name="_Toc64472186"/>
      <w:r>
        <w:t xml:space="preserve">Услуги</w:t>
      </w:r>
      <w:r>
        <w:t xml:space="preserve"> </w:t>
      </w:r>
      <w:r>
        <w:t xml:space="preserve">инкассации</w:t>
      </w:r>
      <w:bookmarkEnd w:id="10"/>
      <w:r>
        <w:t xml:space="preserve"> </w:t>
      </w:r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290"/>
      </w:tblGrid>
      <w:tr>
        <w:tblPrEx/>
        <w:trPr>
          <w:trHeight w:val="332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51" w:firstLine="5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</w:t>
            </w:r>
            <w:r>
              <w:rPr>
                <w:sz w:val="20"/>
                <w:szCs w:val="20"/>
              </w:rPr>
              <w:br/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  <w:u w:val="single"/>
        </w:rPr>
        <w:t xml:space="preserve">Примечание</w:t>
      </w:r>
      <w:r>
        <w:rPr>
          <w:bCs/>
          <w:i/>
          <w:sz w:val="16"/>
          <w:szCs w:val="16"/>
        </w:rPr>
        <w:t xml:space="preserve">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bCs/>
          <w:i/>
          <w:sz w:val="16"/>
          <w:szCs w:val="16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276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</w:t>
      </w:r>
      <w:r>
        <w:rPr>
          <w:b/>
          <w:i/>
          <w:sz w:val="16"/>
          <w:szCs w:val="16"/>
        </w:rPr>
        <w:t xml:space="preserve">Заезд</w:t>
      </w:r>
      <w:r>
        <w:rPr>
          <w:i/>
          <w:sz w:val="16"/>
          <w:szCs w:val="16"/>
        </w:rPr>
        <w:t xml:space="preserve"> – прибытие бригады инка</w:t>
      </w:r>
      <w:r>
        <w:rPr>
          <w:i/>
          <w:sz w:val="16"/>
          <w:szCs w:val="16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</w:t>
      </w:r>
      <w:r>
        <w:rPr>
          <w:b/>
          <w:i/>
          <w:sz w:val="16"/>
          <w:szCs w:val="16"/>
        </w:rPr>
        <w:t xml:space="preserve">Объект инкассации</w:t>
      </w:r>
      <w:r>
        <w:rPr>
          <w:i/>
          <w:sz w:val="16"/>
          <w:szCs w:val="16"/>
        </w:rPr>
        <w:t xml:space="preserve">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9"/>
        <w:numPr>
          <w:ilvl w:val="0"/>
          <w:numId w:val="2"/>
        </w:numPr>
      </w:pPr>
      <w:r/>
      <w:bookmarkStart w:id="11" w:name="_Toc64472187"/>
      <w:r>
        <w:t xml:space="preserve">Операции</w:t>
      </w:r>
      <w:r>
        <w:t xml:space="preserve"> </w:t>
      </w:r>
      <w:r>
        <w:t xml:space="preserve">по</w:t>
      </w:r>
      <w:r>
        <w:t xml:space="preserve"> </w:t>
      </w:r>
      <w:r>
        <w:t xml:space="preserve">покупке-продаже</w:t>
      </w:r>
      <w:r>
        <w:t xml:space="preserve"> </w:t>
      </w:r>
      <w:r>
        <w:t xml:space="preserve">иностранной</w:t>
      </w:r>
      <w:r>
        <w:t xml:space="preserve"> </w:t>
      </w:r>
      <w:r>
        <w:t xml:space="preserve">валюты</w:t>
      </w:r>
      <w:r>
        <w:t xml:space="preserve">¹</w:t>
      </w:r>
      <w:bookmarkEnd w:id="11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588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суммы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установленным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размером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Операции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обязательной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продаже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части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валютной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выручки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внутреннем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валютном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рынке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Российской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Федерации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осуществляются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Банком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правилам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11.1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настоящих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Тарифов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с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учетом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требований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нормативных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документов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Банка России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установленным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размером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расчетной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комиссии,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действующим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соответствующую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дату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совершения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операции²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i/>
          <w:sz w:val="18"/>
          <w:szCs w:val="18"/>
        </w:rPr>
      </w:pPr>
      <w:r>
        <w:rPr>
          <w:i/>
          <w:sz w:val="18"/>
          <w:szCs w:val="18"/>
        </w:rPr>
      </w:r>
      <w:r>
        <w:rPr>
          <w:i/>
          <w:sz w:val="18"/>
          <w:szCs w:val="18"/>
        </w:rPr>
      </w:r>
      <w:r>
        <w:rPr>
          <w:i/>
          <w:sz w:val="18"/>
          <w:szCs w:val="18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</w:t>
      </w:r>
      <w:r>
        <w:rPr>
          <w:i/>
          <w:sz w:val="16"/>
          <w:szCs w:val="16"/>
        </w:rPr>
        <w:t xml:space="preserve">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1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Покупка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продажа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валюты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непосредственно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осуществляется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только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тем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видам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валют,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которым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головным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офисом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установлены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соответствующие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(Курс(ы)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2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имеет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право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изменять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Курс(ы)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и/или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размер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комиссии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течение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дня.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3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указанных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п.п.11.1-11.2,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и/или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размер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комиссии,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действующий(</w:t>
      </w:r>
      <w:r>
        <w:rPr>
          <w:i/>
          <w:sz w:val="16"/>
          <w:szCs w:val="16"/>
        </w:rPr>
        <w:t xml:space="preserve">ие</w:t>
      </w:r>
      <w:r>
        <w:rPr>
          <w:i/>
          <w:sz w:val="16"/>
          <w:szCs w:val="16"/>
        </w:rPr>
        <w:t xml:space="preserve">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дату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время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сообщаются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клиенту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после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приема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исполнению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</w:r>
      <w:r>
        <w:rPr>
          <w:i/>
          <w:color w:val="ff0000"/>
          <w:sz w:val="16"/>
          <w:szCs w:val="16"/>
        </w:rPr>
      </w:r>
      <w:r>
        <w:rPr>
          <w:i/>
          <w:color w:val="ff0000"/>
          <w:sz w:val="16"/>
          <w:szCs w:val="16"/>
        </w:rPr>
      </w:r>
    </w:p>
    <w:p>
      <w:pPr>
        <w:pStyle w:val="1129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</w:r>
      <w:bookmarkStart w:id="12" w:name="_Toc64472188"/>
      <w:r>
        <w:rPr>
          <w:color w:val="000000" w:themeColor="text1"/>
        </w:rPr>
        <w:t xml:space="preserve">Кредитные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операции</w:t>
      </w:r>
      <w:bookmarkEnd w:id="12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5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том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числе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способами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открытия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линии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кредитованием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банковского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счета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(овердрафт)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менее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0,8%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 кредитовании в рамках кредитного продукта «Стань фермером»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rFonts w:eastAsia="Calibri"/>
                <w:sz w:val="20"/>
                <w:szCs w:val="20"/>
              </w:rPr>
              <w:t xml:space="preserve">Агростарт</w:t>
            </w:r>
            <w:r>
              <w:rPr>
                <w:rFonts w:eastAsia="Calibri"/>
                <w:sz w:val="20"/>
                <w:szCs w:val="20"/>
              </w:rPr>
              <w:t xml:space="preserve">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0,1%</w:t>
            </w:r>
            <w: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 работ, </w:t>
            </w:r>
            <w:r>
              <w:rPr>
                <w:bCs/>
                <w:sz w:val="20"/>
                <w:szCs w:val="20"/>
              </w:rPr>
              <w:br/>
              <w:t xml:space="preserve">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</w:t>
            </w:r>
            <w:r>
              <w:rPr>
                <w:bCs/>
                <w:sz w:val="20"/>
                <w:szCs w:val="20"/>
              </w:rPr>
              <w:t xml:space="preserve"> интервенционного фонда № 372-П.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</w:t>
            </w:r>
            <w:r>
              <w:rPr>
                <w:sz w:val="20"/>
                <w:szCs w:val="20"/>
              </w:rPr>
              <w:t xml:space="preserve"> на период действия льготных условий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</w:t>
            </w:r>
            <w:r>
              <w:rPr>
                <w:bCs/>
                <w:sz w:val="20"/>
                <w:szCs w:val="20"/>
              </w:rPr>
              <w:t xml:space="preserve">й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 приобретения залогового имущества с торгов/имущества Банка № 694-П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t xml:space="preserve">АО«Россельхозбанк</w:t>
            </w:r>
            <w:r>
              <w:rPr>
                <w:bCs/>
                <w:sz w:val="20"/>
                <w:szCs w:val="20"/>
              </w:rPr>
              <w:t xml:space="preserve">» № 738-П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Обслуживание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линии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форме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«овердрафт»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всего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периода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действия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менее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0,5%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годовых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 кредитовании в рамках кредитного продукта «</w:t>
            </w:r>
            <w:r>
              <w:rPr>
                <w:rFonts w:eastAsia="Calibri"/>
                <w:sz w:val="20"/>
                <w:szCs w:val="20"/>
              </w:rPr>
              <w:t xml:space="preserve">Агростарт</w:t>
            </w:r>
            <w:r>
              <w:rPr>
                <w:rFonts w:eastAsia="Calibri"/>
                <w:sz w:val="20"/>
                <w:szCs w:val="20"/>
              </w:rPr>
              <w:t xml:space="preserve">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 работ, </w:t>
            </w:r>
            <w:r>
              <w:rPr>
                <w:bCs/>
                <w:sz w:val="20"/>
                <w:szCs w:val="20"/>
              </w:rPr>
              <w:br/>
              <w:t xml:space="preserve">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</w:t>
            </w:r>
            <w:r>
              <w:rPr>
                <w:bCs/>
                <w:sz w:val="20"/>
                <w:szCs w:val="20"/>
              </w:rPr>
              <w:t xml:space="preserve"> интервенционного фонда № 372-П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кредитовании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использованием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связанного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</w:t>
            </w:r>
            <w:r>
              <w:rPr>
                <w:sz w:val="20"/>
                <w:szCs w:val="20"/>
              </w:rPr>
              <w:t xml:space="preserve">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656-П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»,</w:t>
            </w:r>
            <w:r>
              <w:rPr>
                <w:bCs/>
                <w:sz w:val="20"/>
                <w:szCs w:val="20"/>
              </w:rPr>
              <w:t xml:space="preserve">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(бронирование)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41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70"/>
              <w:numPr>
                <w:ilvl w:val="0"/>
                <w:numId w:val="3"/>
              </w:numPr>
              <w:contextualSpacing/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открытии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срока(-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возврата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bCs/>
                <w:color w:val="auto"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№ 738-П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color w:val="auto"/>
                <w:sz w:val="20"/>
                <w:szCs w:val="20"/>
              </w:rPr>
              <w:br/>
              <w:t xml:space="preserve">АО «МСП Банк» № 547-П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</w:t>
            </w:r>
            <w:r>
              <w:rPr>
                <w:color w:val="auto"/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41"/>
                <w:color w:val="auto"/>
                <w:sz w:val="20"/>
                <w:szCs w:val="20"/>
              </w:rPr>
              <w:footnoteReference w:id="5"/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-при кредитовании по договору об </w:t>
            </w:r>
            <w:r>
              <w:rPr>
                <w:bCs/>
                <w:color w:val="auto"/>
                <w:sz w:val="20"/>
                <w:szCs w:val="20"/>
              </w:rPr>
              <w:t xml:space="preserve">открытии кредитной линии, </w:t>
            </w:r>
            <w:r>
              <w:rPr>
                <w:bCs/>
                <w:color w:val="auto"/>
                <w:sz w:val="20"/>
                <w:szCs w:val="20"/>
              </w:rPr>
              <w:t xml:space="preserve">заключенному </w:t>
            </w:r>
            <w:r>
              <w:rPr>
                <w:color w:val="auto"/>
                <w:sz w:val="20"/>
                <w:szCs w:val="20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color w:val="auto"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89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условий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сделки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изменении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процентной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ставки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начисляется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</w:t>
            </w:r>
            <w:r>
              <w:rPr>
                <w:bCs/>
                <w:sz w:val="20"/>
                <w:szCs w:val="20"/>
              </w:rPr>
              <w:t xml:space="preserve">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досрочного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соблюдения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процедуры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предварительного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согласования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сделкам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сроком(-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оставшимся(-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(возврата)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долга/окончательной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возврата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(возврата)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-свыше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вышеуказанной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досрочное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</w:t>
            </w:r>
            <w:r>
              <w:rPr>
                <w:color w:val="auto"/>
                <w:sz w:val="20"/>
                <w:szCs w:val="20"/>
              </w:rPr>
              <w:t xml:space="preserve">осрочный возврат кредита (основного долга) по инициативе заемщика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задолженности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Порядка предоставления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на цели, связанные с проведением сезонных работ, № 411-П 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color w:val="auto"/>
                <w:sz w:val="20"/>
                <w:szCs w:val="20"/>
              </w:rPr>
              <w:t xml:space="preserve">Микро_АПК</w:t>
            </w:r>
            <w:r>
              <w:rPr>
                <w:bCs/>
                <w:color w:val="auto"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bCs/>
                <w:color w:val="auto"/>
                <w:sz w:val="20"/>
                <w:szCs w:val="20"/>
              </w:rPr>
              <w:t xml:space="preserve"> в АО 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№ 656-П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 при кредитовании в соответствии с Порядком рефинансирования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color w:val="auto"/>
                <w:sz w:val="20"/>
                <w:szCs w:val="20"/>
              </w:rPr>
              <w:t xml:space="preserve">Рефинанс</w:t>
            </w:r>
            <w:r>
              <w:rPr>
                <w:color w:val="auto"/>
                <w:sz w:val="20"/>
                <w:szCs w:val="20"/>
              </w:rPr>
              <w:t xml:space="preserve">»,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в рамках Порядка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кредитования клиентов </w:t>
            </w:r>
            <w:r>
              <w:rPr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color w:val="auto"/>
                <w:sz w:val="20"/>
                <w:szCs w:val="20"/>
              </w:rPr>
              <w:t xml:space="preserve"> по кредитному продукту «Бизнес-карта с лимитом кредитования» в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№ 738-П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 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color w:val="auto"/>
                <w:sz w:val="20"/>
                <w:szCs w:val="20"/>
              </w:rPr>
              <w:t xml:space="preserve"> </w:t>
            </w:r>
            <w:r>
              <w:rPr>
                <w:bCs/>
                <w:color w:val="auto"/>
                <w:sz w:val="20"/>
                <w:szCs w:val="20"/>
              </w:rPr>
              <w:t xml:space="preserve">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юридических лиц – публичных обществ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в рамках Генерального соглашения о порядке заключения кредитных сделок № 447-П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color w:val="auto"/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color w:val="auto"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-при кредитовании в рамках решен</w:t>
            </w:r>
            <w:r>
              <w:rPr>
                <w:bCs/>
                <w:color w:val="auto"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color w:val="auto"/>
                <w:sz w:val="20"/>
                <w:szCs w:val="20"/>
                <w:vertAlign w:val="superscript"/>
              </w:rPr>
              <w:footnoteReference w:id="6"/>
            </w:r>
            <w:r>
              <w:rPr>
                <w:color w:val="auto"/>
                <w:sz w:val="20"/>
                <w:szCs w:val="20"/>
                <w:vertAlign w:val="superscript"/>
              </w:rPr>
              <w:t xml:space="preserve">,</w:t>
            </w:r>
            <w:r>
              <w:rPr>
                <w:color w:val="auto"/>
                <w:sz w:val="20"/>
                <w:szCs w:val="20"/>
                <w:vertAlign w:val="superscript"/>
              </w:rPr>
              <w:footnoteReference w:id="7"/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взимается,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  <w:t xml:space="preserve"> 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</w:t>
            </w:r>
            <w:r>
              <w:rPr>
                <w:color w:val="auto"/>
                <w:sz w:val="20"/>
                <w:szCs w:val="20"/>
              </w:rPr>
              <w:t xml:space="preserve">более 1,5%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1,5%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 в случаях, предусмотренных договором о залоге/ ипотеке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</w:t>
            </w:r>
            <w:r>
              <w:rPr>
                <w:sz w:val="20"/>
                <w:szCs w:val="20"/>
              </w:rPr>
              <w:t xml:space="preserve">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</w:t>
            </w:r>
            <w:r>
              <w:rPr>
                <w:sz w:val="20"/>
                <w:szCs w:val="20"/>
              </w:rPr>
              <w:t xml:space="preserve">- 15</w:t>
            </w:r>
            <w:r>
              <w:rPr>
                <w:sz w:val="20"/>
                <w:szCs w:val="20"/>
              </w:rPr>
              <w:t xml:space="preserve">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5" w:leader="none"/>
                <w:tab w:val="center" w:pos="88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 xml:space="preserve">Лимит кредитования</w:t>
      </w:r>
      <w:r>
        <w:rPr>
          <w:bCs/>
          <w:i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i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/>
          <w:iCs/>
          <w:sz w:val="20"/>
          <w:szCs w:val="20"/>
          <w:u w:val="single"/>
        </w:rPr>
        <w:t xml:space="preserve">Примечание</w:t>
      </w:r>
      <w:r>
        <w:rPr>
          <w:bCs/>
          <w:i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1.</w:t>
      </w:r>
      <w:r>
        <w:rPr>
          <w:i/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20"/>
        </w:rPr>
      </w:pPr>
      <w:r>
        <w:rPr>
          <w:bCs/>
          <w:i/>
          <w:iCs/>
          <w:sz w:val="20"/>
          <w:szCs w:val="20"/>
        </w:rPr>
        <w:t xml:space="preserve">2.</w:t>
      </w:r>
      <w:r>
        <w:rPr>
          <w:bCs/>
          <w:i/>
          <w:iCs/>
          <w:sz w:val="20"/>
          <w:szCs w:val="20"/>
        </w:rPr>
        <w:tab/>
        <w:t xml:space="preserve">Установление размера(</w:t>
      </w:r>
      <w:r>
        <w:rPr>
          <w:bCs/>
          <w:i/>
          <w:iCs/>
          <w:sz w:val="20"/>
          <w:szCs w:val="20"/>
        </w:rPr>
        <w:t xml:space="preserve">ов</w:t>
      </w:r>
      <w:r>
        <w:rPr>
          <w:bCs/>
          <w:i/>
          <w:iCs/>
          <w:sz w:val="20"/>
          <w:szCs w:val="20"/>
        </w:rPr>
        <w:t xml:space="preserve">) комиссии(</w:t>
      </w:r>
      <w:r>
        <w:rPr>
          <w:bCs/>
          <w:i/>
          <w:iCs/>
          <w:sz w:val="20"/>
          <w:szCs w:val="20"/>
        </w:rPr>
        <w:t xml:space="preserve">ий</w:t>
      </w:r>
      <w:r>
        <w:rPr>
          <w:bCs/>
          <w:i/>
          <w:iCs/>
          <w:sz w:val="20"/>
          <w:szCs w:val="20"/>
        </w:rPr>
        <w:t xml:space="preserve">) и/или иного порядка её(их) уплаты, не предусмотренных настоящим разделом Тарифов, при на</w:t>
      </w:r>
      <w:r>
        <w:rPr>
          <w:bCs/>
          <w:i/>
          <w:iCs/>
          <w:sz w:val="20"/>
          <w:szCs w:val="20"/>
        </w:rPr>
        <w:t xml:space="preserve">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 либо Кредитного комитета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», либо Правления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») и оформляется отдельным соглашением между Банком и Клиентом.</w:t>
      </w:r>
      <w:r>
        <w:rPr>
          <w:i/>
          <w:sz w:val="20"/>
        </w:rPr>
      </w:r>
      <w:r>
        <w:rPr>
          <w:i/>
          <w:sz w:val="20"/>
        </w:rPr>
      </w:r>
    </w:p>
    <w:p>
      <w:pPr>
        <w:jc w:val="both"/>
        <w:spacing w:before="120"/>
        <w:rPr>
          <w:b/>
          <w:bCs/>
          <w:i/>
          <w:iCs/>
          <w:sz w:val="20"/>
          <w:szCs w:val="20"/>
          <w:u w:val="single"/>
        </w:rPr>
        <w:outlineLvl w:val="5"/>
      </w:pPr>
      <w:r>
        <w:rPr>
          <w:b/>
          <w:bCs/>
          <w:i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/>
          <w:iCs/>
          <w:sz w:val="20"/>
          <w:szCs w:val="20"/>
          <w:u w:val="single"/>
        </w:rPr>
      </w:r>
      <w:r>
        <w:rPr>
          <w:b/>
          <w:bCs/>
          <w:i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bCs/>
          <w:i/>
          <w:iCs/>
          <w:sz w:val="20"/>
          <w:szCs w:val="20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bCs/>
          <w:i/>
          <w:iCs/>
          <w:sz w:val="20"/>
          <w:szCs w:val="20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bCs/>
          <w:i/>
          <w:iCs/>
          <w:sz w:val="20"/>
          <w:szCs w:val="20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</w:t>
      </w:r>
      <w:r>
        <w:rPr>
          <w:bCs/>
          <w:i/>
          <w:iCs/>
          <w:sz w:val="20"/>
          <w:szCs w:val="20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bCs/>
          <w:i/>
          <w:iCs/>
          <w:sz w:val="20"/>
          <w:szCs w:val="20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</w:t>
      </w:r>
      <w:r>
        <w:rPr>
          <w:bCs/>
          <w:i/>
          <w:iCs/>
          <w:sz w:val="20"/>
          <w:szCs w:val="20"/>
        </w:rPr>
        <w:t xml:space="preserve">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bCs/>
          <w:i/>
          <w:iCs/>
          <w:sz w:val="20"/>
          <w:szCs w:val="20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bCs/>
          <w:i/>
          <w:iCs/>
          <w:sz w:val="20"/>
          <w:szCs w:val="20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</w:t>
      </w:r>
      <w:r>
        <w:rPr>
          <w:bCs/>
          <w:i/>
          <w:iCs/>
          <w:sz w:val="20"/>
          <w:szCs w:val="20"/>
        </w:rPr>
        <w:t xml:space="preserve"> № 574) (далее – ППРФ от 02.04.2022 № 574);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</w:t>
      </w:r>
      <w:r>
        <w:rPr>
          <w:bCs/>
          <w:i/>
          <w:iCs/>
          <w:sz w:val="20"/>
          <w:szCs w:val="20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ППРФ </w:t>
      </w:r>
      <w:r>
        <w:rPr>
          <w:bCs/>
          <w:i/>
          <w:iCs/>
          <w:sz w:val="20"/>
          <w:szCs w:val="20"/>
        </w:rPr>
        <w:t xml:space="preserve">от 18.05.2022 № 895);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bCs/>
          <w:i/>
          <w:iCs/>
          <w:sz w:val="20"/>
          <w:szCs w:val="20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/>
          <w:iCs/>
          <w:sz w:val="20"/>
          <w:szCs w:val="20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/>
          <w:iCs/>
          <w:sz w:val="20"/>
          <w:szCs w:val="20"/>
        </w:rPr>
        <w:t xml:space="preserve">№ 1528);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i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i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i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i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</w:t>
      </w:r>
      <w:r>
        <w:rPr>
          <w:bCs/>
          <w:i/>
          <w:iCs/>
          <w:sz w:val="20"/>
          <w:szCs w:val="20"/>
        </w:rPr>
        <w:t xml:space="preserve"> № 1764);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 w:after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i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i/>
          <w:sz w:val="20"/>
          <w:szCs w:val="20"/>
        </w:rPr>
        <w:br/>
        <w:t xml:space="preserve">(утв. постановлением Правительства Российской Федерации от 06.09.2022 № 1570) (далее – ППРФ от 06.09.2022 </w:t>
      </w:r>
      <w:r>
        <w:rPr>
          <w:i/>
          <w:sz w:val="20"/>
          <w:szCs w:val="20"/>
        </w:rPr>
        <w:t xml:space="preserve">№ 1570)</w:t>
      </w:r>
      <w:r>
        <w:rPr>
          <w:bCs/>
          <w:i/>
          <w:iCs/>
          <w:sz w:val="20"/>
          <w:szCs w:val="20"/>
        </w:rPr>
        <w:t xml:space="preserve">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rPr>
          <w:i/>
          <w:color w:val="auto"/>
          <w:sz w:val="20"/>
          <w:szCs w:val="20"/>
        </w:rPr>
        <w:outlineLvl w:val="5"/>
      </w:pPr>
      <w:r>
        <w:rPr>
          <w:i/>
          <w:color w:val="auto"/>
          <w:sz w:val="20"/>
          <w:szCs w:val="20"/>
        </w:rPr>
        <w:t xml:space="preserve">- при кредитовании в рамках решения М</w:t>
      </w:r>
      <w:r>
        <w:rPr>
          <w:i/>
          <w:color w:val="auto"/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i/>
          <w:color w:val="auto"/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i/>
          <w:color w:val="auto"/>
          <w:sz w:val="20"/>
          <w:szCs w:val="20"/>
        </w:rPr>
      </w:r>
      <w:r>
        <w:rPr>
          <w:i/>
          <w:color w:val="auto"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/>
          <w:color w:val="auto"/>
          <w:sz w:val="20"/>
          <w:szCs w:val="20"/>
          <w:highlight w:val="none"/>
        </w:rPr>
      </w:pPr>
      <w:r>
        <w:rPr>
          <w:i/>
          <w:color w:val="auto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</w:t>
      </w:r>
      <w:r>
        <w:rPr>
          <w:i/>
          <w:color w:val="auto"/>
          <w:sz w:val="20"/>
          <w:szCs w:val="20"/>
        </w:rPr>
        <w:t xml:space="preserve">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</w:t>
      </w:r>
      <w:r>
        <w:rPr>
          <w:i/>
          <w:color w:val="auto"/>
          <w:sz w:val="20"/>
          <w:szCs w:val="20"/>
        </w:rPr>
        <w:t xml:space="preserve">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</w:t>
      </w:r>
      <w:r>
        <w:rPr>
          <w:i/>
          <w:color w:val="auto"/>
          <w:sz w:val="20"/>
          <w:szCs w:val="20"/>
        </w:rPr>
        <w:t xml:space="preserve"> с ППРФ </w:t>
      </w:r>
      <w:r>
        <w:rPr>
          <w:i/>
          <w:color w:val="auto"/>
          <w:sz w:val="20"/>
          <w:szCs w:val="20"/>
        </w:rPr>
        <w:t xml:space="preserve">от</w:t>
      </w:r>
      <w:r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25.10.2023</w:t>
      </w:r>
      <w:r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№ 1780.</w:t>
      </w:r>
      <w:r>
        <w:rPr>
          <w:bCs/>
          <w:i/>
          <w:color w:val="auto"/>
          <w:sz w:val="20"/>
          <w:szCs w:val="20"/>
          <w:highlight w:val="none"/>
        </w:rPr>
      </w:r>
      <w:r>
        <w:rPr>
          <w:bCs/>
          <w:i/>
          <w:color w:val="auto"/>
          <w:sz w:val="20"/>
          <w:szCs w:val="20"/>
          <w:highlight w:val="none"/>
        </w:rPr>
      </w:r>
    </w:p>
    <w:p>
      <w:pPr>
        <w:ind w:firstLine="0"/>
        <w:jc w:val="both"/>
        <w:spacing w:before="40" w:after="0" w:line="240" w:lineRule="auto"/>
        <w:rPr>
          <w:rFonts w:ascii="Times New Roman" w:hAnsi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rFonts w:ascii="Times New Roman" w:hAnsi="Times New Roman" w:eastAsia="Times New Roman"/>
            <w:b w:val="0"/>
            <w:bCs w:val="0"/>
            <w:i/>
            <w:iCs/>
            <w:color w:val="000000" w:themeColor="text1"/>
            <w:sz w:val="20"/>
            <w:szCs w:val="20"/>
          </w:rPr>
          <w:t xml:space="preserve">25-66428-01969-Р</w:t>
        </w:r>
      </w:hyperlink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 «Возмещение недополученных российскими кредитными организациями, международ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1969-Р), принятого в соответствии с ППРФ от 25.10.2023 № 1780;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outlineLvl w:val="5"/>
      </w:pP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1780.».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- при кредитовании в рамках решения Министерства экономического развития Российской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Федерации о порядке предоставления субсидии No 25-61781-02070-Р «Реализация механизма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государственной поддержки инвестиционных проектов по созданию туристической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инфраструктуры в форме льготного кредитования» (далее – Решение No 2070-Р), принятого 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соответствии с ППРФ от 25.10.2023 No 1780.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tabs>
          <w:tab w:val="left" w:pos="1134" w:leader="none"/>
        </w:tabs>
        <w:rPr>
          <w:bCs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  <w:highlight w:val="none"/>
        </w:rPr>
      </w:r>
      <w:r>
        <w:rPr>
          <w:bCs/>
          <w:i/>
          <w:color w:val="000000" w:themeColor="text1"/>
          <w:sz w:val="20"/>
          <w:szCs w:val="20"/>
        </w:rPr>
      </w:r>
      <w:r>
        <w:rPr>
          <w:bCs/>
          <w:i/>
          <w:color w:val="000000" w:themeColor="text1"/>
          <w:sz w:val="20"/>
          <w:szCs w:val="20"/>
        </w:rPr>
      </w:r>
    </w:p>
    <w:p>
      <w:pPr>
        <w:jc w:val="both"/>
        <w:spacing w:before="40" w:after="120"/>
        <w:rPr>
          <w:bCs/>
          <w:i/>
          <w:iCs/>
          <w:color w:val="auto"/>
          <w:sz w:val="20"/>
          <w:szCs w:val="20"/>
        </w:rPr>
        <w:outlineLvl w:val="5"/>
      </w:pPr>
      <w:r>
        <w:rPr>
          <w:bCs/>
          <w:i/>
          <w:iCs/>
          <w:color w:val="auto"/>
          <w:sz w:val="20"/>
          <w:szCs w:val="20"/>
        </w:rPr>
      </w:r>
      <w:r>
        <w:rPr>
          <w:bCs/>
          <w:i/>
          <w:iCs/>
          <w:color w:val="auto"/>
          <w:sz w:val="20"/>
          <w:szCs w:val="20"/>
        </w:rPr>
      </w:r>
      <w:r>
        <w:rPr>
          <w:bCs/>
          <w:i/>
          <w:iCs/>
          <w:color w:val="auto"/>
          <w:sz w:val="20"/>
          <w:szCs w:val="20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1201-Р (в рамках </w:t>
            </w:r>
            <w:bookmarkStart w:id="13" w:name="_GoBack"/>
            <w:r>
              <w:rPr>
                <w:color w:val="auto"/>
              </w:rPr>
            </w:r>
            <w:bookmarkEnd w:id="13"/>
            <w:r>
              <w:rPr>
                <w:bCs/>
                <w:iCs/>
                <w:color w:val="auto"/>
                <w:sz w:val="20"/>
                <w:szCs w:val="20"/>
              </w:rPr>
              <w:t xml:space="preserve">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982-Р (в рамках ППРФ от 25.10.2023 № 1780) »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665-Р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Решение No 2070-Р (в рамках ППРФ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от 25.10.2023 No 1780)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- Решение No 2070-Р (в рамках ППРФ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от 25.10.2023 No 1780)»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both"/>
        <w:spacing w:before="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*Льготные программы кредитования в рамках решени</w:t>
      </w:r>
      <w:r>
        <w:rPr>
          <w:bCs/>
          <w:i/>
          <w:iCs/>
          <w:sz w:val="20"/>
          <w:szCs w:val="20"/>
        </w:rPr>
        <w:t xml:space="preserve">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бюджетной системы Российской Федерации субсидий, в том </w:t>
      </w:r>
      <w:r>
        <w:rPr>
          <w:bCs/>
          <w:i/>
          <w:iCs/>
          <w:sz w:val="20"/>
          <w:szCs w:val="20"/>
        </w:rPr>
        <w:t xml:space="preserve">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162"/>
        <w:jc w:val="left"/>
        <w:rPr>
          <w:b w:val="0"/>
          <w:bCs w:val="0"/>
          <w:i/>
          <w:sz w:val="16"/>
          <w:szCs w:val="16"/>
        </w:rPr>
        <w:outlineLvl w:val="0"/>
      </w:pP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pStyle w:val="1129"/>
        <w:numPr>
          <w:ilvl w:val="0"/>
          <w:numId w:val="2"/>
        </w:numPr>
      </w:pPr>
      <w:r>
        <w:t xml:space="preserve">Обслуживание торгово-сервисных предприятий</w:t>
      </w:r>
      <w:r>
        <w:rPr>
          <w:rStyle w:val="1141"/>
        </w:rPr>
        <w:footnoteReference w:id="8"/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tbl>
      <w:tblPr>
        <w:tblW w:w="1046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3969"/>
        <w:gridCol w:w="2864"/>
        <w:gridCol w:w="2664"/>
      </w:tblGrid>
      <w:tr>
        <w:tblPrEx/>
        <w:trPr>
          <w:trHeight w:val="227"/>
          <w:tblHeader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46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за услугу «Торговый </w:t>
            </w:r>
            <w:r>
              <w:rPr>
                <w:bCs/>
                <w:sz w:val="20"/>
                <w:szCs w:val="20"/>
              </w:rPr>
              <w:t xml:space="preserve">эквайринг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rStyle w:val="1141"/>
                <w:bCs/>
                <w:sz w:val="20"/>
                <w:szCs w:val="20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iCs/>
                <w:sz w:val="20"/>
                <w:szCs w:val="20"/>
              </w:rPr>
              <w:t xml:space="preserve">подключенную путем присоединения к</w:t>
            </w:r>
            <w:r>
              <w:rPr>
                <w:sz w:val="20"/>
                <w:szCs w:val="20"/>
              </w:rPr>
              <w:t xml:space="preserve"> Правилам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за услугу «Торговый </w:t>
            </w:r>
            <w:r>
              <w:rPr>
                <w:iCs/>
                <w:sz w:val="20"/>
                <w:szCs w:val="20"/>
              </w:rPr>
              <w:t xml:space="preserve">эквайринг</w:t>
            </w:r>
            <w:r>
              <w:rPr>
                <w:iCs/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iCs/>
                <w:sz w:val="20"/>
                <w:szCs w:val="20"/>
              </w:rPr>
              <w:t xml:space="preserve">эквайрингового</w:t>
            </w:r>
            <w:r>
              <w:rPr>
                <w:iCs/>
                <w:sz w:val="20"/>
                <w:szCs w:val="20"/>
              </w:rPr>
              <w:t xml:space="preserve"> обслуживания клиентов АО «</w:t>
            </w:r>
            <w:r>
              <w:rPr>
                <w:iCs/>
                <w:sz w:val="20"/>
                <w:szCs w:val="20"/>
              </w:rPr>
              <w:t xml:space="preserve">Россельхозбанк</w:t>
            </w:r>
            <w:r>
              <w:rPr>
                <w:iCs/>
                <w:sz w:val="20"/>
                <w:szCs w:val="20"/>
              </w:rPr>
              <w:t xml:space="preserve">» </w:t>
            </w:r>
            <w:r>
              <w:rPr>
                <w:iCs/>
                <w:sz w:val="20"/>
                <w:szCs w:val="20"/>
              </w:rPr>
              <w:br/>
              <w:t xml:space="preserve">в соответствии с тарифами Банка*, </w:t>
            </w:r>
            <w:r>
              <w:rPr>
                <w:iCs/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iCs/>
                <w:sz w:val="20"/>
                <w:szCs w:val="20"/>
              </w:rPr>
              <w:t xml:space="preserve">International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UnionPay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International</w:t>
            </w:r>
            <w:r>
              <w:rPr>
                <w:iCs/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(кроме карт, выпущенных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sz w:val="20"/>
                <w:szCs w:val="20"/>
              </w:rPr>
              <w:t xml:space="preserve">самозанятых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организаций, оплата жилищно-коммунальн</w:t>
            </w:r>
            <w:r>
              <w:rPr>
                <w:sz w:val="20"/>
                <w:szCs w:val="20"/>
              </w:rPr>
              <w:t xml:space="preserve">ых услуг,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</w:t>
            </w:r>
            <w:r>
              <w:rPr>
                <w:sz w:val="20"/>
                <w:szCs w:val="20"/>
              </w:rPr>
              <w:t xml:space="preserve">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/>
              <w:t xml:space="preserve">но не более 10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</w:t>
            </w:r>
            <w:r>
              <w:rPr>
                <w:color w:val="auto"/>
                <w:sz w:val="20"/>
                <w:szCs w:val="20"/>
              </w:rPr>
              <w:t xml:space="preserve">х перевода юридическими лицами, </w:t>
            </w:r>
            <w:r>
              <w:rPr>
                <w:color w:val="auto"/>
                <w:sz w:val="20"/>
                <w:szCs w:val="20"/>
              </w:rPr>
              <w:t xml:space="preserve">индивидуальными предпринимателями в пользу юридических лиц и индивидуальных предпринимателей»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13.6.1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37 руб. за операцию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13.6.2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взимается»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Обслуживание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бюджетных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принимающих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оплате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платежные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карты,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осуществляется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бесплатно.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  <w:highlight w:val="none"/>
        </w:rPr>
      </w:pPr>
      <w:r>
        <w:rPr>
          <w:i/>
          <w:sz w:val="16"/>
          <w:szCs w:val="16"/>
        </w:rPr>
        <w:t xml:space="preserve">*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Под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торгово-сервисным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предприятием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(ТСП)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для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целей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настоящего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раздела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понимается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юридическое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лицо,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индивидуальный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предприниматель,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бюджетное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учреждение,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нотариус,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занимающийся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частной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практикой,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иные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организации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независимо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вида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деятельности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организационно-правовой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формы,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заключившие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договор </w:t>
      </w:r>
      <w:r>
        <w:rPr>
          <w:i/>
          <w:sz w:val="16"/>
          <w:szCs w:val="16"/>
        </w:rPr>
        <w:t xml:space="preserve">эквайринга</w:t>
      </w:r>
      <w:r>
        <w:rPr>
          <w:bCs/>
          <w:i/>
          <w:sz w:val="16"/>
          <w:szCs w:val="16"/>
          <w:highlight w:val="none"/>
        </w:rPr>
      </w:r>
      <w:r>
        <w:rPr>
          <w:bCs/>
          <w:i/>
          <w:sz w:val="16"/>
          <w:szCs w:val="16"/>
          <w:highlight w:val="none"/>
        </w:rPr>
      </w:r>
    </w:p>
    <w:p>
      <w:r/>
      <w:r/>
    </w:p>
    <w:p>
      <w:pPr>
        <w:pStyle w:val="1129"/>
        <w:numPr>
          <w:ilvl w:val="0"/>
          <w:numId w:val="2"/>
        </w:numPr>
      </w:pPr>
      <w:r>
        <w:t xml:space="preserve"> </w:t>
      </w:r>
      <w:bookmarkStart w:id="14" w:name="_Toc64472190"/>
      <w:r>
        <w:t xml:space="preserve">Депозитарные услуги </w:t>
      </w:r>
      <w:r>
        <w:footnoteReference w:customMarkFollows="1" w:id="10"/>
      </w:r>
      <w:r>
        <w:rPr>
          <w:rFonts w:ascii="Symbol" w:hAnsi="Symbol" w:eastAsia="Symbol" w:cs="Symbol"/>
        </w:rPr>
        <w:t xml:space="preserve">*</w:t>
      </w:r>
      <w:bookmarkEnd w:id="14"/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"/>
        <w:gridCol w:w="3940"/>
        <w:gridCol w:w="1227"/>
        <w:gridCol w:w="758"/>
        <w:gridCol w:w="283"/>
        <w:gridCol w:w="3260"/>
      </w:tblGrid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1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i/>
                <w:sz w:val="22"/>
                <w:szCs w:val="22"/>
              </w:rPr>
              <w:t xml:space="preserve">.1. Административные операции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pStyle w:val="113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Наименование услуги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/>
            <w:bookmarkStart w:id="15" w:name="_Toc95617936"/>
            <w:r>
              <w:rPr>
                <w:bCs/>
                <w:sz w:val="20"/>
                <w:szCs w:val="20"/>
              </w:rPr>
              <w:t xml:space="preserve">Тариф</w:t>
            </w:r>
            <w:bookmarkEnd w:id="15"/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Примечание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Открытие индивидуального раздела на 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междепозитарном</w:t>
            </w:r>
            <w:r>
              <w:rPr>
                <w:bCs/>
                <w:color w:val="auto"/>
                <w:sz w:val="20"/>
                <w:szCs w:val="20"/>
              </w:rPr>
              <w:t xml:space="preserve"> счете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НКО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НРД и в других депозитариях по поручению клиента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1 000 руб. за каждый раздел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Открытие счета номинального держателя АО «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Россельхозбанк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  <w:lang w:val="en-US"/>
              </w:rPr>
            </w: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/>
            <w:bookmarkStart w:id="16" w:name="_Toc95617938"/>
            <w:r>
              <w:rPr>
                <w:bCs/>
                <w:i/>
                <w:sz w:val="20"/>
                <w:szCs w:val="20"/>
              </w:rPr>
              <w:t xml:space="preserve">14.2. </w:t>
            </w:r>
            <w:bookmarkEnd w:id="16"/>
            <w:r>
              <w:rPr>
                <w:bCs/>
                <w:i/>
                <w:sz w:val="20"/>
                <w:szCs w:val="20"/>
              </w:rPr>
              <w:t xml:space="preserve">Хранение и учет ценных бумаг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14.2.1.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1150"/>
              <w:spacing w:before="40" w:after="4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bCs/>
                <w:color w:val="auto"/>
                <w:sz w:val="18"/>
                <w:szCs w:val="18"/>
              </w:rPr>
            </w:r>
            <w:r>
              <w:rPr>
                <w:bCs/>
                <w:color w:val="auto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Акций (депозитарных расписок) до 50 млн. руб. (включительно) - 0,07% годовых, минимум 300 руб. месяц, свыше 50 млн. руб.                               - 0,06% годовых, минимум 300 руб. в месяц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1150"/>
              <w:jc w:val="both"/>
              <w:spacing w:before="40" w:after="4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</w:t>
            </w:r>
            <w:r>
              <w:rPr>
                <w:bCs/>
                <w:color w:val="auto"/>
                <w:sz w:val="18"/>
                <w:szCs w:val="18"/>
              </w:rPr>
              <w:t xml:space="preserve">месяцгодовых</w:t>
            </w:r>
            <w:r>
              <w:rPr>
                <w:bCs/>
                <w:color w:val="auto"/>
                <w:sz w:val="18"/>
                <w:szCs w:val="18"/>
              </w:rPr>
            </w:r>
            <w:r>
              <w:rPr>
                <w:bCs/>
                <w:color w:val="auto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9468" w:type="dxa"/>
            <w:textDirection w:val="lrTb"/>
            <w:noWrap w:val="false"/>
          </w:tcPr>
          <w:p>
            <w:pPr>
              <w:ind w:left="-2" w:right="-18"/>
              <w:jc w:val="both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4.2.3.1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 300 млн. руб. (включительно)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- 0,07% годовых, минимум 300 руб. месяц, от 300 млн. руб. до 500 млн. руб. (включительно)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- 0,065% годовых, минимум 300 руб. в месяц,                          свыше 500 млн. руб.                     - 0,06% годовых, минимум 300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4.2.3.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1 000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</w:t>
            </w:r>
            <w:r>
              <w:rPr>
                <w:bCs/>
                <w:sz w:val="20"/>
                <w:szCs w:val="20"/>
              </w:rPr>
              <w:t xml:space="preserve">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прав на инвестиционные паи паевых инвестиционных фондов </w:t>
            </w:r>
            <w:r>
              <w:rPr>
                <w:bCs/>
                <w:color w:val="auto"/>
                <w:sz w:val="20"/>
                <w:szCs w:val="20"/>
              </w:rPr>
              <w:t xml:space="preserve">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5"/>
            <w:tcW w:w="946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принятых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на брокерское обслуживание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89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41"/>
                <w:sz w:val="20"/>
                <w:szCs w:val="20"/>
              </w:rPr>
              <w:footnoteReference w:id="11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041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50"/>
        </w:trPr>
        <w:tc>
          <w:tcPr>
            <w:gridSpan w:val="2"/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14.2.7.1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13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63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2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12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63"/>
        </w:trPr>
        <w:tc>
          <w:tcPr>
            <w:gridSpan w:val="2"/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14.2.7.2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00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50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2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, за исключением паев инвестиционных фондов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0,035% годовых               минимум 30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9"/>
        </w:trPr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сертификатов </w:t>
            </w:r>
            <w:r>
              <w:rPr>
                <w:bCs/>
                <w:sz w:val="20"/>
                <w:szCs w:val="20"/>
              </w:rPr>
              <w:t xml:space="preserve">эмис</w:t>
            </w:r>
            <w:r>
              <w:rPr>
                <w:bCs/>
                <w:sz w:val="20"/>
                <w:szCs w:val="20"/>
                <w:lang w:val="en-US"/>
              </w:rPr>
              <w:t xml:space="preserve">c</w:t>
            </w:r>
            <w:r>
              <w:rPr>
                <w:bCs/>
                <w:sz w:val="20"/>
                <w:szCs w:val="20"/>
              </w:rPr>
              <w:t xml:space="preserve">ионных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80"/>
              <w:jc w:val="both"/>
              <w:spacing w:before="40"/>
              <w:tabs>
                <w:tab w:val="left" w:pos="54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 xml:space="preserve">неэмиссионных</w:t>
            </w:r>
            <w:r>
              <w:rPr>
                <w:bCs/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</w:t>
            </w:r>
            <w:r>
              <w:rPr>
                <w:bCs/>
                <w:sz w:val="20"/>
                <w:szCs w:val="20"/>
              </w:rPr>
              <w:t xml:space="preserve">неэмиссионных</w:t>
            </w:r>
            <w:r>
              <w:rPr>
                <w:bCs/>
                <w:sz w:val="20"/>
                <w:szCs w:val="20"/>
              </w:rPr>
              <w:t xml:space="preserve">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10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00 руб.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Зачисление ценных бумаг на счета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реестрах/на 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междепозитарные</w:t>
            </w:r>
            <w:r>
              <w:rPr>
                <w:bCs/>
                <w:color w:val="auto"/>
                <w:sz w:val="20"/>
                <w:szCs w:val="20"/>
              </w:rPr>
              <w:t xml:space="preserve"> счета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940" w:type="dxa"/>
            <w:textDirection w:val="lrTb"/>
            <w:noWrap w:val="false"/>
          </w:tcPr>
          <w:p>
            <w:pPr>
              <w:pStyle w:val="1150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Списание ценных бумаг со счетов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реестрах/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междепозитарных</w:t>
            </w:r>
            <w:r>
              <w:rPr>
                <w:bCs/>
                <w:color w:val="auto"/>
                <w:sz w:val="20"/>
                <w:szCs w:val="20"/>
              </w:rPr>
              <w:t xml:space="preserve"> счетов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center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600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руб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50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940"/>
        </w:trPr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 счетам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открытым в других депозитариях)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jc w:val="center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Переводы ценных бумаг по операциям           купли-продажи ценных бумаг, совершенным   через брокера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jc w:val="center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.5. Операции по блокировке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8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auto"/>
            <w:tcW w:w="394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.6. Корпоративные действия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5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2 000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115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14.7. Прочие услуги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336"/>
        </w:trPr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.8. Информационные услуги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ру</w:t>
            </w:r>
            <w:r>
              <w:rPr>
                <w:sz w:val="20"/>
                <w:szCs w:val="20"/>
              </w:rPr>
              <w:t xml:space="preserve">б. за лист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pStyle w:val="1129"/>
        <w:numPr>
          <w:ilvl w:val="0"/>
          <w:numId w:val="8"/>
        </w:numPr>
      </w:pPr>
      <w:r/>
      <w:bookmarkStart w:id="17" w:name="_Toc64472191"/>
      <w:r>
        <w:t xml:space="preserve">Операции с монетами из драгоценных металлов</w:t>
      </w:r>
      <w:bookmarkEnd w:id="17"/>
      <w:r>
        <w:t xml:space="preserve"> </w:t>
      </w:r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right="-108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Style w:val="1129"/>
        <w:numPr>
          <w:ilvl w:val="0"/>
          <w:numId w:val="8"/>
        </w:numPr>
      </w:pPr>
      <w:r/>
      <w:bookmarkStart w:id="18" w:name="_Toc64472192"/>
      <w:r>
        <w:t xml:space="preserve">Операции с драгоценными металлами</w:t>
      </w:r>
      <w:bookmarkEnd w:id="18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721"/>
        <w:gridCol w:w="2374"/>
        <w:gridCol w:w="3231"/>
      </w:tblGrid>
      <w:tr>
        <w:tblPrEx/>
        <w:trPr>
          <w:tblHeader/>
        </w:trPr>
        <w:tc>
          <w:tcPr>
            <w:shd w:val="clear" w:color="auto" w:fill="auto"/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br/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102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российских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sz w:val="20"/>
                <w:szCs w:val="20"/>
              </w:rPr>
              <w:t xml:space="preserve">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sz w:val="20"/>
                <w:szCs w:val="20"/>
              </w:rPr>
              <w:t xml:space="preserve">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</w:t>
            </w:r>
            <w:r>
              <w:rPr>
                <w:sz w:val="20"/>
                <w:szCs w:val="20"/>
              </w:rPr>
              <w:t xml:space="preserve">банковским счетам в драгоценных металлах </w:t>
            </w:r>
            <w:r>
              <w:rPr>
                <w:sz w:val="16"/>
                <w:szCs w:val="16"/>
              </w:rPr>
              <w:footnoteReference w:id="12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</w:t>
            </w:r>
            <w:r>
              <w:rPr>
                <w:sz w:val="20"/>
                <w:szCs w:val="20"/>
              </w:rPr>
              <w:t xml:space="preserve">банковский счет в драгоценных металлах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слитков драгоценных металлов со списанием с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pStyle w:val="116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pStyle w:val="116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pStyle w:val="116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141"/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16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1276"/>
            </w:tblGrid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Тариф за слиток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  <w:p>
                  <w:pPr>
                    <w:pStyle w:val="1167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</w:tbl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pStyle w:val="1167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141"/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4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16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1134"/>
            </w:tblGrid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6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116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Металлы платиновой группы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29"/>
      </w:pPr>
      <w:r/>
      <w:bookmarkStart w:id="19" w:name="_Toc64472193"/>
      <w:r>
        <w:t xml:space="preserve">17. Обслуживание с использованием Торговой системы</w:t>
      </w:r>
      <w:r>
        <w:br/>
        <w:t xml:space="preserve"> РСХБ-</w:t>
      </w:r>
      <w:r>
        <w:t xml:space="preserve">Дилинг</w:t>
      </w:r>
      <w:r>
        <w:t xml:space="preserve"> АО «</w:t>
      </w:r>
      <w:r>
        <w:t xml:space="preserve">Россельхозбанк</w:t>
      </w:r>
      <w:r>
        <w:t xml:space="preserve">»</w:t>
      </w:r>
      <w:r>
        <w:t xml:space="preserve">, Торговой системы РСХБ-</w:t>
      </w:r>
      <w:r>
        <w:t xml:space="preserve">Дилинг</w:t>
      </w:r>
      <w:r>
        <w:t xml:space="preserve"> 2.0</w:t>
      </w:r>
      <w:bookmarkEnd w:id="19"/>
      <w:r/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9"/>
        <w:gridCol w:w="2884"/>
        <w:gridCol w:w="1786"/>
        <w:gridCol w:w="4120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5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6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18"/>
          <w:szCs w:val="18"/>
          <w:u w:val="single"/>
        </w:rPr>
      </w:pPr>
      <w:r>
        <w:rPr>
          <w:bCs/>
          <w:iCs/>
          <w:sz w:val="18"/>
          <w:szCs w:val="18"/>
          <w:u w:val="single"/>
        </w:rPr>
        <w:t xml:space="preserve">Примечание:</w:t>
      </w:r>
      <w:r>
        <w:rPr>
          <w:bCs/>
          <w:iCs/>
          <w:sz w:val="18"/>
          <w:szCs w:val="18"/>
          <w:u w:val="single"/>
        </w:rPr>
      </w:r>
      <w:r>
        <w:rPr>
          <w:bCs/>
          <w:iCs/>
          <w:sz w:val="18"/>
          <w:szCs w:val="18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1.</w:t>
      </w:r>
      <w:r>
        <w:rPr>
          <w:bCs/>
          <w:iCs/>
          <w:sz w:val="18"/>
          <w:szCs w:val="18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2.</w:t>
      </w:r>
      <w:r>
        <w:rPr>
          <w:bCs/>
          <w:iCs/>
          <w:sz w:val="18"/>
          <w:szCs w:val="18"/>
        </w:rPr>
        <w:tab/>
        <w:t xml:space="preserve">В случае если на момент оказания услуги клиент не имеет счетов, открытых в АО «</w:t>
      </w:r>
      <w:r>
        <w:rPr>
          <w:bCs/>
          <w:iCs/>
          <w:sz w:val="18"/>
          <w:szCs w:val="18"/>
        </w:rPr>
        <w:t xml:space="preserve">Россельхозбанк</w:t>
      </w:r>
      <w:r>
        <w:rPr>
          <w:bCs/>
          <w:iCs/>
          <w:sz w:val="18"/>
          <w:szCs w:val="18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 «Операции с использованием цифрового рубля» следующего содержания: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090"/>
        <w:gridCol w:w="2126"/>
        <w:gridCol w:w="3261"/>
      </w:tblGrid>
      <w:tr>
        <w:tblPrEx/>
        <w:trPr/>
        <w:tc>
          <w:tcP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84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 Срок действия – до 31.12.2025 (включительно).».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Cs/>
          <w:sz w:val="18"/>
          <w:szCs w:val="18"/>
          <w:highlight w:val="none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  <w:tab/>
        <w:tab/>
      </w:r>
      <w:r>
        <w:rPr>
          <w:iCs/>
          <w:sz w:val="18"/>
          <w:szCs w:val="18"/>
          <w:highlight w:val="none"/>
        </w:rPr>
      </w:r>
      <w:r>
        <w:rPr>
          <w:iCs/>
          <w:sz w:val="18"/>
          <w:szCs w:val="18"/>
          <w:highlight w:val="none"/>
        </w:rPr>
      </w:r>
    </w:p>
    <w:tbl>
      <w:tblPr>
        <w:tblStyle w:val="1139"/>
        <w:tblW w:w="0" w:type="auto"/>
        <w:tblLook w:val="04A0" w:firstRow="1" w:lastRow="0" w:firstColumn="1" w:lastColumn="0" w:noHBand="0" w:noVBand="1"/>
      </w:tblPr>
      <w:tblGrid>
        <w:gridCol w:w="1935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2700"/>
      </w:tblGrid>
      <w:tr>
        <w:tblPrEx/>
        <w:trPr>
          <w:trHeight w:val="1032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065"/>
        </w:trPr>
        <w:tc>
          <w:tcPr>
            <w:shd w:val="clear" w:color="d8d8d8" w:fill="d8d8d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Наименование профиля деятельности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Государственные и коммунальные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Фаст фуд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Супермаркет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АЗС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Медицина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shd w:val="clear" w:color="d8d8d8" w:fill="d8d8d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МСС-код, соответствующий профилю деятельности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4900, 9399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5814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5411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5541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4119, 5047, 5975, 5976, 8011, 8021, 8031, 8041, 8042, 8043, 8049, 8050, 8062,  8071, 8099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5912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8211, 8220, 8241, 8244, 8249, 8299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d8d8d8" w:fill="d8d8d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8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Размер финансового оборота (в месяц на один электронный терминал, 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до 100 000 вкл.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1,89%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1,89%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1 330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2,20%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1 500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1 300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1 500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2,35%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1 200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100 001- 300 000 вкл.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1,69%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1,69%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2,29%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300 001- 500 000 вкл.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1,49%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1,89%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2,29%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500 001- 1000 000 вкл.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1,09%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1,29%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1,69%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1,79%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2,19%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1 000 001 и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0,89%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0,99%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1,49%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1,59%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1,39%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2,09%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Порядок применения Тарифа: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* 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азмер комиссии за совершение операции   для применения в текущем месяце будет рассчитываться, исходя из профиля деятельности торговых точек клиента (в соответствии с МСС-кодом) и среднего оборота от расчетов по банковским картам в предыдущем календарном 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сяце, приходящегося на один электронный терминал/сервис «SoftPOS решение». При отсутствии оборотов в предыдущем календарном месяце и за первый месяц оказания услуги, будет применяться наибольшая ставка тарифа для соответствующего вида деятельности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85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** Комиссия за технологическое взаимодействие - фиксированная величина,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плачиваемая клиентом, за каждый электронный терминал (комиссия за технологическое взаимодействие для сервиса «SoftPOS решение» не взимается). Первый месяц подключения электронного терминала льготный- комиссия за технологическое взаимодействие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bCs/>
          <w:iCs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continuous"/>
      <w:pgSz w:w="11906" w:h="16838" w:orient="portrait"/>
      <w:pgMar w:top="720" w:right="720" w:bottom="720" w:left="1287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  <w:font w:name="TimesET">
    <w:panose1 w:val="02000603000000000000"/>
  </w:font>
  <w:font w:name="Tahoma">
    <w:panose1 w:val="020B0604030504040204"/>
  </w:font>
  <w:font w:name="Helv">
    <w:panose1 w:val="02000603000000000000"/>
  </w:font>
  <w:font w:name="Verdana">
    <w:panose1 w:val="020B060403050404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40"/>
      </w:pPr>
      <w:r>
        <w:rPr>
          <w:rStyle w:val="1141"/>
        </w:rPr>
        <w:footnoteRef/>
      </w:r>
      <w:r>
        <w:t xml:space="preserve"> Вступает в силу с 18.04.2022 г.</w:t>
      </w:r>
      <w:r/>
    </w:p>
  </w:footnote>
  <w:footnote w:id="3">
    <w:p>
      <w:pPr>
        <w:pStyle w:val="1140"/>
      </w:pPr>
      <w:r>
        <w:rPr>
          <w:rStyle w:val="1141"/>
        </w:rPr>
        <w:footnoteRef/>
      </w:r>
      <w:r>
        <w:t xml:space="preserve"> Вступает в силу с 14.04.2022 г.</w:t>
      </w:r>
      <w:r/>
    </w:p>
  </w:footnote>
  <w:footnote w:id="4">
    <w:p>
      <w:pPr>
        <w:pStyle w:val="1140"/>
      </w:pPr>
      <w:r>
        <w:rPr>
          <w:rStyle w:val="1141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40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5">
    <w:p>
      <w:pPr>
        <w:pStyle w:val="1140"/>
      </w:pPr>
      <w:r>
        <w:rPr>
          <w:rStyle w:val="1141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40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40"/>
      </w:pPr>
      <w:r/>
      <w:r/>
    </w:p>
  </w:footnote>
  <w:footnote w:id="6">
    <w:p>
      <w:pPr>
        <w:pStyle w:val="1140"/>
        <w:jc w:val="both"/>
      </w:pPr>
      <w:r>
        <w:rPr>
          <w:rStyle w:val="1141"/>
        </w:rPr>
        <w:footnoteRef/>
      </w:r>
      <w: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7">
    <w:p>
      <w:pPr>
        <w:pStyle w:val="1140"/>
      </w:pPr>
      <w:r>
        <w:rPr>
          <w:rStyle w:val="1141"/>
        </w:rPr>
        <w:footnoteRef/>
      </w:r>
      <w:r>
        <w:t xml:space="preserve"> В соответствии с пунктом 11 приказа АО «</w:t>
      </w:r>
      <w:r>
        <w:t xml:space="preserve">Россельхозбанк</w:t>
      </w:r>
      <w:r>
        <w:t xml:space="preserve">» от 01.08.2013 № 386-ОД.</w:t>
      </w:r>
      <w:r/>
    </w:p>
  </w:footnote>
  <w:footnote w:id="8">
    <w:p>
      <w:pPr>
        <w:pStyle w:val="1170"/>
        <w:ind w:left="0"/>
        <w:jc w:val="both"/>
        <w:tabs>
          <w:tab w:val="left" w:pos="426" w:leader="none"/>
        </w:tabs>
      </w:pPr>
      <w:r>
        <w:rPr>
          <w:rStyle w:val="1141"/>
        </w:rPr>
        <w:footnoteRef/>
      </w:r>
      <w:r>
        <w:t xml:space="preserve"> </w:t>
      </w:r>
      <w:r>
        <w:rPr>
          <w:sz w:val="20"/>
        </w:rPr>
        <w:t xml:space="preserve">Под </w:t>
      </w:r>
      <w:r>
        <w:rPr>
          <w:sz w:val="20"/>
          <w:u w:val="single"/>
        </w:rPr>
        <w:t xml:space="preserve">торгово-сервисным предприятием</w:t>
      </w:r>
      <w:r>
        <w:rPr>
          <w:sz w:val="20"/>
        </w:rPr>
        <w:t xml:space="preserve"> (ТСП) для целей настоящего р</w:t>
      </w:r>
      <w:r>
        <w:rPr>
          <w:sz w:val="20"/>
        </w:rPr>
        <w:t xml:space="preserve">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r>
        <w:rPr>
          <w:sz w:val="20"/>
        </w:rPr>
        <w:t xml:space="preserve">эквайринга</w:t>
      </w:r>
      <w:r>
        <w:rPr>
          <w:sz w:val="20"/>
        </w:rPr>
        <w:t xml:space="preserve"> или договор, предусматривающий обслуживание в сервисе быстрых платежей платежной системы Банка России»</w:t>
      </w:r>
      <w:r>
        <w:t xml:space="preserve">.</w:t>
      </w:r>
      <w:r/>
    </w:p>
  </w:footnote>
  <w:footnote w:id="9">
    <w:p>
      <w:pPr>
        <w:pStyle w:val="1140"/>
        <w:jc w:val="both"/>
      </w:pPr>
      <w:r>
        <w:t xml:space="preserve">*</w:t>
      </w:r>
      <w:r>
        <w:t xml:space="preserve"> Тарифы, установленные пункт</w:t>
      </w:r>
      <w:r>
        <w:t xml:space="preserve">ом </w:t>
      </w:r>
      <w:r>
        <w:t xml:space="preserve">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</w:r>
      <w:r>
        <w:t xml:space="preserve">эквайринга</w:t>
      </w:r>
      <w:r>
        <w:t xml:space="preserve"> в рамках одного регионального филиала Банка/внутреннего структурного подразделения Банка и ранее действующие Договор</w:t>
      </w:r>
      <w:r>
        <w:t xml:space="preserve">ы</w:t>
      </w:r>
      <w:r>
        <w:t xml:space="preserve"> </w:t>
      </w:r>
      <w:r>
        <w:t xml:space="preserve">эквайринга</w:t>
      </w:r>
      <w:r>
        <w:t xml:space="preserve"> были расторгнуты Клиентом/Банком более 3 месяцев назад.</w:t>
      </w:r>
      <w:r/>
    </w:p>
  </w:footnote>
  <w:footnote w:id="10">
    <w:p>
      <w:pPr>
        <w:pStyle w:val="1140"/>
        <w:rPr>
          <w:i/>
        </w:rPr>
      </w:pPr>
      <w:r>
        <w:rPr>
          <w:rStyle w:val="1141"/>
          <w:rFonts w:ascii="Symbol" w:hAnsi="Symbol" w:eastAsia="Symbol" w:cs="Symbol"/>
          <w:i/>
        </w:rPr>
        <w:t xml:space="preserve">*</w:t>
      </w:r>
      <w:r>
        <w:rPr>
          <w:i/>
        </w:rPr>
        <w:t xml:space="preserve"> Порядок расчета и взимания комиссии осуществляется на основании Условий осуществ</w:t>
      </w:r>
      <w:r>
        <w:rPr>
          <w:i/>
        </w:rPr>
        <w:t xml:space="preserve">ления депозитарной деятельности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</w:footnote>
  <w:footnote w:id="11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sz w:val="18"/>
          <w:szCs w:val="18"/>
        </w:rPr>
      </w:pPr>
      <w:r>
        <w:rPr>
          <w:rStyle w:val="1141"/>
        </w:rPr>
        <w:footnoteRef/>
      </w:r>
      <w:r>
        <w:t xml:space="preserve"> </w:t>
      </w:r>
      <w:r>
        <w:rPr>
          <w:sz w:val="18"/>
          <w:szCs w:val="18"/>
        </w:rPr>
        <w:t xml:space="preserve">Средневзвешенная стоимость рассчитывается как сумма остатков ценных </w:t>
      </w:r>
      <w:r>
        <w:rPr>
          <w:sz w:val="18"/>
          <w:szCs w:val="18"/>
        </w:rPr>
        <w:t xml:space="preserve">бумаг по календарным дням месяца деленная на количество дней в соответствующем месяце.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sz w:val="18"/>
          <w:szCs w:val="18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2">
    <w:p>
      <w:pPr>
        <w:pStyle w:val="1140"/>
        <w:rPr>
          <w:sz w:val="18"/>
          <w:szCs w:val="18"/>
        </w:rPr>
      </w:pPr>
      <w:r>
        <w:rPr>
          <w:rStyle w:val="1141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3">
    <w:p>
      <w:pPr>
        <w:pStyle w:val="1140"/>
        <w:jc w:val="both"/>
        <w:rPr>
          <w:sz w:val="18"/>
          <w:szCs w:val="18"/>
        </w:rPr>
      </w:pPr>
      <w:r>
        <w:rPr>
          <w:rStyle w:val="1141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40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4">
    <w:p>
      <w:pPr>
        <w:pStyle w:val="1140"/>
        <w:jc w:val="both"/>
        <w:rPr>
          <w:sz w:val="18"/>
          <w:szCs w:val="18"/>
        </w:rPr>
      </w:pPr>
      <w:r>
        <w:rPr>
          <w:rStyle w:val="1141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40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5">
    <w:p>
      <w:pPr>
        <w:jc w:val="both"/>
        <w:rPr>
          <w:bCs/>
          <w:sz w:val="18"/>
          <w:szCs w:val="18"/>
        </w:rPr>
      </w:pPr>
      <w:r>
        <w:rPr>
          <w:rStyle w:val="114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», обеспечивающее в сочетании с паролем однозначную аутентификацию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6">
    <w:p>
      <w:pPr>
        <w:jc w:val="both"/>
        <w:rPr>
          <w:bCs/>
          <w:sz w:val="18"/>
          <w:szCs w:val="18"/>
        </w:rPr>
      </w:pPr>
      <w:r>
        <w:rPr>
          <w:rStyle w:val="114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2.0,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обеспечивающее в сочетании с паролем однозначную аутентификацию Клиента в Торговой системе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63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2"/>
      <w:rPr>
        <w:color w:val="ffffff"/>
      </w:rPr>
    </w:pPr>
    <w:r>
      <w:rPr>
        <w:color w:val="ffffff"/>
      </w:rPr>
      <w:t xml:space="preserve">2013.08.16</w:t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4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</w:pPr>
      <w:rPr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69">
    <w:name w:val="Heading 1 Char"/>
    <w:basedOn w:val="1135"/>
    <w:link w:val="1126"/>
    <w:uiPriority w:val="9"/>
    <w:rPr>
      <w:rFonts w:ascii="Arial" w:hAnsi="Arial" w:eastAsia="Arial" w:cs="Arial"/>
      <w:sz w:val="40"/>
      <w:szCs w:val="40"/>
    </w:rPr>
  </w:style>
  <w:style w:type="character" w:styleId="970">
    <w:name w:val="Heading 2 Char"/>
    <w:basedOn w:val="1135"/>
    <w:link w:val="1127"/>
    <w:uiPriority w:val="9"/>
    <w:rPr>
      <w:rFonts w:ascii="Arial" w:hAnsi="Arial" w:eastAsia="Arial" w:cs="Arial"/>
      <w:sz w:val="34"/>
    </w:rPr>
  </w:style>
  <w:style w:type="character" w:styleId="971">
    <w:name w:val="Heading 3 Char"/>
    <w:basedOn w:val="1135"/>
    <w:link w:val="1128"/>
    <w:uiPriority w:val="9"/>
    <w:rPr>
      <w:rFonts w:ascii="Arial" w:hAnsi="Arial" w:eastAsia="Arial" w:cs="Arial"/>
      <w:sz w:val="30"/>
      <w:szCs w:val="30"/>
    </w:rPr>
  </w:style>
  <w:style w:type="character" w:styleId="972">
    <w:name w:val="Heading 4 Char"/>
    <w:basedOn w:val="1135"/>
    <w:link w:val="1129"/>
    <w:uiPriority w:val="9"/>
    <w:rPr>
      <w:rFonts w:ascii="Arial" w:hAnsi="Arial" w:eastAsia="Arial" w:cs="Arial"/>
      <w:b/>
      <w:bCs/>
      <w:sz w:val="26"/>
      <w:szCs w:val="26"/>
    </w:rPr>
  </w:style>
  <w:style w:type="character" w:styleId="973">
    <w:name w:val="Heading 5 Char"/>
    <w:basedOn w:val="1135"/>
    <w:link w:val="1130"/>
    <w:uiPriority w:val="9"/>
    <w:rPr>
      <w:rFonts w:ascii="Arial" w:hAnsi="Arial" w:eastAsia="Arial" w:cs="Arial"/>
      <w:b/>
      <w:bCs/>
      <w:sz w:val="24"/>
      <w:szCs w:val="24"/>
    </w:rPr>
  </w:style>
  <w:style w:type="character" w:styleId="974">
    <w:name w:val="Heading 6 Char"/>
    <w:basedOn w:val="1135"/>
    <w:link w:val="1131"/>
    <w:uiPriority w:val="9"/>
    <w:rPr>
      <w:rFonts w:ascii="Arial" w:hAnsi="Arial" w:eastAsia="Arial" w:cs="Arial"/>
      <w:b/>
      <w:bCs/>
      <w:sz w:val="22"/>
      <w:szCs w:val="22"/>
    </w:rPr>
  </w:style>
  <w:style w:type="character" w:styleId="975">
    <w:name w:val="Heading 7 Char"/>
    <w:basedOn w:val="1135"/>
    <w:link w:val="11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76">
    <w:name w:val="Heading 8 Char"/>
    <w:basedOn w:val="1135"/>
    <w:link w:val="1133"/>
    <w:uiPriority w:val="9"/>
    <w:rPr>
      <w:rFonts w:ascii="Arial" w:hAnsi="Arial" w:eastAsia="Arial" w:cs="Arial"/>
      <w:i/>
      <w:iCs/>
      <w:sz w:val="22"/>
      <w:szCs w:val="22"/>
    </w:rPr>
  </w:style>
  <w:style w:type="character" w:styleId="977">
    <w:name w:val="Heading 9 Char"/>
    <w:basedOn w:val="1135"/>
    <w:link w:val="1134"/>
    <w:uiPriority w:val="9"/>
    <w:rPr>
      <w:rFonts w:ascii="Arial" w:hAnsi="Arial" w:eastAsia="Arial" w:cs="Arial"/>
      <w:i/>
      <w:iCs/>
      <w:sz w:val="21"/>
      <w:szCs w:val="21"/>
    </w:rPr>
  </w:style>
  <w:style w:type="paragraph" w:styleId="978">
    <w:name w:val="Title"/>
    <w:basedOn w:val="1125"/>
    <w:next w:val="1125"/>
    <w:link w:val="9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9">
    <w:name w:val="Title Char"/>
    <w:basedOn w:val="1135"/>
    <w:link w:val="978"/>
    <w:uiPriority w:val="10"/>
    <w:rPr>
      <w:sz w:val="48"/>
      <w:szCs w:val="48"/>
    </w:rPr>
  </w:style>
  <w:style w:type="paragraph" w:styleId="980">
    <w:name w:val="Subtitle"/>
    <w:basedOn w:val="1125"/>
    <w:next w:val="1125"/>
    <w:link w:val="981"/>
    <w:uiPriority w:val="11"/>
    <w:qFormat/>
    <w:pPr>
      <w:spacing w:before="200" w:after="200"/>
    </w:pPr>
    <w:rPr>
      <w:sz w:val="24"/>
      <w:szCs w:val="24"/>
    </w:rPr>
  </w:style>
  <w:style w:type="character" w:styleId="981">
    <w:name w:val="Subtitle Char"/>
    <w:basedOn w:val="1135"/>
    <w:link w:val="980"/>
    <w:uiPriority w:val="11"/>
    <w:rPr>
      <w:sz w:val="24"/>
      <w:szCs w:val="24"/>
    </w:rPr>
  </w:style>
  <w:style w:type="paragraph" w:styleId="982">
    <w:name w:val="Quote"/>
    <w:basedOn w:val="1125"/>
    <w:next w:val="1125"/>
    <w:link w:val="983"/>
    <w:uiPriority w:val="29"/>
    <w:qFormat/>
    <w:pPr>
      <w:ind w:left="720" w:right="720"/>
    </w:pPr>
    <w:rPr>
      <w:i/>
    </w:rPr>
  </w:style>
  <w:style w:type="character" w:styleId="983">
    <w:name w:val="Quote Char"/>
    <w:link w:val="982"/>
    <w:uiPriority w:val="29"/>
    <w:rPr>
      <w:i/>
    </w:rPr>
  </w:style>
  <w:style w:type="paragraph" w:styleId="984">
    <w:name w:val="Intense Quote"/>
    <w:basedOn w:val="1125"/>
    <w:next w:val="1125"/>
    <w:link w:val="9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5">
    <w:name w:val="Intense Quote Char"/>
    <w:link w:val="984"/>
    <w:uiPriority w:val="30"/>
    <w:rPr>
      <w:i/>
    </w:rPr>
  </w:style>
  <w:style w:type="character" w:styleId="986">
    <w:name w:val="Header Char"/>
    <w:basedOn w:val="1135"/>
    <w:link w:val="1152"/>
    <w:uiPriority w:val="99"/>
  </w:style>
  <w:style w:type="character" w:styleId="987">
    <w:name w:val="Footer Char"/>
    <w:basedOn w:val="1135"/>
    <w:link w:val="1154"/>
    <w:uiPriority w:val="99"/>
  </w:style>
  <w:style w:type="paragraph" w:styleId="988">
    <w:name w:val="Caption"/>
    <w:basedOn w:val="1125"/>
    <w:next w:val="11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9">
    <w:name w:val="Caption Char"/>
    <w:basedOn w:val="988"/>
    <w:link w:val="1154"/>
    <w:uiPriority w:val="99"/>
  </w:style>
  <w:style w:type="table" w:styleId="990">
    <w:name w:val="Table Grid Light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1">
    <w:name w:val="Plain Table 1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2">
    <w:name w:val="Plain Table 2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3">
    <w:name w:val="Plain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4">
    <w:name w:val="Plain Table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Plain Table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6">
    <w:name w:val="Grid Table 1 Light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1 Light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Grid Table 1 Light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Grid Table 1 Light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Grid Table 1 Light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Grid Table 1 Light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Grid Table 1 Light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Grid Table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2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2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2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2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2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2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3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3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3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3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3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3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4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8">
    <w:name w:val="Grid Table 4 - Accent 1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9">
    <w:name w:val="Grid Table 4 - Accent 2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0">
    <w:name w:val="Grid Table 4 - Accent 3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21">
    <w:name w:val="Grid Table 4 - Accent 4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2">
    <w:name w:val="Grid Table 4 - Accent 5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23">
    <w:name w:val="Grid Table 4 - Accent 6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24">
    <w:name w:val="Grid Table 5 Dark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5">
    <w:name w:val="Grid Table 5 Dark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26">
    <w:name w:val="Grid Table 5 Dark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27">
    <w:name w:val="Grid Table 5 Dark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28">
    <w:name w:val="Grid Table 5 Dark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9">
    <w:name w:val="Grid Table 5 Dark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30">
    <w:name w:val="Grid Table 5 Dark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31">
    <w:name w:val="Grid Table 6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32">
    <w:name w:val="Grid Table 6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33">
    <w:name w:val="Grid Table 6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34">
    <w:name w:val="Grid Table 6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5">
    <w:name w:val="Grid Table 6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6">
    <w:name w:val="Grid Table 6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7">
    <w:name w:val="Grid Table 6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8">
    <w:name w:val="Grid Table 7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7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Grid Table 7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Grid Table 7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Grid Table 7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Grid Table 7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Grid Table 7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1 Light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1 Light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List Table 1 Light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List Table 1 Light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List Table 1 Light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List Table 1 Light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List Table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53">
    <w:name w:val="List Table 2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54">
    <w:name w:val="List Table 2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5">
    <w:name w:val="List Table 2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6">
    <w:name w:val="List Table 2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7">
    <w:name w:val="List Table 2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8">
    <w:name w:val="List Table 2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9">
    <w:name w:val="List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3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3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3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3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3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3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4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4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4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4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4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4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5 Dark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4">
    <w:name w:val="List Table 5 Dark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5">
    <w:name w:val="List Table 5 Dark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6">
    <w:name w:val="List Table 5 Dark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7">
    <w:name w:val="List Table 5 Dark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8">
    <w:name w:val="List Table 5 Dark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9">
    <w:name w:val="List Table 5 Dark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0">
    <w:name w:val="List Table 6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81">
    <w:name w:val="List Table 6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82">
    <w:name w:val="List Table 6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3">
    <w:name w:val="List Table 6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84">
    <w:name w:val="List Table 6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5">
    <w:name w:val="List Table 6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6">
    <w:name w:val="List Table 6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7">
    <w:name w:val="List Table 7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8">
    <w:name w:val="List Table 7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89">
    <w:name w:val="List Table 7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90">
    <w:name w:val="List Table 7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91">
    <w:name w:val="List Table 7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92">
    <w:name w:val="List Table 7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93">
    <w:name w:val="List Table 7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94">
    <w:name w:val="Lined - Accent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5">
    <w:name w:val="Lined - Accent 1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96">
    <w:name w:val="Lined - Accent 2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7">
    <w:name w:val="Lined - Accent 3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8">
    <w:name w:val="Lined - Accent 4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9">
    <w:name w:val="Lined - Accent 5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00">
    <w:name w:val="Lined - Accent 6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1">
    <w:name w:val="Bordered &amp; Lined - Accent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2">
    <w:name w:val="Bordered &amp; Lined - Accent 1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03">
    <w:name w:val="Bordered &amp; Lined - Accent 2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04">
    <w:name w:val="Bordered &amp; Lined - Accent 3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05">
    <w:name w:val="Bordered &amp; Lined - Accent 4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06">
    <w:name w:val="Bordered &amp; Lined - Accent 5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07">
    <w:name w:val="Bordered &amp; Lined - Accent 6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8">
    <w:name w:val="Bordered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9">
    <w:name w:val="Bordered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10">
    <w:name w:val="Bordered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11">
    <w:name w:val="Bordered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12">
    <w:name w:val="Bordered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13">
    <w:name w:val="Bordered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14">
    <w:name w:val="Bordered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15">
    <w:name w:val="Footnote Text Char"/>
    <w:link w:val="1140"/>
    <w:uiPriority w:val="99"/>
    <w:rPr>
      <w:sz w:val="18"/>
    </w:rPr>
  </w:style>
  <w:style w:type="character" w:styleId="1116">
    <w:name w:val="Endnote Text Char"/>
    <w:link w:val="1164"/>
    <w:uiPriority w:val="99"/>
    <w:rPr>
      <w:sz w:val="20"/>
    </w:rPr>
  </w:style>
  <w:style w:type="paragraph" w:styleId="1117">
    <w:name w:val="toc 2"/>
    <w:basedOn w:val="1125"/>
    <w:next w:val="1125"/>
    <w:uiPriority w:val="39"/>
    <w:unhideWhenUsed/>
    <w:pPr>
      <w:ind w:left="283" w:right="0" w:firstLine="0"/>
      <w:spacing w:after="57"/>
    </w:pPr>
  </w:style>
  <w:style w:type="paragraph" w:styleId="1118">
    <w:name w:val="toc 3"/>
    <w:basedOn w:val="1125"/>
    <w:next w:val="1125"/>
    <w:uiPriority w:val="39"/>
    <w:unhideWhenUsed/>
    <w:pPr>
      <w:ind w:left="567" w:right="0" w:firstLine="0"/>
      <w:spacing w:after="57"/>
    </w:pPr>
  </w:style>
  <w:style w:type="paragraph" w:styleId="1119">
    <w:name w:val="toc 5"/>
    <w:basedOn w:val="1125"/>
    <w:next w:val="1125"/>
    <w:uiPriority w:val="39"/>
    <w:unhideWhenUsed/>
    <w:pPr>
      <w:ind w:left="1134" w:right="0" w:firstLine="0"/>
      <w:spacing w:after="57"/>
    </w:pPr>
  </w:style>
  <w:style w:type="paragraph" w:styleId="1120">
    <w:name w:val="toc 6"/>
    <w:basedOn w:val="1125"/>
    <w:next w:val="1125"/>
    <w:uiPriority w:val="39"/>
    <w:unhideWhenUsed/>
    <w:pPr>
      <w:ind w:left="1417" w:right="0" w:firstLine="0"/>
      <w:spacing w:after="57"/>
    </w:pPr>
  </w:style>
  <w:style w:type="paragraph" w:styleId="1121">
    <w:name w:val="toc 7"/>
    <w:basedOn w:val="1125"/>
    <w:next w:val="1125"/>
    <w:uiPriority w:val="39"/>
    <w:unhideWhenUsed/>
    <w:pPr>
      <w:ind w:left="1701" w:right="0" w:firstLine="0"/>
      <w:spacing w:after="57"/>
    </w:pPr>
  </w:style>
  <w:style w:type="paragraph" w:styleId="1122">
    <w:name w:val="toc 8"/>
    <w:basedOn w:val="1125"/>
    <w:next w:val="1125"/>
    <w:uiPriority w:val="39"/>
    <w:unhideWhenUsed/>
    <w:pPr>
      <w:ind w:left="1984" w:right="0" w:firstLine="0"/>
      <w:spacing w:after="57"/>
    </w:pPr>
  </w:style>
  <w:style w:type="paragraph" w:styleId="1123">
    <w:name w:val="toc 9"/>
    <w:basedOn w:val="1125"/>
    <w:next w:val="1125"/>
    <w:uiPriority w:val="39"/>
    <w:unhideWhenUsed/>
    <w:pPr>
      <w:ind w:left="2268" w:right="0" w:firstLine="0"/>
      <w:spacing w:after="57"/>
    </w:pPr>
  </w:style>
  <w:style w:type="paragraph" w:styleId="1124">
    <w:name w:val="table of figures"/>
    <w:basedOn w:val="1125"/>
    <w:next w:val="1125"/>
    <w:uiPriority w:val="99"/>
    <w:unhideWhenUsed/>
    <w:pPr>
      <w:spacing w:after="0" w:afterAutospacing="0"/>
    </w:pPr>
  </w:style>
  <w:style w:type="paragraph" w:styleId="1125" w:default="1">
    <w:name w:val="Normal"/>
    <w:qFormat/>
    <w:rPr>
      <w:sz w:val="24"/>
      <w:szCs w:val="24"/>
    </w:rPr>
  </w:style>
  <w:style w:type="paragraph" w:styleId="1126">
    <w:name w:val="Heading 1"/>
    <w:basedOn w:val="1125"/>
    <w:next w:val="112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127">
    <w:name w:val="Heading 2"/>
    <w:basedOn w:val="1125"/>
    <w:next w:val="1125"/>
    <w:link w:val="1138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128">
    <w:name w:val="Heading 3"/>
    <w:basedOn w:val="1125"/>
    <w:next w:val="1125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129">
    <w:name w:val="Heading 4"/>
    <w:basedOn w:val="1125"/>
    <w:next w:val="1125"/>
    <w:qFormat/>
    <w:pPr>
      <w:jc w:val="center"/>
      <w:keepNext/>
      <w:outlineLvl w:val="3"/>
    </w:pPr>
    <w:rPr>
      <w:b/>
      <w:sz w:val="22"/>
      <w:szCs w:val="22"/>
    </w:rPr>
  </w:style>
  <w:style w:type="paragraph" w:styleId="1130">
    <w:name w:val="Heading 5"/>
    <w:basedOn w:val="1125"/>
    <w:next w:val="1125"/>
    <w:qFormat/>
    <w:pPr>
      <w:keepNext/>
      <w:outlineLvl w:val="4"/>
    </w:pPr>
    <w:rPr>
      <w:b/>
      <w:bCs/>
      <w:sz w:val="28"/>
      <w:szCs w:val="28"/>
    </w:rPr>
  </w:style>
  <w:style w:type="paragraph" w:styleId="1131">
    <w:name w:val="Heading 6"/>
    <w:basedOn w:val="1125"/>
    <w:next w:val="1125"/>
    <w:qFormat/>
    <w:pPr>
      <w:jc w:val="center"/>
      <w:keepNext/>
      <w:outlineLvl w:val="5"/>
    </w:pPr>
    <w:rPr>
      <w:b/>
      <w:bCs/>
    </w:rPr>
  </w:style>
  <w:style w:type="paragraph" w:styleId="1132">
    <w:name w:val="Heading 7"/>
    <w:basedOn w:val="1125"/>
    <w:next w:val="1125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133">
    <w:name w:val="Heading 8"/>
    <w:basedOn w:val="1125"/>
    <w:next w:val="1125"/>
    <w:link w:val="1158"/>
    <w:qFormat/>
    <w:pPr>
      <w:keepNext/>
      <w:outlineLvl w:val="7"/>
    </w:pPr>
    <w:rPr>
      <w:b/>
      <w:bCs/>
    </w:rPr>
  </w:style>
  <w:style w:type="paragraph" w:styleId="1134">
    <w:name w:val="Heading 9"/>
    <w:basedOn w:val="1125"/>
    <w:next w:val="1125"/>
    <w:qFormat/>
    <w:pPr>
      <w:keepNext/>
      <w:outlineLvl w:val="8"/>
    </w:pPr>
    <w:rPr>
      <w:b/>
      <w:bCs/>
      <w:sz w:val="20"/>
      <w:szCs w:val="20"/>
    </w:rPr>
  </w:style>
  <w:style w:type="character" w:styleId="1135" w:default="1">
    <w:name w:val="Default Paragraph Font"/>
    <w:uiPriority w:val="1"/>
    <w:semiHidden/>
    <w:unhideWhenUsed/>
  </w:style>
  <w:style w:type="table" w:styleId="11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37" w:default="1">
    <w:name w:val="No List"/>
    <w:uiPriority w:val="99"/>
    <w:semiHidden/>
    <w:unhideWhenUsed/>
  </w:style>
  <w:style w:type="character" w:styleId="1138" w:customStyle="1">
    <w:name w:val="Заголовок 2 Знак"/>
    <w:link w:val="1127"/>
    <w:rPr>
      <w:b/>
      <w:bCs/>
      <w:i/>
      <w:iCs/>
      <w:sz w:val="24"/>
      <w:szCs w:val="24"/>
    </w:rPr>
  </w:style>
  <w:style w:type="table" w:styleId="1139">
    <w:name w:val="Table Grid"/>
    <w:basedOn w:val="113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40">
    <w:name w:val="footnote text"/>
    <w:basedOn w:val="1125"/>
    <w:link w:val="1161"/>
    <w:qFormat/>
    <w:rPr>
      <w:sz w:val="20"/>
      <w:szCs w:val="20"/>
    </w:rPr>
  </w:style>
  <w:style w:type="character" w:styleId="1141">
    <w:name w:val="footnote reference"/>
    <w:qFormat/>
    <w:rPr>
      <w:vertAlign w:val="superscript"/>
    </w:rPr>
  </w:style>
  <w:style w:type="paragraph" w:styleId="1142">
    <w:name w:val="No Spacing"/>
    <w:link w:val="1143"/>
    <w:uiPriority w:val="1"/>
    <w:qFormat/>
    <w:rPr>
      <w:rFonts w:ascii="Calibri" w:hAnsi="Calibri"/>
      <w:sz w:val="22"/>
      <w:szCs w:val="22"/>
      <w:lang w:eastAsia="en-US"/>
    </w:rPr>
  </w:style>
  <w:style w:type="character" w:styleId="1143" w:customStyle="1">
    <w:name w:val="Без интервала Знак"/>
    <w:link w:val="1142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44">
    <w:name w:val="toc 4"/>
    <w:basedOn w:val="1125"/>
    <w:next w:val="1125"/>
    <w:uiPriority w:val="39"/>
    <w:pPr>
      <w:spacing w:line="360" w:lineRule="auto"/>
      <w:tabs>
        <w:tab w:val="left" w:pos="426" w:leader="none"/>
        <w:tab w:val="right" w:pos="10065" w:leader="dot"/>
      </w:tabs>
    </w:pPr>
    <w:rPr>
      <w:b/>
      <w:bCs/>
      <w:sz w:val="22"/>
    </w:rPr>
  </w:style>
  <w:style w:type="character" w:styleId="1145">
    <w:name w:val="Hyperlink"/>
    <w:uiPriority w:val="99"/>
    <w:unhideWhenUsed/>
    <w:rPr>
      <w:color w:val="0000ff"/>
      <w:u w:val="single"/>
    </w:rPr>
  </w:style>
  <w:style w:type="paragraph" w:styleId="1146">
    <w:name w:val="Body Text Indent"/>
    <w:basedOn w:val="1125"/>
    <w:link w:val="1159"/>
    <w:rPr>
      <w:sz w:val="22"/>
      <w:szCs w:val="22"/>
    </w:rPr>
  </w:style>
  <w:style w:type="paragraph" w:styleId="1147" w:customStyle="1">
    <w:name w:val="Char Char Char"/>
    <w:basedOn w:val="11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148">
    <w:name w:val="Body Text"/>
    <w:basedOn w:val="1125"/>
    <w:link w:val="1160"/>
    <w:rPr>
      <w:b/>
      <w:bCs/>
    </w:rPr>
  </w:style>
  <w:style w:type="paragraph" w:styleId="1149">
    <w:name w:val="Body Text Indent 3"/>
    <w:basedOn w:val="1125"/>
    <w:pPr>
      <w:ind w:left="283"/>
      <w:spacing w:after="120"/>
    </w:pPr>
    <w:rPr>
      <w:sz w:val="16"/>
      <w:szCs w:val="16"/>
    </w:rPr>
  </w:style>
  <w:style w:type="paragraph" w:styleId="1150" w:customStyle="1">
    <w:name w:val="Default"/>
    <w:rPr>
      <w:color w:val="000000"/>
      <w:sz w:val="24"/>
      <w:szCs w:val="24"/>
    </w:rPr>
  </w:style>
  <w:style w:type="paragraph" w:styleId="1151">
    <w:name w:val="Body Text Indent 2"/>
    <w:basedOn w:val="1125"/>
    <w:pPr>
      <w:ind w:firstLine="360"/>
      <w:jc w:val="both"/>
    </w:pPr>
  </w:style>
  <w:style w:type="paragraph" w:styleId="1152">
    <w:name w:val="Header"/>
    <w:basedOn w:val="1125"/>
    <w:link w:val="1153"/>
    <w:uiPriority w:val="99"/>
    <w:pPr>
      <w:tabs>
        <w:tab w:val="center" w:pos="4677" w:leader="none"/>
        <w:tab w:val="right" w:pos="9355" w:leader="none"/>
      </w:tabs>
    </w:pPr>
  </w:style>
  <w:style w:type="character" w:styleId="1153" w:customStyle="1">
    <w:name w:val="Верхний колонтитул Знак"/>
    <w:link w:val="1152"/>
    <w:uiPriority w:val="99"/>
    <w:rPr>
      <w:sz w:val="24"/>
      <w:szCs w:val="24"/>
      <w:lang w:val="ru-RU" w:eastAsia="ru-RU" w:bidi="ar-SA"/>
    </w:rPr>
  </w:style>
  <w:style w:type="paragraph" w:styleId="1154">
    <w:name w:val="Footer"/>
    <w:basedOn w:val="1125"/>
    <w:link w:val="1155"/>
    <w:pPr>
      <w:tabs>
        <w:tab w:val="center" w:pos="4677" w:leader="none"/>
        <w:tab w:val="right" w:pos="9355" w:leader="none"/>
      </w:tabs>
    </w:pPr>
  </w:style>
  <w:style w:type="character" w:styleId="1155" w:customStyle="1">
    <w:name w:val="Нижний колонтитул Знак"/>
    <w:link w:val="1154"/>
    <w:rPr>
      <w:sz w:val="24"/>
      <w:szCs w:val="24"/>
    </w:rPr>
  </w:style>
  <w:style w:type="paragraph" w:styleId="1156">
    <w:name w:val="Balloon Text"/>
    <w:basedOn w:val="1125"/>
    <w:link w:val="1157"/>
    <w:rPr>
      <w:rFonts w:ascii="Tahoma" w:hAnsi="Tahoma"/>
      <w:sz w:val="16"/>
      <w:szCs w:val="16"/>
    </w:rPr>
  </w:style>
  <w:style w:type="character" w:styleId="1157" w:customStyle="1">
    <w:name w:val="Текст выноски Знак"/>
    <w:link w:val="1156"/>
    <w:rPr>
      <w:rFonts w:ascii="Tahoma" w:hAnsi="Tahoma" w:cs="Tahoma"/>
      <w:sz w:val="16"/>
      <w:szCs w:val="16"/>
    </w:rPr>
  </w:style>
  <w:style w:type="character" w:styleId="1158" w:customStyle="1">
    <w:name w:val="Заголовок 8 Знак"/>
    <w:link w:val="1133"/>
    <w:rPr>
      <w:b/>
      <w:bCs/>
      <w:sz w:val="24"/>
      <w:szCs w:val="24"/>
    </w:rPr>
  </w:style>
  <w:style w:type="character" w:styleId="1159" w:customStyle="1">
    <w:name w:val="Основной текст с отступом Знак"/>
    <w:link w:val="1146"/>
    <w:rPr>
      <w:sz w:val="22"/>
      <w:szCs w:val="22"/>
    </w:rPr>
  </w:style>
  <w:style w:type="character" w:styleId="1160" w:customStyle="1">
    <w:name w:val="Основной текст Знак"/>
    <w:link w:val="1148"/>
    <w:rPr>
      <w:b/>
      <w:bCs/>
      <w:sz w:val="24"/>
      <w:szCs w:val="24"/>
    </w:rPr>
  </w:style>
  <w:style w:type="character" w:styleId="1161" w:customStyle="1">
    <w:name w:val="Текст сноски Знак"/>
    <w:link w:val="1140"/>
  </w:style>
  <w:style w:type="paragraph" w:styleId="1162" w:customStyle="1">
    <w:name w:val="Название"/>
    <w:basedOn w:val="1125"/>
    <w:link w:val="1163"/>
    <w:qFormat/>
    <w:pPr>
      <w:jc w:val="center"/>
    </w:pPr>
    <w:rPr>
      <w:b/>
      <w:bCs/>
      <w:sz w:val="28"/>
      <w:szCs w:val="28"/>
    </w:rPr>
  </w:style>
  <w:style w:type="character" w:styleId="1163" w:customStyle="1">
    <w:name w:val="Название Знак"/>
    <w:link w:val="1162"/>
    <w:rPr>
      <w:b/>
      <w:bCs/>
      <w:sz w:val="28"/>
      <w:szCs w:val="28"/>
    </w:rPr>
  </w:style>
  <w:style w:type="paragraph" w:styleId="1164">
    <w:name w:val="endnote text"/>
    <w:basedOn w:val="1125"/>
    <w:link w:val="1165"/>
    <w:rPr>
      <w:sz w:val="20"/>
      <w:szCs w:val="20"/>
    </w:rPr>
  </w:style>
  <w:style w:type="character" w:styleId="1165" w:customStyle="1">
    <w:name w:val="Текст концевой сноски Знак"/>
    <w:basedOn w:val="1135"/>
    <w:link w:val="1164"/>
  </w:style>
  <w:style w:type="character" w:styleId="1166">
    <w:name w:val="endnote reference"/>
    <w:rPr>
      <w:vertAlign w:val="superscript"/>
    </w:rPr>
  </w:style>
  <w:style w:type="paragraph" w:styleId="1167" w:customStyle="1">
    <w:name w:val="Нормальный"/>
    <w:rPr>
      <w:rFonts w:ascii="TimesET" w:hAnsi="TimesET" w:cs="TimesET"/>
      <w:b/>
      <w:bCs/>
      <w:i/>
      <w:iCs/>
      <w:smallCaps/>
      <w:sz w:val="24"/>
      <w:szCs w:val="24"/>
    </w:rPr>
  </w:style>
  <w:style w:type="paragraph" w:styleId="1168">
    <w:name w:val="TOC Heading"/>
    <w:basedOn w:val="1126"/>
    <w:next w:val="1125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69">
    <w:name w:val="toc 1"/>
    <w:basedOn w:val="1125"/>
    <w:next w:val="1125"/>
    <w:uiPriority w:val="39"/>
  </w:style>
  <w:style w:type="paragraph" w:styleId="1170">
    <w:name w:val="List Paragraph"/>
    <w:basedOn w:val="1125"/>
    <w:uiPriority w:val="34"/>
    <w:qFormat/>
    <w:pPr>
      <w:ind w:left="708"/>
    </w:pPr>
  </w:style>
  <w:style w:type="paragraph" w:styleId="1171" w:customStyle="1">
    <w:name w:val="ConsNormal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4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5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6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7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8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9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0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1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2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3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4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5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6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7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8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9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30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6AF3-ADBE-4D39-AB66-4EE5A75C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Grafskaya</dc:creator>
  <cp:keywords/>
  <cp:revision>19</cp:revision>
  <dcterms:created xsi:type="dcterms:W3CDTF">2024-08-06T11:55:00Z</dcterms:created>
  <dcterms:modified xsi:type="dcterms:W3CDTF">2025-08-21T14:15:03Z</dcterms:modified>
</cp:coreProperties>
</file>