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985" w:hanging="1985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object w:dxaOrig="15796" w:dyaOrig="1198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159.00pt;height:122.25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r:id="rId13" ObjectID="_1525040" ProgID="PBrush" ShapeID="_x0000_i0" Type="Embed"/>
        </w:objec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1985" w:hanging="1985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Паспорт продукта </w:t>
      </w:r>
      <w:r>
        <w:rPr>
          <w:rFonts w:ascii="Times New Roman" w:hAnsi="Times New Roman" w:cs="Times New Roman"/>
          <w:b/>
          <w:sz w:val="24"/>
          <w:szCs w:val="20"/>
        </w:rPr>
        <w:t xml:space="preserve">«</w:t>
      </w:r>
      <w:r>
        <w:rPr>
          <w:rFonts w:ascii="Times New Roman" w:hAnsi="Times New Roman" w:cs="Times New Roman"/>
          <w:b/>
          <w:sz w:val="24"/>
          <w:szCs w:val="20"/>
        </w:rPr>
        <w:t xml:space="preserve">Накопительный счет</w:t>
      </w:r>
      <w:r>
        <w:rPr>
          <w:rFonts w:ascii="Times New Roman" w:hAnsi="Times New Roman" w:cs="Times New Roman"/>
          <w:b/>
          <w:sz w:val="24"/>
          <w:szCs w:val="20"/>
        </w:rPr>
        <w:t xml:space="preserve">»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</w:r>
      <w:r>
        <w:rPr>
          <w:rFonts w:ascii="Times New Roman" w:hAnsi="Times New Roman" w:cs="Times New Roman"/>
          <w:b/>
          <w:sz w:val="24"/>
          <w:szCs w:val="20"/>
        </w:rPr>
      </w:r>
    </w:p>
    <w:p>
      <w:pPr>
        <w:ind w:left="1985" w:hanging="1985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0"/>
          <w:u w:val="single"/>
        </w:rPr>
        <w:t xml:space="preserve">в рамках тарифного плана «Ультра»</w:t>
      </w:r>
      <w:r>
        <w:rPr>
          <w:rFonts w:ascii="Times New Roman" w:hAnsi="Times New Roman" w:cs="Times New Roman"/>
          <w:b/>
          <w:sz w:val="24"/>
          <w:szCs w:val="20"/>
          <w:u w:val="single"/>
        </w:rPr>
      </w:r>
      <w:r>
        <w:rPr>
          <w:rFonts w:ascii="Times New Roman" w:hAnsi="Times New Roman" w:cs="Times New Roman"/>
          <w:b/>
          <w:sz w:val="24"/>
          <w:szCs w:val="20"/>
          <w:u w:val="single"/>
        </w:rPr>
      </w:r>
    </w:p>
    <w:p>
      <w:pPr>
        <w:ind w:left="1985" w:hanging="1985"/>
        <w:jc w:val="center"/>
        <w:spacing w:after="0"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3686"/>
        <w:jc w:val="both"/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документе представлено краткое изложение ключевой информации, которая относится к стандар</w:t>
      </w:r>
      <w:r>
        <w:rPr>
          <w:rFonts w:ascii="Times New Roman" w:hAnsi="Times New Roman" w:cs="Times New Roman"/>
          <w:sz w:val="20"/>
          <w:szCs w:val="20"/>
        </w:rPr>
        <w:t xml:space="preserve">тным условиям данного продукта.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3686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Информация, указанная в документе, не является рекламой и носит исключительно справочный характер.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81"/>
        <w:tblW w:w="9639" w:type="dxa"/>
        <w:tblInd w:w="-5" w:type="dxa"/>
        <w:tblBorders>
          <w:top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left="-1814"/>
              <w:jc w:val="center"/>
              <w:spacing w:before="120"/>
              <w:tabs>
                <w:tab w:val="left" w:pos="17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АО «Россельхозбанк»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Кредитная организация: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АО «Россельхозбанк» (ИНН: 7725114488, ОГРН: 1027700342890)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Контактная информация: 119034, Москва, Гагаринский переулок, д. 3, контактный телефон: для звонков по</w:t>
      </w:r>
      <w:r>
        <w:rPr>
          <w:rFonts w:ascii="Times New Roman" w:hAnsi="Times New Roman" w:cs="Times New Roman"/>
          <w:sz w:val="20"/>
          <w:szCs w:val="20"/>
        </w:rPr>
        <w:t xml:space="preserve"> России </w:t>
      </w:r>
      <w:r>
        <w:rPr>
          <w:rFonts w:ascii="Times New Roman" w:hAnsi="Times New Roman" w:cs="Times New Roman"/>
          <w:sz w:val="20"/>
          <w:szCs w:val="20"/>
        </w:rPr>
        <w:t xml:space="preserve">8 (800) 100-01-00, официальный сайт: https://www.rshb.ru.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81"/>
        <w:tblW w:w="9918" w:type="dxa"/>
        <w:tblLook w:val="04A0" w:firstRow="1" w:lastRow="0" w:firstColumn="1" w:lastColumn="0" w:noHBand="0" w:noVBand="1"/>
      </w:tblPr>
      <w:tblGrid>
        <w:gridCol w:w="562"/>
        <w:gridCol w:w="3515"/>
        <w:gridCol w:w="34"/>
        <w:gridCol w:w="5807"/>
      </w:tblGrid>
      <w:tr>
        <w:tblPrEx/>
        <w:trPr/>
        <w:tc>
          <w:tcPr>
            <w:gridSpan w:val="4"/>
            <w:tcW w:w="99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-Условия открытия и обслуживания счетов физических лиц в АО «Россельхозбанк» (далее - Условия);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Заявление на открытие счета (далее - Договор);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-Условия открытия, обслуживания и закрытия счетов физических лиц в АО «Россельхозбанк» с использованием системы «Интернет-банк» и «Мобильный банк»;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Тарифы комиссионного вознаграждения на услуги АО «Россельхозбанк» физическим лицам (далее - Тарифы).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Указанные документы размещены на официальном сайте Банка в сети Интернет по адресу </w:t>
            </w:r>
            <w:hyperlink r:id="rId14" w:tooltip="https://www.rshb.ru/natural/deposits#docs" w:anchor="docs" w:history="1">
              <w:r>
                <w:rPr>
                  <w:rStyle w:val="883"/>
                  <w:rFonts w:ascii="Times New Roman" w:hAnsi="Times New Roman" w:cs="Times New Roman"/>
                  <w:sz w:val="20"/>
                  <w:szCs w:val="20"/>
                </w:rPr>
                <w:t xml:space="preserve">https://www.rshb.ru/natural/deposits#docs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«Документы и Тарифы».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ТАКОЕ НАКОПИТЕЛЬНЫЙ СЧЕТ?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Это банковский счет физических лиц, открытый Банком Клиенту на основании Договора, предназначенный для совершения расчетных, кассовых и иных операций, установленных действующим законодательством Российской Федерации, не связанных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существлением предпринимательской деятельности, а также деятельности лица, занимающегося в установленном законодательством Российской Федерации порядке частной практикой, с возможностью получения процентов на остаток денежных средств, находящихся на счете.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УСЛОВИЯ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584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Без ограничений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Валюта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584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Рубли РФ, китайские юани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счета (если применимо)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584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бессрочно.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дистанционного обслуживания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584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Возможно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 w:type="page" w:clear="all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ПРОЦЕНТЫ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СЧЕТУ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гарантированная процентная 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минимальная сумма процентов, которые будут выплачены клиенту за год на минимально возможную сумму для размещения без учета дополнительных условий)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0,01%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возможная процентная 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20,25%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рублях РФ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Ставка указана с учетом участия в акции «Ультра выгодные траты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для физических лиц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в рамках тарифного плана «Пакет услуг «Ультра»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sz w:val="20"/>
                <w:szCs w:val="20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% - в китайских юанях</w:t>
            </w:r>
            <w:r>
              <w:rPr>
                <w:rFonts w:ascii="Times New Roman" w:hAnsi="Times New Roman" w:cs="Times New Roman"/>
                <w:b w:val="0"/>
                <w:bCs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условия, влияющие на процентную ставку (если применимо)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Акция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, Ультра!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для физических лиц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в рамках тарифного плана «Пакет услуг «Ультра»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предполагает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выплату дополнительных процентов в размере 7,0% годовых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 базовой процентной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ставке по Счету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владельцев Пакета услуг «Ультра», </w:t>
            </w:r>
            <w:r>
              <w:rPr>
                <w:rFonts w:ascii="Times New Roman" w:hAnsi="Times New Roman" w:eastAsia="Times New Roman" w:cs="Times New Roman"/>
                <w:i/>
                <w:iCs/>
                <w:color w:val="1c1c1c"/>
                <w:sz w:val="20"/>
                <w:szCs w:val="20"/>
                <w:shd w:val="clear" w:color="auto" w:fill="ffffff"/>
              </w:rPr>
              <w:t xml:space="preserve">не имеющих накопительных счетов в Банке в </w:t>
            </w:r>
            <w:r>
              <w:rPr>
                <w:rFonts w:ascii="Times New Roman" w:hAnsi="Times New Roman" w:eastAsia="Times New Roman" w:cs="Times New Roman"/>
                <w:i/>
                <w:iCs/>
                <w:color w:val="1c1c1c"/>
                <w:sz w:val="20"/>
                <w:szCs w:val="20"/>
                <w:shd w:val="clear" w:color="auto" w:fill="ffffff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i/>
                <w:iCs/>
                <w:color w:val="1c1c1c"/>
                <w:sz w:val="20"/>
                <w:szCs w:val="20"/>
                <w:shd w:val="clear" w:color="auto" w:fill="ffffff"/>
              </w:rPr>
              <w:t xml:space="preserve">60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1c1c1c"/>
                <w:sz w:val="20"/>
                <w:szCs w:val="20"/>
                <w:shd w:val="clear" w:color="auto" w:fill="ffffff"/>
              </w:rPr>
              <w:t xml:space="preserve">шестидесяти) календарных</w:t>
            </w:r>
            <w:r>
              <w:rPr>
                <w:rFonts w:ascii="Times New Roman" w:hAnsi="Times New Roman" w:eastAsia="Times New Roman" w:cs="Times New Roman"/>
                <w:i/>
                <w:iCs/>
                <w:color w:val="1c1c1c"/>
                <w:sz w:val="20"/>
                <w:szCs w:val="20"/>
                <w:shd w:val="clear" w:color="auto" w:fill="ffffff"/>
              </w:rPr>
              <w:t xml:space="preserve"> дней, предшествующих дате обращения в Банк (включительно) с целью открытия банковского счета физических лиц «Накопительный счет» в рамках тарифного плана «Ультра» в рублях РФ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Надбавка начисляется на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фактический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остаток денежных средств на Счете не более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10 млн рублей.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10"/>
                <w:szCs w:val="10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10"/>
                <w:szCs w:val="10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10"/>
                <w:szCs w:val="1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*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Акция «Ультра выгодные тр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аты» предполагает при наличии у клиента открытого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color w:val="1c1c1c"/>
                <w:sz w:val="20"/>
                <w:szCs w:val="20"/>
                <w:highlight w:val="none"/>
                <w:shd w:val="clear" w:color="auto" w:fill="ffffff"/>
              </w:rPr>
              <w:t xml:space="preserve">банковского счета физических лиц «На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1c1c1c"/>
                <w:sz w:val="20"/>
                <w:szCs w:val="20"/>
                <w:highlight w:val="none"/>
                <w:shd w:val="clear" w:color="auto" w:fill="ffffff"/>
              </w:rPr>
              <w:t xml:space="preserve">копительный счет» в рамках тарифного плана «Пакет услуг «Ультра» </w:t>
            </w:r>
            <w:r>
              <w:rPr>
                <w:rFonts w:ascii="Times New Roman" w:hAnsi="Times New Roman" w:eastAsia="Times New Roman" w:cs="Times New Roman"/>
                <w:i/>
                <w:iCs/>
                <w:color w:val="1c1c1c"/>
                <w:sz w:val="20"/>
                <w:szCs w:val="20"/>
                <w:highlight w:val="none"/>
                <w:shd w:val="clear" w:color="auto" w:fill="ffffff"/>
              </w:rPr>
              <w:t xml:space="preserve">в рублях РФ</w:t>
            </w:r>
            <w:r>
              <w:rPr>
                <w:rFonts w:ascii="Times New Roman" w:hAnsi="Times New Roman" w:eastAsia="Times New Roman" w:cs="Times New Roman"/>
                <w:i/>
                <w:iCs/>
                <w:color w:val="1c1c1c"/>
                <w:sz w:val="20"/>
                <w:szCs w:val="20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и достижения оборотов по картам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«Карта «Ультра»/«Карта «МИР-Ультра»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 и/или «К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редитная карта «Ультра» начисление надбавки к базовой ставке от 5% до 8,25% годовых.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Надбавка начисляется на остаток денежных средств на накопительных счетах (совокупно не более 10 млн рублей).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начисления и получения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Проценты начисляются на фактический остаток денежных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средств на Счете на начало операционного дня по процентной ставке, установленной Банком для тарифного плана «Ультра» на соответствующую дату и соответствующей суммовому диапазону, в которых входит минимальный остаток на Счете в течение расчетного периода.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Минимальный остаток – наименьшая сумма денежных средств, находящаяся на Счете на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начало операционного дня в течение расчетного периода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Выплата процентов производится ежемесячно в после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дний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календарный день месяца путем зачисления суммы причитающихся процентов на Счет. При закрытии Счета проценты выплачиваются наличным способом или безналично по реквизитам, предоставляемым клиентом, ранее начисленные и выплаченные проценты не пересчитываются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ОПЕРАЦИИ ПО СЧЕТУ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пополнения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рублях РФ: Без ограничений;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китайских юанях: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Пополнение Счета, открытого с 22.03.2023, осуществляется в соответствии с Договором: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 в наличном порядке с использованием текущего счета с последующим безналичным перечислением на Счет;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 в безналичном порядке – без ограничений.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Пополнение Счета, открытого до 22.03.2023, осуществляется в соответствии с условиями договора банковского счета, заключенного с клиентом (без ограничений).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Расходные операции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рублях РФ: Без ограничений;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Выдача со Счета, открытого с 22.03.2023, осуществляется: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 наличными денежными средствами в рублях РФ в сумме, эквивалентной размеру денежных средств в китайских юанях по курсу Банка России на день проведения операции;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 в безналичном порядке – без ограничений.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Выдача со Счета, открытого до 22.03.2023, осуществляется в соответствии с условиями договора банковского счета, заключенного с клиентом (без ограничений).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ПОРЯДОК 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КРЫТИЯ СЧЕТА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657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инициативе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 отсутствии 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течение двух лет денежных средств на счете Клиента и операций по этому счету, Банк вправе отказаться от исполнения Договора, предупредив об этом Клиента в письменной форме (заказным письмом с уведомлением о вручении, путем непосредственного вручения соотв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етствующего письма под роспись Клиенту или иным способом). Договор считается расторгнутым по истечении двух месяцев со дня направления Клиенту такого предупреждения, если на соответствующий счет Клиента в течение этого срока не поступили денежные средства.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инициативе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Договор может быть расторгнут в любое время по инициативе и по первому требованию Клиента на основании письменного заявления о расторжении Договора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РАСХОДЫ ПОТРЕБИТЕЛЯ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совершение операций по счету Банком взимается плата в соответствии с Тарифами.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СТРАХОВАНИЕ ДЕНЕЖН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ЫХ СРЕДСТВ, РАЗМЕЩЕННЫХ НА НАКОПИТЕЛЬНЫХ СЧЕТАХ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gridSpan w:val="4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СПОСОБЫ НАПРАВЛЕНИЯ ОБРАЩЕНИЯ В БАНК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gridSpan w:val="4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Направить обращения в Банк возможно одним из следующих способов:                                                                                                              - обратиться в подразделение Банка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(головной офис/филиал);                                                                                                                              - позвонить по телефонам справочной службы Банка: 8-800-100-01-00 (для звонков по России), 7787 (Абонентам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МТС, Мегафон, Билайн и Tele2), +7 (495) 787-77-87 (для звонков из-за границы);                                                                                                                                         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обращение на официальном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сайт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Банка в сети Интернет по адресу: www.rshb.ru.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lfaen">
    <w:panose1 w:val="010A05020503060303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24404272"/>
      <w:docPartObj>
        <w:docPartGallery w:val="Page Numbers (Top of Page)"/>
        <w:docPartUnique w:val="true"/>
      </w:docPartObj>
      <w:rPr/>
    </w:sdtPr>
    <w:sdtContent>
      <w:p>
        <w:pPr>
          <w:pStyle w:val="88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bCs/>
        <w:i/>
      </w:rPr>
    </w:pPr>
    <w:r>
      <w:t xml:space="preserve">                                                                                                                                                   </w:t>
    </w:r>
    <w:r>
      <w:rPr>
        <w:i/>
        <w:iCs/>
      </w:rPr>
      <w:t xml:space="preserve">Действует с 20.06.2025</w:t>
    </w:r>
    <w:r>
      <w:rPr>
        <w:i/>
        <w:iCs/>
      </w:rPr>
    </w:r>
    <w:r>
      <w:rPr>
        <w:bCs/>
        <w:i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3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ambria" w:hAnsi="Cambria" w:cs="Cambria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Courier New" w:hAnsi="Courier New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lfaen" w:hAnsi="Sylfaen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ambria" w:hAnsi="Cambria" w:cs="Cambria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Courier New" w:hAnsi="Courier New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lfaen" w:hAnsi="Sylfaen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ambria" w:hAnsi="Cambria" w:cs="Cambria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Courier New" w:hAnsi="Courier New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5.%2."/>
      <w:lvlJc w:val="left"/>
      <w:pPr>
        <w:ind w:left="1440" w:hanging="360"/>
        <w:tabs>
          <w:tab w:val="num" w:pos="0" w:leader="none"/>
        </w:tabs>
      </w:pPr>
      <w:rPr>
        <w:rFonts w:hint="default"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0" w:leader="none"/>
        </w:tabs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7"/>
    <w:next w:val="877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78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77"/>
    <w:next w:val="877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78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78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7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78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8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8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7"/>
    <w:next w:val="877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8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7"/>
    <w:next w:val="877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8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77"/>
    <w:next w:val="877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78"/>
    <w:link w:val="725"/>
    <w:uiPriority w:val="10"/>
    <w:rPr>
      <w:sz w:val="48"/>
      <w:szCs w:val="48"/>
    </w:rPr>
  </w:style>
  <w:style w:type="paragraph" w:styleId="727">
    <w:name w:val="Subtitle"/>
    <w:basedOn w:val="877"/>
    <w:next w:val="877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78"/>
    <w:link w:val="727"/>
    <w:uiPriority w:val="11"/>
    <w:rPr>
      <w:sz w:val="24"/>
      <w:szCs w:val="24"/>
    </w:rPr>
  </w:style>
  <w:style w:type="paragraph" w:styleId="729">
    <w:name w:val="Quote"/>
    <w:basedOn w:val="877"/>
    <w:next w:val="877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77"/>
    <w:next w:val="877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character" w:styleId="733">
    <w:name w:val="Header Char"/>
    <w:basedOn w:val="878"/>
    <w:link w:val="889"/>
    <w:uiPriority w:val="99"/>
  </w:style>
  <w:style w:type="character" w:styleId="734">
    <w:name w:val="Footer Char"/>
    <w:basedOn w:val="878"/>
    <w:link w:val="891"/>
    <w:uiPriority w:val="99"/>
  </w:style>
  <w:style w:type="paragraph" w:styleId="735">
    <w:name w:val="Caption"/>
    <w:basedOn w:val="877"/>
    <w:next w:val="877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891"/>
    <w:uiPriority w:val="99"/>
  </w:style>
  <w:style w:type="table" w:styleId="737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6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7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8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9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0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1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0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4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Footnote Text Char"/>
    <w:link w:val="899"/>
    <w:uiPriority w:val="99"/>
    <w:rPr>
      <w:sz w:val="18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8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table" w:styleId="881">
    <w:name w:val="Table Grid"/>
    <w:basedOn w:val="8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2">
    <w:name w:val="List Paragraph"/>
    <w:basedOn w:val="877"/>
    <w:link w:val="886"/>
    <w:uiPriority w:val="34"/>
    <w:qFormat/>
    <w:pPr>
      <w:contextualSpacing/>
      <w:ind w:left="720"/>
    </w:pPr>
  </w:style>
  <w:style w:type="character" w:styleId="883">
    <w:name w:val="Hyperlink"/>
    <w:basedOn w:val="878"/>
    <w:uiPriority w:val="99"/>
    <w:unhideWhenUsed/>
    <w:rPr>
      <w:color w:val="0563c1" w:themeColor="hyperlink"/>
      <w:u w:val="single"/>
    </w:rPr>
  </w:style>
  <w:style w:type="paragraph" w:styleId="884">
    <w:name w:val="Balloon Text"/>
    <w:basedOn w:val="877"/>
    <w:link w:val="88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basedOn w:val="878"/>
    <w:link w:val="884"/>
    <w:uiPriority w:val="99"/>
    <w:semiHidden/>
    <w:rPr>
      <w:rFonts w:ascii="Segoe UI" w:hAnsi="Segoe UI" w:cs="Segoe UI"/>
      <w:sz w:val="18"/>
      <w:szCs w:val="18"/>
    </w:rPr>
  </w:style>
  <w:style w:type="character" w:styleId="886" w:customStyle="1">
    <w:name w:val="Абзац списка Знак"/>
    <w:link w:val="882"/>
    <w:uiPriority w:val="34"/>
  </w:style>
  <w:style w:type="paragraph" w:styleId="887">
    <w:name w:val="Body Text"/>
    <w:basedOn w:val="877"/>
    <w:link w:val="888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 w:customStyle="1">
    <w:name w:val="Основной текст Знак"/>
    <w:basedOn w:val="878"/>
    <w:link w:val="88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9">
    <w:name w:val="Header"/>
    <w:basedOn w:val="877"/>
    <w:link w:val="8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878"/>
    <w:link w:val="889"/>
    <w:uiPriority w:val="99"/>
  </w:style>
  <w:style w:type="paragraph" w:styleId="891">
    <w:name w:val="Footer"/>
    <w:basedOn w:val="877"/>
    <w:link w:val="8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basedOn w:val="878"/>
    <w:link w:val="891"/>
    <w:uiPriority w:val="99"/>
  </w:style>
  <w:style w:type="character" w:styleId="893">
    <w:name w:val="annotation reference"/>
    <w:basedOn w:val="878"/>
    <w:uiPriority w:val="99"/>
    <w:semiHidden/>
    <w:unhideWhenUsed/>
    <w:rPr>
      <w:sz w:val="16"/>
      <w:szCs w:val="16"/>
    </w:rPr>
  </w:style>
  <w:style w:type="paragraph" w:styleId="894">
    <w:name w:val="annotation text"/>
    <w:basedOn w:val="877"/>
    <w:link w:val="89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5" w:customStyle="1">
    <w:name w:val="Текст примечания Знак"/>
    <w:basedOn w:val="878"/>
    <w:link w:val="894"/>
    <w:uiPriority w:val="99"/>
    <w:semiHidden/>
    <w:rPr>
      <w:sz w:val="20"/>
      <w:szCs w:val="20"/>
    </w:rPr>
  </w:style>
  <w:style w:type="paragraph" w:styleId="896">
    <w:name w:val="annotation subject"/>
    <w:basedOn w:val="894"/>
    <w:next w:val="894"/>
    <w:link w:val="897"/>
    <w:uiPriority w:val="99"/>
    <w:semiHidden/>
    <w:unhideWhenUsed/>
    <w:rPr>
      <w:b/>
      <w:bCs/>
    </w:rPr>
  </w:style>
  <w:style w:type="character" w:styleId="897" w:customStyle="1">
    <w:name w:val="Тема примечания Знак"/>
    <w:basedOn w:val="895"/>
    <w:link w:val="896"/>
    <w:uiPriority w:val="99"/>
    <w:semiHidden/>
    <w:rPr>
      <w:b/>
      <w:bCs/>
      <w:sz w:val="20"/>
      <w:szCs w:val="20"/>
    </w:rPr>
  </w:style>
  <w:style w:type="paragraph" w:styleId="898">
    <w:name w:val="Revision"/>
    <w:hidden/>
    <w:uiPriority w:val="99"/>
    <w:semiHidden/>
    <w:pPr>
      <w:spacing w:after="0" w:line="240" w:lineRule="auto"/>
    </w:pPr>
  </w:style>
  <w:style w:type="paragraph" w:styleId="899">
    <w:name w:val="footnote text"/>
    <w:basedOn w:val="877"/>
    <w:link w:val="900"/>
    <w:qFormat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</w:style>
  <w:style w:type="character" w:styleId="900" w:customStyle="1">
    <w:name w:val="Текст сноски Знак"/>
    <w:basedOn w:val="878"/>
    <w:link w:val="899"/>
    <w:rPr>
      <w:rFonts w:ascii="Calibri" w:hAnsi="Calibri" w:eastAsia="Calibri" w:cs="Times New Roman"/>
      <w:sz w:val="20"/>
      <w:szCs w:val="20"/>
      <w:lang w:eastAsia="ru-RU"/>
    </w:rPr>
  </w:style>
  <w:style w:type="character" w:styleId="901">
    <w:name w:val="footnote reference"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oleObject" Target="embeddings/oleObject1.bin"/><Relationship Id="rId14" Type="http://schemas.openxmlformats.org/officeDocument/2006/relationships/hyperlink" Target="https://www.rshb.ru/natural/deposit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2F757-FE55-4353-AD0E-AC655BC9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Харабрина Юлия Юрьевна</dc:creator>
  <cp:keywords/>
  <dc:description/>
  <cp:revision>6</cp:revision>
  <dcterms:created xsi:type="dcterms:W3CDTF">2024-11-19T11:40:00Z</dcterms:created>
  <dcterms:modified xsi:type="dcterms:W3CDTF">2025-06-18T15:20:59Z</dcterms:modified>
</cp:coreProperties>
</file>