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715"/>
        <w:ind w:left="4395"/>
        <w:spacing w:after="0" w:line="240" w:lineRule="auto"/>
        <w:rPr>
          <w:sz w:val="20"/>
          <w:szCs w:val="20"/>
          <w:lang w:val="ru-RU"/>
        </w:rPr>
      </w:pPr>
      <w:r/>
      <w:bookmarkStart w:id="0" w:name="_Toc360713960"/>
      <w:r/>
      <w:bookmarkStart w:id="1" w:name="_Toc389226238"/>
      <w:r/>
      <w:bookmarkStart w:id="2" w:name="_Toc399755824"/>
      <w:r>
        <w:rPr>
          <w:sz w:val="20"/>
          <w:szCs w:val="20"/>
        </w:rPr>
        <w:t xml:space="preserve">Приложение </w:t>
      </w:r>
      <w:r>
        <w:rPr>
          <w:sz w:val="20"/>
          <w:szCs w:val="20"/>
          <w:lang w:val="ru-RU"/>
        </w:rPr>
        <w:t xml:space="preserve">14</w:t>
      </w:r>
      <w:r>
        <w:rPr>
          <w:sz w:val="20"/>
          <w:szCs w:val="20"/>
          <w:lang w:val="ru-RU"/>
        </w:rPr>
      </w:r>
      <w:r>
        <w:rPr>
          <w:sz w:val="20"/>
          <w:szCs w:val="20"/>
          <w:lang w:val="ru-RU"/>
        </w:rPr>
      </w:r>
    </w:p>
    <w:p>
      <w:pPr>
        <w:pStyle w:val="715"/>
        <w:contextualSpacing/>
        <w:ind w:left="4395"/>
        <w:spacing w:after="0" w:line="240" w:lineRule="atLeast"/>
        <w:rPr>
          <w:sz w:val="20"/>
          <w:szCs w:val="20"/>
        </w:rPr>
      </w:pPr>
      <w:r>
        <w:rPr>
          <w:sz w:val="20"/>
          <w:szCs w:val="20"/>
        </w:rPr>
        <w:t xml:space="preserve">к Условиям </w:t>
      </w:r>
      <w:r>
        <w:rPr>
          <w:iCs/>
          <w:sz w:val="20"/>
          <w:szCs w:val="20"/>
        </w:rPr>
        <w:t xml:space="preserve">дистанционного банковского обслуживания юридических лиц и индивидуальных предпринимателей </w:t>
      </w:r>
      <w:r>
        <w:rPr>
          <w:iCs/>
          <w:sz w:val="20"/>
          <w:szCs w:val="20"/>
          <w:lang w:val="ru-RU"/>
        </w:rPr>
        <w:br w:type="textWrapping" w:clear="all"/>
      </w:r>
      <w:r>
        <w:rPr>
          <w:iCs/>
          <w:sz w:val="20"/>
          <w:szCs w:val="20"/>
        </w:rPr>
        <w:t xml:space="preserve">в АО «Россельхозбанк» с использованием </w:t>
      </w:r>
      <w:r>
        <w:rPr>
          <w:iCs/>
          <w:sz w:val="20"/>
          <w:szCs w:val="20"/>
          <w:lang w:eastAsia="ru-RU"/>
        </w:rPr>
        <w:t xml:space="preserve">информационной системы «Цифровой канал обслуживания юридических лиц «Свой бизнес»</w:t>
      </w:r>
      <w:r>
        <w:rPr>
          <w:iCs/>
          <w:sz w:val="20"/>
          <w:szCs w:val="20"/>
        </w:rPr>
        <w:t xml:space="preserve"> </w:t>
      </w:r>
      <w:r>
        <w:rPr>
          <w:sz w:val="20"/>
          <w:szCs w:val="20"/>
        </w:rPr>
        <w:t xml:space="preserve">в ра</w:t>
      </w:r>
      <w:r>
        <w:rPr>
          <w:sz w:val="20"/>
          <w:szCs w:val="20"/>
        </w:rPr>
        <w:t xml:space="preserve">мках Единого сервисного договор </w:t>
      </w:r>
      <w:r>
        <w:rPr>
          <w:sz w:val="20"/>
          <w:szCs w:val="20"/>
        </w:rPr>
      </w:r>
      <w:r>
        <w:rPr>
          <w:sz w:val="20"/>
          <w:szCs w:val="20"/>
        </w:rPr>
      </w:r>
    </w:p>
    <w:p>
      <w:pPr>
        <w:pStyle w:val="715"/>
        <w:contextualSpacing/>
        <w:ind w:left="4678"/>
        <w:spacing w:line="240" w:lineRule="atLeast"/>
        <w:rPr>
          <w:sz w:val="20"/>
          <w:szCs w:val="20"/>
          <w:lang w:val="ru-RU"/>
        </w:rPr>
      </w:pPr>
      <w:r>
        <w:rPr>
          <w:sz w:val="20"/>
          <w:szCs w:val="20"/>
          <w:lang w:val="ru-RU"/>
        </w:rPr>
      </w:r>
      <w:r>
        <w:rPr>
          <w:sz w:val="20"/>
          <w:szCs w:val="20"/>
          <w:lang w:val="ru-RU"/>
        </w:rPr>
      </w:r>
    </w:p>
    <w:p>
      <w:pPr>
        <w:pStyle w:val="694"/>
        <w:jc w:val="center"/>
        <w:keepNext/>
        <w:spacing w:before="120" w:after="120" w:line="240" w:lineRule="auto"/>
        <w:tabs>
          <w:tab w:val="left" w:pos="567" w:leader="none"/>
        </w:tabs>
        <w:rPr>
          <w:rFonts w:ascii="Times New Roman" w:hAnsi="Times New Roman" w:eastAsia="Times New Roman"/>
          <w:b/>
          <w:bCs/>
          <w:sz w:val="24"/>
          <w:szCs w:val="20"/>
          <w:lang w:eastAsia="en-US"/>
        </w:rPr>
        <w:outlineLvl w:val="0"/>
      </w:pPr>
      <w:r>
        <w:rPr>
          <w:rFonts w:ascii="Times New Roman" w:hAnsi="Times New Roman" w:eastAsia="Times New Roman"/>
          <w:b/>
          <w:bCs/>
          <w:sz w:val="24"/>
          <w:szCs w:val="20"/>
          <w:lang w:val="en-US" w:eastAsia="en-US"/>
        </w:rPr>
        <w:t xml:space="preserve">Перечень документов для подключения </w:t>
      </w:r>
      <w:r>
        <w:rPr>
          <w:rFonts w:ascii="Times New Roman" w:hAnsi="Times New Roman" w:eastAsia="Times New Roman"/>
          <w:b/>
          <w:bCs/>
          <w:sz w:val="24"/>
          <w:szCs w:val="20"/>
          <w:lang w:eastAsia="en-US"/>
        </w:rPr>
        <w:t xml:space="preserve">к</w:t>
      </w:r>
      <w:r>
        <w:rPr>
          <w:rFonts w:ascii="Times New Roman" w:hAnsi="Times New Roman" w:eastAsia="Times New Roman"/>
          <w:b/>
          <w:bCs/>
          <w:sz w:val="24"/>
          <w:szCs w:val="20"/>
          <w:lang w:val="en-US" w:eastAsia="en-US"/>
        </w:rPr>
        <w:t xml:space="preserve">лиента к </w:t>
      </w:r>
      <w:bookmarkEnd w:id="0"/>
      <w:r/>
      <w:bookmarkEnd w:id="1"/>
      <w:r/>
      <w:bookmarkEnd w:id="2"/>
      <w:r>
        <w:rPr>
          <w:rFonts w:ascii="Times New Roman" w:hAnsi="Times New Roman" w:eastAsia="Times New Roman"/>
          <w:b/>
          <w:bCs/>
          <w:sz w:val="24"/>
          <w:szCs w:val="20"/>
          <w:lang w:eastAsia="en-US"/>
        </w:rPr>
        <w:t xml:space="preserve">ИС Свой Бизнес</w:t>
      </w:r>
      <w:r>
        <w:rPr>
          <w:rStyle w:val="700"/>
          <w:rFonts w:ascii="Times New Roman" w:hAnsi="Times New Roman" w:eastAsia="Times New Roman"/>
          <w:b/>
          <w:bCs/>
          <w:sz w:val="24"/>
          <w:szCs w:val="20"/>
          <w:lang w:eastAsia="en-US"/>
        </w:rPr>
        <w:footnoteReference w:id="2"/>
      </w:r>
      <w:r>
        <w:rPr>
          <w:rFonts w:ascii="Times New Roman" w:hAnsi="Times New Roman" w:eastAsia="Times New Roman"/>
          <w:b/>
          <w:bCs/>
          <w:sz w:val="24"/>
          <w:szCs w:val="20"/>
          <w:lang w:eastAsia="en-US"/>
        </w:rPr>
      </w:r>
      <w:r>
        <w:rPr>
          <w:rFonts w:ascii="Times New Roman" w:hAnsi="Times New Roman" w:eastAsia="Times New Roman"/>
          <w:b/>
          <w:bCs/>
          <w:sz w:val="24"/>
          <w:szCs w:val="20"/>
          <w:lang w:eastAsia="en-US"/>
        </w:rPr>
      </w:r>
    </w:p>
    <w:p>
      <w:pPr>
        <w:pStyle w:val="694"/>
        <w:numPr>
          <w:ilvl w:val="0"/>
          <w:numId w:val="7"/>
        </w:numPr>
        <w:ind w:left="0" w:firstLine="709"/>
        <w:jc w:val="both"/>
        <w:spacing w:before="120"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Заявление о присоединении к Условиям </w:t>
      </w:r>
      <w:r>
        <w:rPr>
          <w:rFonts w:ascii="Times New Roman" w:hAnsi="Times New Roman" w:eastAsia="Times New Roman"/>
          <w:sz w:val="24"/>
          <w:szCs w:val="24"/>
          <w:lang w:eastAsia="ru-RU"/>
        </w:rPr>
        <w:t xml:space="preserve">дистанционного банковского обслуживания</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юридических лиц и индивидуальных предпринимателей </w:t>
      </w:r>
      <w:r>
        <w:rPr>
          <w:rFonts w:ascii="Times New Roman" w:hAnsi="Times New Roman" w:eastAsia="Times New Roman"/>
          <w:sz w:val="24"/>
          <w:szCs w:val="24"/>
          <w:lang w:eastAsia="ru-RU"/>
        </w:rPr>
        <w:br w:type="textWrapping" w:clear="all"/>
      </w:r>
      <w:r>
        <w:rPr>
          <w:rFonts w:ascii="Times New Roman" w:hAnsi="Times New Roman" w:eastAsia="Times New Roman"/>
          <w:sz w:val="24"/>
          <w:szCs w:val="24"/>
          <w:lang w:eastAsia="ru-RU"/>
        </w:rPr>
        <w:t xml:space="preserve">в АО</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«Россельхозбанк» с использованием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информационной системы «Цифровой канал обслуживания юридических лиц «</w:t>
      </w:r>
      <w:r>
        <w:rPr>
          <w:rFonts w:ascii="Times New Roman" w:hAnsi="Times New Roman" w:eastAsia="Times New Roman"/>
          <w:sz w:val="24"/>
          <w:szCs w:val="24"/>
          <w:lang w:eastAsia="ru-RU"/>
        </w:rPr>
        <w:t xml:space="preserve">Свой Бизнес</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в рамках Единого сервисного договора</w:t>
      </w:r>
      <w:r>
        <w:rPr>
          <w:sz w:val="20"/>
          <w:szCs w:val="20"/>
        </w:rPr>
        <w:t xml:space="preserve"> </w:t>
      </w:r>
      <w:r>
        <w:rPr>
          <w:rFonts w:ascii="Times New Roman" w:hAnsi="Times New Roman" w:eastAsia="Times New Roman"/>
          <w:sz w:val="24"/>
          <w:szCs w:val="24"/>
          <w:lang w:eastAsia="ru-RU"/>
        </w:rPr>
        <w:t xml:space="preserve">в 2-х экземплярах.</w:t>
      </w:r>
      <w:r>
        <w:rPr>
          <w:rFonts w:ascii="Times New Roman" w:hAnsi="Times New Roman" w:eastAsia="Times New Roman"/>
          <w:sz w:val="24"/>
          <w:szCs w:val="24"/>
          <w:lang w:eastAsia="ru-RU"/>
        </w:rPr>
      </w:r>
    </w:p>
    <w:p>
      <w:pPr>
        <w:pStyle w:val="694"/>
        <w:numPr>
          <w:ilvl w:val="0"/>
          <w:numId w:val="7"/>
        </w:numPr>
        <w:ind w:left="0" w:firstLine="709"/>
        <w:jc w:val="both"/>
        <w:spacing w:before="120"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Заявление на регистрацию </w:t>
      </w:r>
      <w:r>
        <w:rPr>
          <w:rFonts w:ascii="Times New Roman" w:hAnsi="Times New Roman" w:eastAsia="Times New Roman"/>
          <w:sz w:val="24"/>
          <w:szCs w:val="24"/>
          <w:lang w:eastAsia="ru-RU"/>
        </w:rPr>
        <w:t xml:space="preserve">Субъект</w:t>
      </w:r>
      <w:r>
        <w:rPr>
          <w:rFonts w:ascii="Times New Roman" w:hAnsi="Times New Roman" w:eastAsia="Times New Roman"/>
          <w:sz w:val="24"/>
          <w:szCs w:val="24"/>
          <w:lang w:eastAsia="ru-RU"/>
        </w:rPr>
        <w:t xml:space="preserve">а</w:t>
      </w:r>
      <w:r>
        <w:rPr>
          <w:rFonts w:ascii="Times New Roman" w:hAnsi="Times New Roman" w:eastAsia="Times New Roman"/>
          <w:sz w:val="24"/>
          <w:szCs w:val="24"/>
          <w:lang w:eastAsia="ru-RU"/>
        </w:rPr>
        <w:t xml:space="preserve"> информационного обмена</w:t>
      </w:r>
      <w:r>
        <w:rPr>
          <w:rFonts w:ascii="Times New Roman" w:hAnsi="Times New Roman" w:eastAsia="Times New Roman"/>
          <w:sz w:val="24"/>
          <w:szCs w:val="24"/>
          <w:lang w:eastAsia="ru-RU"/>
        </w:rPr>
        <w:t xml:space="preserve"> по каждому Субъекту информационного обмена в 2-х экземплярах.</w:t>
      </w:r>
      <w:r>
        <w:rPr>
          <w:rFonts w:ascii="Times New Roman" w:hAnsi="Times New Roman" w:eastAsia="Times New Roman"/>
          <w:sz w:val="24"/>
          <w:szCs w:val="24"/>
          <w:lang w:eastAsia="ru-RU"/>
        </w:rPr>
      </w:r>
    </w:p>
    <w:p>
      <w:pPr>
        <w:pStyle w:val="694"/>
        <w:numPr>
          <w:ilvl w:val="0"/>
          <w:numId w:val="7"/>
        </w:numPr>
        <w:ind w:left="0" w:firstLine="709"/>
        <w:jc w:val="both"/>
        <w:spacing w:before="120"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Запрос на выдачу СКП ЭП (при использовании УНЭП) в соответствии </w:t>
        <w:br w:type="textWrapping" w:clear="all"/>
        <w:t xml:space="preserve">с порядком, установленным Регламентом УЦ РСХБ в электронном виде и на бумажном носителе в двух экземплярах.</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694"/>
        <w:numPr>
          <w:ilvl w:val="0"/>
          <w:numId w:val="7"/>
        </w:numPr>
        <w:ind w:left="0" w:firstLine="709"/>
        <w:jc w:val="both"/>
        <w:spacing w:before="120"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Документы о сочетании подписей в</w:t>
      </w:r>
      <w:r>
        <w:rPr>
          <w:rFonts w:ascii="Times New Roman" w:hAnsi="Times New Roman" w:eastAsia="Times New Roman"/>
          <w:color w:val="000000"/>
          <w:sz w:val="24"/>
          <w:szCs w:val="24"/>
          <w:lang w:eastAsia="ru-RU"/>
        </w:rPr>
        <w:t xml:space="preserve"> АО «Россельхозбанк»</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694"/>
        <w:numPr>
          <w:ilvl w:val="1"/>
          <w:numId w:val="7"/>
        </w:numPr>
        <w:ind w:left="0" w:firstLine="709"/>
        <w:jc w:val="both"/>
        <w:spacing w:after="0" w:line="240" w:lineRule="auto"/>
        <w:shd w:val="clear" w:color="auto" w:fill="ffffff"/>
        <w:widowControl w:val="off"/>
        <w:tabs>
          <w:tab w:val="left" w:pos="1276"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t xml:space="preserve">с</w:t>
      </w:r>
      <w:r>
        <w:rPr>
          <w:rFonts w:ascii="Times New Roman" w:hAnsi="Times New Roman"/>
          <w:sz w:val="24"/>
          <w:szCs w:val="24"/>
        </w:rPr>
        <w:t xml:space="preserve">оставленный Клиентом по форме Банка</w:t>
      </w:r>
      <w:r>
        <w:rPr>
          <w:rStyle w:val="700"/>
        </w:rPr>
        <w:footnoteReference w:id="3"/>
      </w:r>
      <w:r>
        <w:rPr>
          <w:rFonts w:ascii="Times New Roman" w:hAnsi="Times New Roman"/>
          <w:sz w:val="24"/>
          <w:szCs w:val="24"/>
        </w:rPr>
        <w:t xml:space="preserve">, </w:t>
      </w:r>
      <w:r>
        <w:rPr>
          <w:rFonts w:ascii="Times New Roman" w:hAnsi="Times New Roman"/>
          <w:sz w:val="24"/>
          <w:szCs w:val="24"/>
        </w:rPr>
        <w:t xml:space="preserve">содержащ</w:t>
      </w:r>
      <w:r>
        <w:rPr>
          <w:rFonts w:ascii="Times New Roman" w:hAnsi="Times New Roman"/>
          <w:sz w:val="24"/>
          <w:szCs w:val="24"/>
        </w:rPr>
        <w:t xml:space="preserve">ий</w:t>
      </w:r>
      <w:r>
        <w:rPr>
          <w:rFonts w:ascii="Times New Roman" w:hAnsi="Times New Roman"/>
          <w:sz w:val="24"/>
          <w:szCs w:val="24"/>
        </w:rPr>
        <w:t xml:space="preserve"> информацию о количестве собственноручных подписей</w:t>
      </w:r>
      <w:r>
        <w:rPr>
          <w:rFonts w:ascii="Times New Roman" w:hAnsi="Times New Roman"/>
          <w:sz w:val="24"/>
          <w:szCs w:val="24"/>
        </w:rPr>
        <w:t xml:space="preserve">, необходимых для подписания </w:t>
      </w:r>
      <w:r>
        <w:rPr>
          <w:rFonts w:ascii="Times New Roman" w:hAnsi="Times New Roman"/>
          <w:sz w:val="24"/>
          <w:szCs w:val="24"/>
        </w:rPr>
        <w:t xml:space="preserve">электронных документов,</w:t>
      </w:r>
      <w:r>
        <w:rPr>
          <w:rFonts w:ascii="Times New Roman" w:hAnsi="Times New Roman"/>
          <w:sz w:val="24"/>
          <w:szCs w:val="24"/>
        </w:rPr>
        <w:t xml:space="preserve"> и возможном сочетании указанных </w:t>
      </w:r>
      <w:r>
        <w:rPr>
          <w:rFonts w:ascii="Times New Roman" w:hAnsi="Times New Roman"/>
          <w:sz w:val="24"/>
          <w:szCs w:val="24"/>
        </w:rPr>
        <w:t xml:space="preserve">аналогов </w:t>
      </w:r>
      <w:r>
        <w:rPr>
          <w:rFonts w:ascii="Times New Roman" w:hAnsi="Times New Roman"/>
          <w:sz w:val="24"/>
          <w:szCs w:val="24"/>
        </w:rPr>
        <w:t xml:space="preserve">собственноручных подписей лиц, наделенных правом подписи</w:t>
      </w:r>
      <w:r>
        <w:rPr>
          <w:rFonts w:ascii="Times New Roman" w:hAnsi="Times New Roman"/>
          <w:sz w:val="24"/>
          <w:szCs w:val="24"/>
        </w:rPr>
        <w:t xml:space="preserve">.</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r>
    </w:p>
    <w:p>
      <w:pPr>
        <w:pStyle w:val="694"/>
        <w:numPr>
          <w:ilvl w:val="1"/>
          <w:numId w:val="7"/>
        </w:numPr>
        <w:ind w:left="0" w:firstLine="709"/>
        <w:jc w:val="both"/>
        <w:spacing w:after="0" w:line="240" w:lineRule="auto"/>
        <w:shd w:val="clear" w:color="auto" w:fill="ffffff"/>
        <w:widowControl w:val="off"/>
        <w:tabs>
          <w:tab w:val="left" w:pos="709" w:leader="none"/>
          <w:tab w:val="left" w:pos="1276"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Документы, подтвержда</w:t>
      </w:r>
      <w:r>
        <w:rPr>
          <w:rFonts w:ascii="Times New Roman" w:hAnsi="Times New Roman" w:eastAsia="Times New Roman"/>
          <w:sz w:val="24"/>
          <w:szCs w:val="24"/>
          <w:lang w:eastAsia="ru-RU"/>
        </w:rPr>
        <w:t xml:space="preserve">ющие полномочия лиц, наделенных правом подписи электронных документов</w:t>
      </w:r>
      <w:r>
        <w:rPr>
          <w:rFonts w:ascii="Times New Roman" w:hAnsi="Times New Roman" w:eastAsia="Times New Roman"/>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694"/>
        <w:numPr>
          <w:ilvl w:val="1"/>
          <w:numId w:val="7"/>
        </w:numPr>
        <w:ind w:left="0" w:firstLine="709"/>
        <w:jc w:val="both"/>
        <w:spacing w:after="0" w:line="240" w:lineRule="auto"/>
        <w:shd w:val="clear" w:color="auto" w:fill="ffffff"/>
        <w:widowControl w:val="off"/>
        <w:tabs>
          <w:tab w:val="left" w:pos="1276" w:leader="none"/>
        </w:tabs>
        <w:rPr>
          <w:rFonts w:ascii="Times New Roman" w:hAnsi="Times New Roman" w:eastAsia="Times New Roman"/>
          <w:sz w:val="24"/>
          <w:szCs w:val="24"/>
          <w:lang w:eastAsia="ru-RU"/>
        </w:rPr>
      </w:pPr>
      <w:r>
        <w:rPr>
          <w:rFonts w:ascii="Times New Roman" w:hAnsi="Times New Roman" w:eastAsia="Times New Roman"/>
          <w:color w:val="000000"/>
          <w:sz w:val="24"/>
          <w:szCs w:val="24"/>
          <w:lang w:eastAsia="ru-RU"/>
        </w:rPr>
        <w:t xml:space="preserve">Документы, удостоверяющие личность лиц,</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t xml:space="preserve">наделенных правом подписи</w:t>
      </w:r>
      <w:r>
        <w:rPr>
          <w:rFonts w:ascii="Times New Roman" w:hAnsi="Times New Roman" w:eastAsia="Times New Roman"/>
          <w:color w:val="000000"/>
          <w:sz w:val="24"/>
          <w:szCs w:val="24"/>
          <w:lang w:eastAsia="ru-RU"/>
        </w:rPr>
        <w:t xml:space="preserve"> электронных документов. Если лицо, </w:t>
      </w:r>
      <w:r>
        <w:rPr>
          <w:rFonts w:ascii="Times New Roman" w:hAnsi="Times New Roman" w:eastAsia="Times New Roman"/>
          <w:color w:val="000000"/>
          <w:sz w:val="24"/>
          <w:szCs w:val="24"/>
          <w:lang w:eastAsia="ru-RU"/>
        </w:rPr>
        <w:t xml:space="preserve">наделенн</w:t>
      </w:r>
      <w:r>
        <w:rPr>
          <w:rFonts w:ascii="Times New Roman" w:hAnsi="Times New Roman" w:eastAsia="Times New Roman"/>
          <w:color w:val="000000"/>
          <w:sz w:val="24"/>
          <w:szCs w:val="24"/>
          <w:lang w:eastAsia="ru-RU"/>
        </w:rPr>
        <w:t xml:space="preserve">ое</w:t>
      </w:r>
      <w:r>
        <w:rPr>
          <w:rFonts w:ascii="Times New Roman" w:hAnsi="Times New Roman" w:eastAsia="Times New Roman"/>
          <w:color w:val="000000"/>
          <w:sz w:val="24"/>
          <w:szCs w:val="24"/>
          <w:lang w:eastAsia="ru-RU"/>
        </w:rPr>
        <w:t xml:space="preserve"> правом подписи</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 xml:space="preserve"> </w:t>
      </w:r>
      <w:r>
        <w:rPr>
          <w:rFonts w:ascii="Times New Roman" w:hAnsi="Times New Roman" w:eastAsia="Times New Roman"/>
          <w:sz w:val="24"/>
          <w:szCs w:val="24"/>
          <w:lang w:eastAsia="ru-RU"/>
        </w:rPr>
        <w:t xml:space="preserve">является иностранным гражданином или лицом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без гражданства </w:t>
      </w:r>
      <w:r>
        <w:rPr>
          <w:rFonts w:ascii="Times New Roman" w:hAnsi="Times New Roman" w:eastAsia="Times New Roman"/>
          <w:sz w:val="24"/>
          <w:szCs w:val="24"/>
          <w:lang w:eastAsia="ru-RU"/>
        </w:rPr>
        <w:t xml:space="preserve">дополнительно представляется </w:t>
      </w:r>
      <w:r>
        <w:rPr>
          <w:rFonts w:ascii="Times New Roman" w:hAnsi="Times New Roman" w:eastAsia="Times New Roman"/>
          <w:sz w:val="24"/>
          <w:szCs w:val="24"/>
          <w:lang w:eastAsia="ru-RU"/>
        </w:rPr>
        <w:t xml:space="preserve">документ, подтверждающ</w:t>
      </w:r>
      <w:r>
        <w:rPr>
          <w:rFonts w:ascii="Times New Roman" w:hAnsi="Times New Roman" w:eastAsia="Times New Roman"/>
          <w:sz w:val="24"/>
          <w:szCs w:val="24"/>
          <w:lang w:eastAsia="ru-RU"/>
        </w:rPr>
        <w:t xml:space="preserve">ий</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его </w:t>
      </w:r>
      <w:r>
        <w:rPr>
          <w:rFonts w:ascii="Times New Roman" w:hAnsi="Times New Roman" w:eastAsia="Times New Roman"/>
          <w:sz w:val="24"/>
          <w:szCs w:val="24"/>
          <w:lang w:eastAsia="ru-RU"/>
        </w:rPr>
        <w:t xml:space="preserve">право </w:t>
      </w:r>
      <w:r>
        <w:rPr>
          <w:rFonts w:ascii="Times New Roman" w:hAnsi="Times New Roman" w:eastAsia="Times New Roman"/>
          <w:sz w:val="24"/>
          <w:szCs w:val="24"/>
          <w:lang w:eastAsia="ru-RU"/>
        </w:rPr>
        <w:t xml:space="preserve">н</w:t>
      </w:r>
      <w:r>
        <w:rPr>
          <w:rFonts w:ascii="Times New Roman" w:hAnsi="Times New Roman" w:eastAsia="Times New Roman"/>
          <w:sz w:val="24"/>
          <w:szCs w:val="24"/>
          <w:lang w:eastAsia="ru-RU"/>
        </w:rPr>
        <w:t xml:space="preserve">а пребывание (проживание) </w:t>
      </w:r>
      <w:r>
        <w:rPr>
          <w:rFonts w:ascii="Times New Roman" w:hAnsi="Times New Roman" w:eastAsia="Times New Roman"/>
          <w:sz w:val="24"/>
          <w:szCs w:val="24"/>
          <w:lang w:eastAsia="ru-RU"/>
        </w:rPr>
        <w:t xml:space="preserve">в Российской Федерации или </w:t>
      </w:r>
      <w:r>
        <w:rPr>
          <w:rFonts w:ascii="Times New Roman" w:hAnsi="Times New Roman" w:eastAsia="Times New Roman"/>
          <w:sz w:val="24"/>
          <w:szCs w:val="24"/>
          <w:lang w:eastAsia="ru-RU"/>
        </w:rPr>
        <w:t xml:space="preserve">миграционн</w:t>
      </w:r>
      <w:r>
        <w:rPr>
          <w:rFonts w:ascii="Times New Roman" w:hAnsi="Times New Roman" w:eastAsia="Times New Roman"/>
          <w:sz w:val="24"/>
          <w:szCs w:val="24"/>
          <w:lang w:eastAsia="ru-RU"/>
        </w:rPr>
        <w:t xml:space="preserve">ая </w:t>
      </w:r>
      <w:r>
        <w:rPr>
          <w:rFonts w:ascii="Times New Roman" w:hAnsi="Times New Roman" w:eastAsia="Times New Roman"/>
          <w:sz w:val="24"/>
          <w:szCs w:val="24"/>
          <w:lang w:eastAsia="ru-RU"/>
        </w:rPr>
        <w:t xml:space="preserve">карт</w:t>
      </w:r>
      <w:r>
        <w:rPr>
          <w:rFonts w:ascii="Times New Roman" w:hAnsi="Times New Roman" w:eastAsia="Times New Roman"/>
          <w:sz w:val="24"/>
          <w:szCs w:val="24"/>
          <w:lang w:eastAsia="ru-RU"/>
        </w:rPr>
        <w:t xml:space="preserve">а в случае отсутствия такого документа</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694"/>
        <w:numPr>
          <w:ilvl w:val="0"/>
          <w:numId w:val="7"/>
        </w:numPr>
        <w:ind w:left="0" w:firstLine="709"/>
        <w:jc w:val="both"/>
        <w:spacing w:before="120"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 подтверждающий полномочия лица на заключение Договора </w:t>
      </w:r>
      <w:r>
        <w:rPr>
          <w:rFonts w:ascii="Times New Roman" w:hAnsi="Times New Roman" w:eastAsia="Times New Roman"/>
          <w:color w:val="000000"/>
          <w:sz w:val="24"/>
          <w:szCs w:val="24"/>
          <w:lang w:eastAsia="ru-RU"/>
        </w:rPr>
        <w:t xml:space="preserve">о ДБО </w:t>
      </w:r>
      <w:r>
        <w:rPr>
          <w:rFonts w:ascii="Times New Roman" w:hAnsi="Times New Roman" w:eastAsia="Times New Roman"/>
          <w:color w:val="000000"/>
          <w:sz w:val="24"/>
          <w:szCs w:val="24"/>
          <w:lang w:eastAsia="ru-RU"/>
        </w:rPr>
        <w:t xml:space="preserve">(если Договор подписывается лицом, являющимся представителем Клиента, отличным </w:t>
      </w:r>
      <w:r>
        <w:rPr>
          <w:rFonts w:ascii="Times New Roman" w:hAnsi="Times New Roman" w:eastAsia="Times New Roman"/>
          <w:color w:val="000000"/>
          <w:sz w:val="24"/>
          <w:szCs w:val="24"/>
          <w:lang w:eastAsia="ru-RU"/>
        </w:rPr>
        <w:br w:type="textWrapping" w:clear="all"/>
      </w:r>
      <w:r>
        <w:rPr>
          <w:rFonts w:ascii="Times New Roman" w:hAnsi="Times New Roman" w:eastAsia="Times New Roman"/>
          <w:color w:val="000000"/>
          <w:sz w:val="24"/>
          <w:szCs w:val="24"/>
          <w:lang w:eastAsia="ru-RU"/>
        </w:rPr>
        <w:t xml:space="preserve">от представителя, уполномоченного на заключение Единого сервисного договора).</w:t>
      </w:r>
      <w:r>
        <w:rPr>
          <w:rFonts w:ascii="Times New Roman" w:hAnsi="Times New Roman" w:eastAsia="Times New Roman"/>
          <w:color w:val="000000"/>
          <w:sz w:val="24"/>
          <w:szCs w:val="24"/>
          <w:lang w:eastAsia="ru-RU"/>
        </w:rPr>
      </w:r>
    </w:p>
    <w:p>
      <w:pPr>
        <w:pStyle w:val="694"/>
        <w:numPr>
          <w:ilvl w:val="0"/>
          <w:numId w:val="7"/>
        </w:numPr>
        <w:ind w:left="0" w:firstLine="709"/>
        <w:jc w:val="both"/>
        <w:spacing w:before="120" w:after="0" w:line="240" w:lineRule="auto"/>
        <w:shd w:val="clear" w:color="auto" w:fill="ffffff"/>
        <w:widowControl w:val="off"/>
        <w:tabs>
          <w:tab w:val="left" w:pos="284" w:leader="none"/>
          <w:tab w:val="left" w:pos="1134"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Документ, удостоверяющий личность лица, уполномоченного на заключение </w:t>
      </w:r>
      <w:r>
        <w:rPr>
          <w:rFonts w:ascii="Times New Roman" w:hAnsi="Times New Roman" w:eastAsia="Times New Roman"/>
          <w:color w:val="000000"/>
          <w:sz w:val="24"/>
          <w:szCs w:val="24"/>
          <w:lang w:eastAsia="ru-RU"/>
        </w:rPr>
        <w:t xml:space="preserve">Д</w:t>
      </w:r>
      <w:r>
        <w:rPr>
          <w:rFonts w:ascii="Times New Roman" w:hAnsi="Times New Roman" w:eastAsia="Times New Roman"/>
          <w:color w:val="000000"/>
          <w:sz w:val="24"/>
          <w:szCs w:val="24"/>
          <w:lang w:eastAsia="ru-RU"/>
        </w:rPr>
        <w:t xml:space="preserve">оговора </w:t>
      </w:r>
      <w:r>
        <w:rPr>
          <w:rFonts w:ascii="Times New Roman" w:hAnsi="Times New Roman" w:eastAsia="Times New Roman"/>
          <w:color w:val="000000"/>
          <w:sz w:val="24"/>
          <w:szCs w:val="24"/>
          <w:lang w:eastAsia="ru-RU"/>
        </w:rPr>
        <w:t xml:space="preserve">о ДБО</w:t>
      </w:r>
      <w:r>
        <w:rPr>
          <w:rFonts w:ascii="Times New Roman" w:hAnsi="Times New Roman" w:eastAsia="Times New Roman"/>
          <w:color w:val="000000"/>
          <w:sz w:val="24"/>
          <w:szCs w:val="24"/>
          <w:lang w:eastAsia="ru-RU"/>
        </w:rPr>
        <w:t xml:space="preserve">. В случае если указанное лицо является иностранным гражданином или лицом без гражданства дополнительно представляется документ, подтверждающий его право на пребывание (проживание) в Российской Федерации </w:t>
      </w:r>
      <w:r>
        <w:rPr>
          <w:rFonts w:ascii="Times New Roman" w:hAnsi="Times New Roman" w:eastAsia="Times New Roman"/>
          <w:color w:val="000000"/>
          <w:sz w:val="24"/>
          <w:szCs w:val="24"/>
          <w:lang w:eastAsia="ru-RU"/>
        </w:rPr>
        <w:t xml:space="preserve">или </w:t>
      </w:r>
      <w:r>
        <w:rPr>
          <w:rFonts w:ascii="Times New Roman" w:hAnsi="Times New Roman" w:eastAsia="Times New Roman"/>
          <w:color w:val="000000"/>
          <w:sz w:val="24"/>
          <w:szCs w:val="24"/>
          <w:lang w:eastAsia="ru-RU"/>
        </w:rPr>
        <w:t xml:space="preserve">миграционная карта</w:t>
      </w:r>
      <w:r>
        <w:rPr>
          <w:rFonts w:ascii="Times New Roman" w:hAnsi="Times New Roman" w:eastAsia="Times New Roman"/>
          <w:color w:val="000000"/>
          <w:sz w:val="24"/>
          <w:szCs w:val="24"/>
          <w:lang w:eastAsia="ru-RU"/>
        </w:rPr>
        <w:t xml:space="preserve"> в случае отсутствия такого документа</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r>
    </w:p>
    <w:sectPr>
      <w:headerReference w:type="default" r:id="rId9"/>
      <w:headerReference w:type="first" r:id="rId10"/>
      <w:footerReference w:type="default" r:id="rId11"/>
      <w:footnotePr/>
      <w:endnotePr>
        <w:numFmt w:val="decimal"/>
      </w:endnotePr>
      <w:type w:val="nextPage"/>
      <w:pgSz w:w="11906" w:h="16838" w:orient="portrait"/>
      <w:pgMar w:top="1134" w:right="567"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03"/>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698"/>
        <w:jc w:val="both"/>
      </w:pPr>
      <w:r>
        <w:rPr>
          <w:rStyle w:val="700"/>
        </w:rPr>
        <w:footnoteRef/>
      </w:r>
      <w:r>
        <w:t xml:space="preserve"> Заявления, указанные в пункте 2 и 3 настоящего перечня, представляются клиентов только в случае </w:t>
      </w:r>
      <w:r>
        <w:br w:type="textWrapping" w:clear="all"/>
      </w:r>
      <w:r>
        <w:t xml:space="preserve">если клиент в ИС Свой Бизнес будет использовать усиленную неквалифицированную подпись.</w:t>
      </w:r>
      <w:r/>
    </w:p>
  </w:footnote>
  <w:footnote w:id="3">
    <w:p>
      <w:pPr>
        <w:pStyle w:val="698"/>
      </w:pPr>
      <w:r>
        <w:rPr>
          <w:rStyle w:val="700"/>
        </w:rPr>
        <w:footnoteRef/>
      </w:r>
      <w:r>
        <w:t xml:space="preserve"> Форма документа </w:t>
      </w:r>
      <w:r>
        <w:t xml:space="preserve">размещена на официальном сайте Банка в сети интернет по адресу: </w:t>
      </w:r>
      <w:r>
        <w:fldChar w:fldCharType="begin"/>
      </w:r>
      <w:r>
        <w:instrText xml:space="preserve"> HYPERLINK "http://www.rshb.ru" </w:instrText>
      </w:r>
      <w:r>
        <w:fldChar w:fldCharType="separate"/>
      </w:r>
      <w:r>
        <w:t xml:space="preserve">https://www.rshb.ru</w:t>
      </w:r>
      <w:r>
        <w:fldChar w:fldCharType="end"/>
      </w:r>
      <w:r>
        <w:rPr>
          <w:sz w:val="24"/>
          <w:szCs w:val="24"/>
        </w:rPr>
        <w:t xml:space="preserve">.</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94"/>
      <w:ind w:left="5103"/>
      <w:spacing w:after="120" w:line="240" w:lineRule="auto"/>
      <w:tabs>
        <w:tab w:val="center" w:pos="4677" w:leader="none"/>
        <w:tab w:val="right" w:pos="9355" w:leader="none"/>
      </w:tabs>
      <w:rPr>
        <w:rFonts w:ascii="Times New Roman" w:hAnsi="Times New Roman" w:eastAsia="Times New Roman"/>
        <w:sz w:val="20"/>
        <w:szCs w:val="20"/>
        <w:lang w:val="en-US" w:eastAsia="ru-RU"/>
      </w:rPr>
    </w:pPr>
    <w:r>
      <w:rPr>
        <w:rFonts w:ascii="Times New Roman" w:hAnsi="Times New Roman" w:eastAsia="Times New Roman"/>
        <w:sz w:val="20"/>
        <w:szCs w:val="20"/>
        <w:lang w:val="en-US" w:eastAsia="ru-RU"/>
      </w:rPr>
      <w:t xml:space="preserve">2</w:t>
    </w:r>
    <w:r>
      <w:rPr>
        <w:rFonts w:ascii="Times New Roman" w:hAnsi="Times New Roman" w:eastAsia="Times New Roman"/>
        <w:sz w:val="20"/>
        <w:szCs w:val="20"/>
        <w:lang w:val="en-US" w:eastAsia="ru-RU"/>
      </w:rPr>
    </w:r>
    <w:r>
      <w:rPr>
        <w:rFonts w:ascii="Times New Roman" w:hAnsi="Times New Roman" w:eastAsia="Times New Roman"/>
        <w:sz w:val="20"/>
        <w:szCs w:val="20"/>
        <w:lang w:val="en-US" w:eastAsia="ru-RU"/>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94"/>
      <w:ind w:left="5103"/>
      <w:spacing w:after="240" w:line="240" w:lineRule="auto"/>
      <w:tabs>
        <w:tab w:val="center" w:pos="4677" w:leader="none"/>
        <w:tab w:val="right" w:pos="9355" w:leader="none"/>
      </w:tabs>
      <w:rPr>
        <w:rFonts w:ascii="Times New Roman" w:hAnsi="Times New Roman" w:eastAsia="Times New Roman"/>
        <w:sz w:val="20"/>
        <w:szCs w:val="20"/>
        <w:lang w:eastAsia="ru-RU"/>
      </w:rPr>
    </w:pP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decimal"/>
      <w:isLgl w:val="false"/>
      <w:suff w:val="tab"/>
      <w:lvlText w:val="%1."/>
      <w:lvlJc w:val="left"/>
      <w:pPr>
        <w:ind w:left="540" w:hanging="540"/>
        <w:tabs>
          <w:tab w:val="num" w:pos="540" w:leader="none"/>
        </w:tabs>
      </w:pPr>
    </w:lvl>
    <w:lvl w:ilvl="1">
      <w:start w:val="2"/>
      <w:numFmt w:val="decimal"/>
      <w:isLgl w:val="false"/>
      <w:suff w:val="tab"/>
      <w:lvlText w:val="%1.%2."/>
      <w:lvlJc w:val="left"/>
      <w:pPr>
        <w:ind w:left="990" w:hanging="540"/>
        <w:tabs>
          <w:tab w:val="num" w:pos="990"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2070" w:hanging="720"/>
        <w:tabs>
          <w:tab w:val="num" w:pos="2070" w:leader="none"/>
        </w:tabs>
      </w:pPr>
      <w:rPr>
        <w:i w:val="0"/>
      </w:r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abstractNum w:abstractNumId="1">
    <w:multiLevelType w:val="hybridMultilevel"/>
    <w:lvl w:ilvl="0">
      <w:start w:val="1"/>
      <w:numFmt w:val="decimal"/>
      <w:isLgl w:val="false"/>
      <w:suff w:val="tab"/>
      <w:lvlText w:val="%1."/>
      <w:lvlJc w:val="left"/>
      <w:pPr>
        <w:ind w:left="1144" w:hanging="435"/>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
    <w:multiLevelType w:val="hybridMultilevel"/>
    <w:lvl w:ilvl="0">
      <w:start w:val="5"/>
      <w:numFmt w:val="decimal"/>
      <w:isLgl w:val="false"/>
      <w:suff w:val="tab"/>
      <w:lvlText w:val="%1."/>
      <w:lvlJc w:val="left"/>
      <w:pPr>
        <w:ind w:left="540" w:hanging="540"/>
        <w:tabs>
          <w:tab w:val="num" w:pos="540" w:leader="none"/>
        </w:tabs>
      </w:pPr>
    </w:lvl>
    <w:lvl w:ilvl="1">
      <w:start w:val="1"/>
      <w:numFmt w:val="decimal"/>
      <w:isLgl w:val="false"/>
      <w:suff w:val="tab"/>
      <w:lvlText w:val="%1.%2."/>
      <w:lvlJc w:val="left"/>
      <w:pPr>
        <w:ind w:left="990" w:hanging="540"/>
        <w:tabs>
          <w:tab w:val="num" w:pos="990" w:leader="none"/>
        </w:tabs>
      </w:pPr>
      <w:rPr>
        <w:b/>
        <w:lang w:val="en-US"/>
      </w:rPr>
    </w:lvl>
    <w:lvl w:ilvl="2">
      <w:start w:val="1"/>
      <w:numFmt w:val="decimal"/>
      <w:isLgl w:val="false"/>
      <w:suff w:val="tab"/>
      <w:lvlText w:val="%1.%2.%3."/>
      <w:lvlJc w:val="left"/>
      <w:pPr>
        <w:ind w:left="1620" w:hanging="720"/>
        <w:tabs>
          <w:tab w:val="num" w:pos="1620" w:leader="none"/>
        </w:tabs>
      </w:pPr>
    </w:lvl>
    <w:lvl w:ilvl="3">
      <w:start w:val="4"/>
      <w:numFmt w:val="decimal"/>
      <w:isLgl w:val="false"/>
      <w:suff w:val="tab"/>
      <w:lvlText w:val="%1.%2.%3.%4."/>
      <w:lvlJc w:val="left"/>
      <w:pPr>
        <w:ind w:left="2070" w:hanging="720"/>
        <w:tabs>
          <w:tab w:val="num" w:pos="2070" w:leader="none"/>
        </w:tabs>
      </w:p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abstractNum w:abstractNumId="3">
    <w:multiLevelType w:val="hybridMultilevel"/>
    <w:lvl w:ilvl="0">
      <w:start w:val="1"/>
      <w:numFmt w:val="decimal"/>
      <w:isLgl w:val="false"/>
      <w:suff w:val="tab"/>
      <w:lvlText w:val="%1."/>
      <w:lvlJc w:val="left"/>
      <w:pPr>
        <w:ind w:left="1350" w:hanging="360"/>
      </w:pPr>
      <w:rPr>
        <w:sz w:val="24"/>
        <w:szCs w:val="24"/>
      </w:rPr>
    </w:lvl>
    <w:lvl w:ilvl="1">
      <w:start w:val="1"/>
      <w:numFmt w:val="decimal"/>
      <w:isLgl w:val="false"/>
      <w:suff w:val="tab"/>
      <w:lvlText w:val="%1.%2."/>
      <w:lvlJc w:val="left"/>
      <w:pPr>
        <w:ind w:left="1350" w:hanging="360"/>
      </w:pPr>
    </w:lvl>
    <w:lvl w:ilvl="2">
      <w:start w:val="1"/>
      <w:numFmt w:val="decimal"/>
      <w:isLgl w:val="false"/>
      <w:suff w:val="tab"/>
      <w:lvlText w:val="%1.%2.%3."/>
      <w:lvlJc w:val="left"/>
      <w:pPr>
        <w:ind w:left="1710" w:hanging="720"/>
      </w:pPr>
    </w:lvl>
    <w:lvl w:ilvl="3">
      <w:start w:val="1"/>
      <w:numFmt w:val="decimal"/>
      <w:isLgl w:val="false"/>
      <w:suff w:val="tab"/>
      <w:lvlText w:val="%1.%2.%3.%4."/>
      <w:lvlJc w:val="left"/>
      <w:pPr>
        <w:ind w:left="1710" w:hanging="720"/>
      </w:pPr>
    </w:lvl>
    <w:lvl w:ilvl="4">
      <w:start w:val="1"/>
      <w:numFmt w:val="decimal"/>
      <w:isLgl w:val="false"/>
      <w:suff w:val="tab"/>
      <w:lvlText w:val="%1.%2.%3.%4.%5."/>
      <w:lvlJc w:val="left"/>
      <w:pPr>
        <w:ind w:left="2070" w:hanging="1080"/>
      </w:pPr>
    </w:lvl>
    <w:lvl w:ilvl="5">
      <w:start w:val="1"/>
      <w:numFmt w:val="decimal"/>
      <w:isLgl w:val="false"/>
      <w:suff w:val="tab"/>
      <w:lvlText w:val="%1.%2.%3.%4.%5.%6."/>
      <w:lvlJc w:val="left"/>
      <w:pPr>
        <w:ind w:left="2070" w:hanging="1080"/>
      </w:pPr>
    </w:lvl>
    <w:lvl w:ilvl="6">
      <w:start w:val="1"/>
      <w:numFmt w:val="decimal"/>
      <w:isLgl w:val="false"/>
      <w:suff w:val="tab"/>
      <w:lvlText w:val="%1.%2.%3.%4.%5.%6.%7."/>
      <w:lvlJc w:val="left"/>
      <w:pPr>
        <w:ind w:left="2430" w:hanging="1440"/>
      </w:pPr>
    </w:lvl>
    <w:lvl w:ilvl="7">
      <w:start w:val="1"/>
      <w:numFmt w:val="decimal"/>
      <w:isLgl w:val="false"/>
      <w:suff w:val="tab"/>
      <w:lvlText w:val="%1.%2.%3.%4.%5.%6.%7.%8."/>
      <w:lvlJc w:val="left"/>
      <w:pPr>
        <w:ind w:left="2430" w:hanging="1440"/>
      </w:pPr>
    </w:lvl>
    <w:lvl w:ilvl="8">
      <w:start w:val="1"/>
      <w:numFmt w:val="decimal"/>
      <w:isLgl w:val="false"/>
      <w:suff w:val="tab"/>
      <w:lvlText w:val="%1.%2.%3.%4.%5.%6.%7.%8.%9."/>
      <w:lvlJc w:val="left"/>
      <w:pPr>
        <w:ind w:left="2790" w:hanging="1800"/>
      </w:pPr>
    </w:lvl>
  </w:abstractNum>
  <w:abstractNum w:abstractNumId="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
    <w:multiLevelType w:val="hybridMultilevel"/>
    <w:lvl w:ilvl="0">
      <w:start w:val="5"/>
      <w:numFmt w:val="decimal"/>
      <w:isLgl w:val="false"/>
      <w:suff w:val="tab"/>
      <w:lvlText w:val="%1."/>
      <w:lvlJc w:val="left"/>
      <w:pPr>
        <w:ind w:left="540" w:hanging="540"/>
        <w:tabs>
          <w:tab w:val="num" w:pos="540" w:leader="none"/>
        </w:tabs>
      </w:pPr>
    </w:lvl>
    <w:lvl w:ilvl="1">
      <w:start w:val="1"/>
      <w:numFmt w:val="decimal"/>
      <w:isLgl w:val="false"/>
      <w:suff w:val="tab"/>
      <w:lvlText w:val="%1.%2."/>
      <w:lvlJc w:val="left"/>
      <w:pPr>
        <w:ind w:left="990" w:hanging="540"/>
        <w:tabs>
          <w:tab w:val="num" w:pos="990" w:leader="none"/>
        </w:tabs>
      </w:pPr>
    </w:lvl>
    <w:lvl w:ilvl="2">
      <w:start w:val="3"/>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2070" w:hanging="720"/>
        <w:tabs>
          <w:tab w:val="num" w:pos="2070" w:leader="none"/>
        </w:tabs>
      </w:p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abstractNum w:abstractNumId="6">
    <w:multiLevelType w:val="hybridMultilevel"/>
    <w:lvl w:ilvl="0">
      <w:start w:val="1"/>
      <w:numFmt w:val="decimal"/>
      <w:isLgl w:val="false"/>
      <w:suff w:val="tab"/>
      <w:lvlText w:val="%1."/>
      <w:lvlJc w:val="left"/>
      <w:pPr>
        <w:ind w:left="1429" w:hanging="360"/>
      </w:pPr>
    </w:lvl>
    <w:lvl w:ilvl="1">
      <w:start w:val="1"/>
      <w:numFmt w:val="decimal"/>
      <w:isLgl w:val="false"/>
      <w:suff w:val="tab"/>
      <w:lvlText w:val="%1.%2."/>
      <w:lvlJc w:val="left"/>
      <w:pPr>
        <w:ind w:left="1639" w:hanging="570"/>
      </w:pPr>
    </w:lvl>
    <w:lvl w:ilvl="2">
      <w:start w:val="1"/>
      <w:numFmt w:val="decimal"/>
      <w:isLgl w:val="false"/>
      <w:suff w:val="tab"/>
      <w:lvlText w:val="%1.%2.%3."/>
      <w:lvlJc w:val="left"/>
      <w:pPr>
        <w:ind w:left="1789" w:hanging="720"/>
      </w:pPr>
    </w:lvl>
    <w:lvl w:ilvl="3">
      <w:start w:val="1"/>
      <w:numFmt w:val="decimal"/>
      <w:isLgl w:val="false"/>
      <w:suff w:val="tab"/>
      <w:lvlText w:val="%1.%2.%3.%4."/>
      <w:lvlJc w:val="left"/>
      <w:pPr>
        <w:ind w:left="1789" w:hanging="720"/>
      </w:pPr>
    </w:lvl>
    <w:lvl w:ilvl="4">
      <w:start w:val="1"/>
      <w:numFmt w:val="decimal"/>
      <w:isLgl w:val="false"/>
      <w:suff w:val="tab"/>
      <w:lvlText w:val="%1.%2.%3.%4.%5."/>
      <w:lvlJc w:val="left"/>
      <w:pPr>
        <w:ind w:left="2149" w:hanging="1080"/>
      </w:pPr>
    </w:lvl>
    <w:lvl w:ilvl="5">
      <w:start w:val="1"/>
      <w:numFmt w:val="decimal"/>
      <w:isLgl w:val="false"/>
      <w:suff w:val="tab"/>
      <w:lvlText w:val="%1.%2.%3.%4.%5.%6."/>
      <w:lvlJc w:val="left"/>
      <w:pPr>
        <w:ind w:left="2149" w:hanging="1080"/>
      </w:pPr>
    </w:lvl>
    <w:lvl w:ilvl="6">
      <w:start w:val="1"/>
      <w:numFmt w:val="decimal"/>
      <w:isLgl w:val="false"/>
      <w:suff w:val="tab"/>
      <w:lvlText w:val="%1.%2.%3.%4.%5.%6.%7."/>
      <w:lvlJc w:val="left"/>
      <w:pPr>
        <w:ind w:left="2509" w:hanging="1440"/>
      </w:pPr>
    </w:lvl>
    <w:lvl w:ilvl="7">
      <w:start w:val="1"/>
      <w:numFmt w:val="decimal"/>
      <w:isLgl w:val="false"/>
      <w:suff w:val="tab"/>
      <w:lvlText w:val="%1.%2.%3.%4.%5.%6.%7.%8."/>
      <w:lvlJc w:val="left"/>
      <w:pPr>
        <w:ind w:left="2509" w:hanging="1440"/>
      </w:pPr>
    </w:lvl>
    <w:lvl w:ilvl="8">
      <w:start w:val="1"/>
      <w:numFmt w:val="decimal"/>
      <w:isLgl w:val="false"/>
      <w:suff w:val="tab"/>
      <w:lvlText w:val="%1.%2.%3.%4.%5.%6.%7.%8.%9."/>
      <w:lvlJc w:val="left"/>
      <w:pPr>
        <w:ind w:left="2869" w:hanging="1800"/>
      </w:pPr>
    </w:lvl>
  </w:abstractNum>
  <w:abstractNum w:abstractNumId="7">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8">
    <w:multiLevelType w:val="hybridMultilevel"/>
    <w:lvl w:ilvl="0">
      <w:start w:val="5"/>
      <w:numFmt w:val="decimal"/>
      <w:isLgl w:val="false"/>
      <w:suff w:val="tab"/>
      <w:lvlText w:val="%1."/>
      <w:lvlJc w:val="left"/>
      <w:pPr>
        <w:ind w:left="540" w:hanging="540"/>
        <w:tabs>
          <w:tab w:val="num" w:pos="540" w:leader="none"/>
        </w:tabs>
      </w:pPr>
    </w:lvl>
    <w:lvl w:ilvl="1">
      <w:start w:val="1"/>
      <w:numFmt w:val="decimal"/>
      <w:isLgl w:val="false"/>
      <w:suff w:val="tab"/>
      <w:lvlText w:val="%1.%2."/>
      <w:lvlJc w:val="left"/>
      <w:pPr>
        <w:ind w:left="990" w:hanging="540"/>
        <w:tabs>
          <w:tab w:val="num" w:pos="990" w:leader="none"/>
        </w:tabs>
      </w:pPr>
    </w:lvl>
    <w:lvl w:ilvl="2">
      <w:start w:val="1"/>
      <w:numFmt w:val="decimal"/>
      <w:isLgl w:val="false"/>
      <w:suff w:val="tab"/>
      <w:lvlText w:val="%1.%2.%3."/>
      <w:lvlJc w:val="left"/>
      <w:pPr>
        <w:ind w:left="1620" w:hanging="720"/>
        <w:tabs>
          <w:tab w:val="num" w:pos="1620" w:leader="none"/>
        </w:tabs>
      </w:pPr>
    </w:lvl>
    <w:lvl w:ilvl="3">
      <w:start w:val="1"/>
      <w:numFmt w:val="decimal"/>
      <w:isLgl w:val="false"/>
      <w:suff w:val="tab"/>
      <w:lvlText w:val="%1.%2.%3.%4."/>
      <w:lvlJc w:val="left"/>
      <w:pPr>
        <w:ind w:left="2070" w:hanging="720"/>
        <w:tabs>
          <w:tab w:val="num" w:pos="2070" w:leader="none"/>
        </w:tabs>
      </w:pPr>
    </w:lvl>
    <w:lvl w:ilvl="4">
      <w:start w:val="1"/>
      <w:numFmt w:val="decimal"/>
      <w:isLgl w:val="false"/>
      <w:suff w:val="tab"/>
      <w:lvlText w:val="%1.%2.%3.%4.%5."/>
      <w:lvlJc w:val="left"/>
      <w:pPr>
        <w:ind w:left="2880" w:hanging="1080"/>
        <w:tabs>
          <w:tab w:val="num" w:pos="2880" w:leader="none"/>
        </w:tabs>
      </w:pPr>
    </w:lvl>
    <w:lvl w:ilvl="5">
      <w:start w:val="1"/>
      <w:numFmt w:val="decimal"/>
      <w:isLgl w:val="false"/>
      <w:suff w:val="tab"/>
      <w:lvlText w:val="%1.%2.%3.%4.%5.%6."/>
      <w:lvlJc w:val="left"/>
      <w:pPr>
        <w:ind w:left="3330" w:hanging="1080"/>
        <w:tabs>
          <w:tab w:val="num" w:pos="3330" w:leader="none"/>
        </w:tabs>
      </w:pPr>
    </w:lvl>
    <w:lvl w:ilvl="6">
      <w:start w:val="1"/>
      <w:numFmt w:val="decimal"/>
      <w:isLgl w:val="false"/>
      <w:suff w:val="tab"/>
      <w:lvlText w:val="%1.%2.%3.%4.%5.%6.%7."/>
      <w:lvlJc w:val="left"/>
      <w:pPr>
        <w:ind w:left="4140" w:hanging="1440"/>
        <w:tabs>
          <w:tab w:val="num" w:pos="4140" w:leader="none"/>
        </w:tabs>
      </w:pPr>
    </w:lvl>
    <w:lvl w:ilvl="7">
      <w:start w:val="1"/>
      <w:numFmt w:val="decimal"/>
      <w:isLgl w:val="false"/>
      <w:suff w:val="tab"/>
      <w:lvlText w:val="%1.%2.%3.%4.%5.%6.%7.%8."/>
      <w:lvlJc w:val="left"/>
      <w:pPr>
        <w:ind w:left="4590" w:hanging="1440"/>
        <w:tabs>
          <w:tab w:val="num" w:pos="4590" w:leader="none"/>
        </w:tabs>
      </w:pPr>
    </w:lvl>
    <w:lvl w:ilvl="8">
      <w:start w:val="1"/>
      <w:numFmt w:val="decimal"/>
      <w:isLgl w:val="false"/>
      <w:suff w:val="tab"/>
      <w:lvlText w:val="%1.%2.%3.%4.%5.%6.%7.%8.%9."/>
      <w:lvlJc w:val="left"/>
      <w:pPr>
        <w:ind w:left="5400" w:hanging="1800"/>
        <w:tabs>
          <w:tab w:val="num" w:pos="5400" w:leader="none"/>
        </w:tabs>
      </w:pPr>
    </w:lvl>
  </w:abstractNum>
  <w:num w:numId="1">
    <w:abstractNumId w:val="7"/>
  </w:num>
  <w:num w:numId="2">
    <w:abstractNumId w:val="8"/>
  </w:num>
  <w:num w:numId="3">
    <w:abstractNumId w:val="2"/>
  </w:num>
  <w:num w:numId="4">
    <w:abstractNumId w:val="0"/>
  </w:num>
  <w:num w:numId="5">
    <w:abstractNumId w:val="5"/>
  </w:num>
  <w:num w:numId="6">
    <w:abstractNumId w:val="3"/>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94"/>
    <w:next w:val="694"/>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94"/>
    <w:next w:val="694"/>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94"/>
    <w:next w:val="694"/>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94"/>
    <w:next w:val="694"/>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94"/>
    <w:next w:val="694"/>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94"/>
    <w:next w:val="694"/>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94"/>
    <w:next w:val="694"/>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94"/>
    <w:next w:val="694"/>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94"/>
    <w:next w:val="694"/>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694"/>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94"/>
    <w:next w:val="694"/>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94"/>
    <w:next w:val="694"/>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94"/>
    <w:next w:val="694"/>
    <w:link w:val="39"/>
    <w:uiPriority w:val="29"/>
    <w:qFormat/>
    <w:pPr>
      <w:ind w:left="720" w:right="720"/>
    </w:pPr>
    <w:rPr>
      <w:i/>
    </w:rPr>
  </w:style>
  <w:style w:type="character" w:styleId="39">
    <w:name w:val="Quote Char"/>
    <w:link w:val="38"/>
    <w:uiPriority w:val="29"/>
    <w:rPr>
      <w:i/>
    </w:rPr>
  </w:style>
  <w:style w:type="paragraph" w:styleId="40">
    <w:name w:val="Intense Quote"/>
    <w:basedOn w:val="694"/>
    <w:next w:val="694"/>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94"/>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94"/>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94"/>
    <w:next w:val="694"/>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94"/>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94"/>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94"/>
    <w:next w:val="694"/>
    <w:uiPriority w:val="39"/>
    <w:unhideWhenUsed/>
    <w:pPr>
      <w:ind w:left="0" w:right="0" w:firstLine="0"/>
      <w:spacing w:after="57"/>
    </w:pPr>
  </w:style>
  <w:style w:type="paragraph" w:styleId="182">
    <w:name w:val="toc 2"/>
    <w:basedOn w:val="694"/>
    <w:next w:val="694"/>
    <w:uiPriority w:val="39"/>
    <w:unhideWhenUsed/>
    <w:pPr>
      <w:ind w:left="283" w:right="0" w:firstLine="0"/>
      <w:spacing w:after="57"/>
    </w:pPr>
  </w:style>
  <w:style w:type="paragraph" w:styleId="183">
    <w:name w:val="toc 3"/>
    <w:basedOn w:val="694"/>
    <w:next w:val="694"/>
    <w:uiPriority w:val="39"/>
    <w:unhideWhenUsed/>
    <w:pPr>
      <w:ind w:left="567" w:right="0" w:firstLine="0"/>
      <w:spacing w:after="57"/>
    </w:pPr>
  </w:style>
  <w:style w:type="paragraph" w:styleId="184">
    <w:name w:val="toc 4"/>
    <w:basedOn w:val="694"/>
    <w:next w:val="694"/>
    <w:uiPriority w:val="39"/>
    <w:unhideWhenUsed/>
    <w:pPr>
      <w:ind w:left="850" w:right="0" w:firstLine="0"/>
      <w:spacing w:after="57"/>
    </w:pPr>
  </w:style>
  <w:style w:type="paragraph" w:styleId="185">
    <w:name w:val="toc 5"/>
    <w:basedOn w:val="694"/>
    <w:next w:val="694"/>
    <w:uiPriority w:val="39"/>
    <w:unhideWhenUsed/>
    <w:pPr>
      <w:ind w:left="1134" w:right="0" w:firstLine="0"/>
      <w:spacing w:after="57"/>
    </w:pPr>
  </w:style>
  <w:style w:type="paragraph" w:styleId="186">
    <w:name w:val="toc 6"/>
    <w:basedOn w:val="694"/>
    <w:next w:val="694"/>
    <w:uiPriority w:val="39"/>
    <w:unhideWhenUsed/>
    <w:pPr>
      <w:ind w:left="1417" w:right="0" w:firstLine="0"/>
      <w:spacing w:after="57"/>
    </w:pPr>
  </w:style>
  <w:style w:type="paragraph" w:styleId="187">
    <w:name w:val="toc 7"/>
    <w:basedOn w:val="694"/>
    <w:next w:val="694"/>
    <w:uiPriority w:val="39"/>
    <w:unhideWhenUsed/>
    <w:pPr>
      <w:ind w:left="1701" w:right="0" w:firstLine="0"/>
      <w:spacing w:after="57"/>
    </w:pPr>
  </w:style>
  <w:style w:type="paragraph" w:styleId="188">
    <w:name w:val="toc 8"/>
    <w:basedOn w:val="694"/>
    <w:next w:val="694"/>
    <w:uiPriority w:val="39"/>
    <w:unhideWhenUsed/>
    <w:pPr>
      <w:ind w:left="1984" w:right="0" w:firstLine="0"/>
      <w:spacing w:after="57"/>
    </w:pPr>
  </w:style>
  <w:style w:type="paragraph" w:styleId="189">
    <w:name w:val="toc 9"/>
    <w:basedOn w:val="694"/>
    <w:next w:val="694"/>
    <w:uiPriority w:val="39"/>
    <w:unhideWhenUsed/>
    <w:pPr>
      <w:ind w:left="2268" w:right="0" w:firstLine="0"/>
      <w:spacing w:after="57"/>
    </w:pPr>
  </w:style>
  <w:style w:type="paragraph" w:styleId="190">
    <w:name w:val="TOC Heading"/>
    <w:uiPriority w:val="39"/>
    <w:unhideWhenUsed/>
  </w:style>
  <w:style w:type="paragraph" w:styleId="191">
    <w:name w:val="table of figures"/>
    <w:basedOn w:val="694"/>
    <w:next w:val="694"/>
    <w:uiPriority w:val="99"/>
    <w:unhideWhenUsed/>
    <w:pPr>
      <w:spacing w:after="0" w:afterAutospacing="0"/>
    </w:pPr>
  </w:style>
  <w:style w:type="paragraph" w:styleId="694" w:default="1">
    <w:name w:val="Normal"/>
    <w:next w:val="694"/>
    <w:link w:val="694"/>
    <w:qFormat/>
    <w:pPr>
      <w:spacing w:after="200" w:line="276" w:lineRule="auto"/>
    </w:pPr>
    <w:rPr>
      <w:sz w:val="22"/>
      <w:szCs w:val="22"/>
      <w:lang w:val="ru-RU" w:eastAsia="en-US" w:bidi="ar-SA"/>
    </w:rPr>
  </w:style>
  <w:style w:type="character" w:styleId="695">
    <w:name w:val="Основной шрифт абзаца"/>
    <w:next w:val="695"/>
    <w:link w:val="694"/>
    <w:uiPriority w:val="1"/>
    <w:unhideWhenUsed/>
  </w:style>
  <w:style w:type="table" w:styleId="696">
    <w:name w:val="Обычная таблица"/>
    <w:next w:val="696"/>
    <w:link w:val="694"/>
    <w:uiPriority w:val="99"/>
    <w:semiHidden/>
    <w:unhideWhenUsed/>
    <w:tblPr/>
  </w:style>
  <w:style w:type="numbering" w:styleId="697">
    <w:name w:val="Нет списка"/>
    <w:next w:val="697"/>
    <w:link w:val="694"/>
    <w:uiPriority w:val="99"/>
    <w:semiHidden/>
    <w:unhideWhenUsed/>
  </w:style>
  <w:style w:type="paragraph" w:styleId="69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
    <w:basedOn w:val="694"/>
    <w:next w:val="698"/>
    <w:link w:val="699"/>
    <w:qFormat/>
    <w:pPr>
      <w:spacing w:after="0" w:line="240" w:lineRule="auto"/>
    </w:pPr>
    <w:rPr>
      <w:rFonts w:ascii="Times New Roman" w:hAnsi="Times New Roman" w:eastAsia="Times New Roman"/>
      <w:sz w:val="20"/>
      <w:szCs w:val="20"/>
      <w:lang w:eastAsia="ru-RU"/>
    </w:rPr>
  </w:style>
  <w:style w:type="character" w:styleId="69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699"/>
    <w:link w:val="698"/>
    <w:rPr>
      <w:rFonts w:ascii="Times New Roman" w:hAnsi="Times New Roman" w:eastAsia="Times New Roman"/>
    </w:rPr>
  </w:style>
  <w:style w:type="character" w:styleId="700">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700"/>
    <w:link w:val="694"/>
    <w:qFormat/>
    <w:rPr>
      <w:vertAlign w:val="superscript"/>
    </w:rPr>
  </w:style>
  <w:style w:type="paragraph" w:styleId="701">
    <w:name w:val="Верхний колонтитул"/>
    <w:basedOn w:val="694"/>
    <w:next w:val="701"/>
    <w:link w:val="702"/>
    <w:uiPriority w:val="99"/>
    <w:unhideWhenUsed/>
    <w:pPr>
      <w:tabs>
        <w:tab w:val="center" w:pos="4677" w:leader="none"/>
        <w:tab w:val="right" w:pos="9355" w:leader="none"/>
      </w:tabs>
    </w:pPr>
  </w:style>
  <w:style w:type="character" w:styleId="702">
    <w:name w:val="Верхний колонтитул Знак"/>
    <w:next w:val="702"/>
    <w:link w:val="701"/>
    <w:uiPriority w:val="99"/>
    <w:rPr>
      <w:sz w:val="22"/>
      <w:szCs w:val="22"/>
      <w:lang w:eastAsia="en-US"/>
    </w:rPr>
  </w:style>
  <w:style w:type="paragraph" w:styleId="703">
    <w:name w:val="Нижний колонтитул"/>
    <w:basedOn w:val="694"/>
    <w:next w:val="703"/>
    <w:link w:val="704"/>
    <w:uiPriority w:val="99"/>
    <w:unhideWhenUsed/>
    <w:pPr>
      <w:tabs>
        <w:tab w:val="center" w:pos="4677" w:leader="none"/>
        <w:tab w:val="right" w:pos="9355" w:leader="none"/>
      </w:tabs>
    </w:pPr>
  </w:style>
  <w:style w:type="character" w:styleId="704">
    <w:name w:val="Нижний колонтитул Знак"/>
    <w:next w:val="704"/>
    <w:link w:val="703"/>
    <w:uiPriority w:val="99"/>
    <w:rPr>
      <w:sz w:val="22"/>
      <w:szCs w:val="22"/>
      <w:lang w:eastAsia="en-US"/>
    </w:rPr>
  </w:style>
  <w:style w:type="paragraph" w:styleId="705">
    <w:name w:val="Текст выноски"/>
    <w:basedOn w:val="694"/>
    <w:next w:val="705"/>
    <w:link w:val="706"/>
    <w:uiPriority w:val="99"/>
    <w:semiHidden/>
    <w:unhideWhenUsed/>
    <w:pPr>
      <w:spacing w:after="0" w:line="240" w:lineRule="auto"/>
    </w:pPr>
    <w:rPr>
      <w:rFonts w:ascii="Tahoma" w:hAnsi="Tahoma" w:cs="Tahoma"/>
      <w:sz w:val="16"/>
      <w:szCs w:val="16"/>
    </w:rPr>
  </w:style>
  <w:style w:type="character" w:styleId="706">
    <w:name w:val="Текст выноски Знак"/>
    <w:next w:val="706"/>
    <w:link w:val="705"/>
    <w:uiPriority w:val="99"/>
    <w:semiHidden/>
    <w:rPr>
      <w:rFonts w:ascii="Tahoma" w:hAnsi="Tahoma" w:cs="Tahoma"/>
      <w:sz w:val="16"/>
      <w:szCs w:val="16"/>
      <w:lang w:eastAsia="en-US"/>
    </w:rPr>
  </w:style>
  <w:style w:type="character" w:styleId="707">
    <w:name w:val="Знак примечания"/>
    <w:next w:val="707"/>
    <w:link w:val="694"/>
    <w:uiPriority w:val="99"/>
    <w:semiHidden/>
    <w:unhideWhenUsed/>
    <w:rPr>
      <w:sz w:val="16"/>
      <w:szCs w:val="16"/>
    </w:rPr>
  </w:style>
  <w:style w:type="paragraph" w:styleId="708">
    <w:name w:val="Текст примечания"/>
    <w:basedOn w:val="694"/>
    <w:next w:val="708"/>
    <w:link w:val="709"/>
    <w:uiPriority w:val="99"/>
    <w:semiHidden/>
    <w:unhideWhenUsed/>
    <w:rPr>
      <w:sz w:val="20"/>
      <w:szCs w:val="20"/>
    </w:rPr>
  </w:style>
  <w:style w:type="character" w:styleId="709">
    <w:name w:val="Текст примечания Знак"/>
    <w:next w:val="709"/>
    <w:link w:val="708"/>
    <w:uiPriority w:val="99"/>
    <w:semiHidden/>
    <w:rPr>
      <w:lang w:eastAsia="en-US"/>
    </w:rPr>
  </w:style>
  <w:style w:type="paragraph" w:styleId="710">
    <w:name w:val="Тема примечания"/>
    <w:basedOn w:val="708"/>
    <w:next w:val="708"/>
    <w:link w:val="711"/>
    <w:uiPriority w:val="99"/>
    <w:semiHidden/>
    <w:unhideWhenUsed/>
    <w:rPr>
      <w:b/>
      <w:bCs/>
    </w:rPr>
  </w:style>
  <w:style w:type="character" w:styleId="711">
    <w:name w:val="Тема примечания Знак"/>
    <w:next w:val="711"/>
    <w:link w:val="710"/>
    <w:uiPriority w:val="99"/>
    <w:semiHidden/>
    <w:rPr>
      <w:b/>
      <w:bCs/>
      <w:lang w:eastAsia="en-US"/>
    </w:rPr>
  </w:style>
  <w:style w:type="paragraph" w:styleId="712">
    <w:name w:val="Текст концевой сноски"/>
    <w:basedOn w:val="694"/>
    <w:next w:val="712"/>
    <w:link w:val="713"/>
    <w:semiHidden/>
    <w:pPr>
      <w:spacing w:after="0" w:line="240" w:lineRule="auto"/>
      <w:widowControl w:val="off"/>
    </w:pPr>
    <w:rPr>
      <w:rFonts w:ascii="Times New Roman" w:hAnsi="Times New Roman" w:eastAsia="Times New Roman"/>
      <w:sz w:val="20"/>
      <w:szCs w:val="20"/>
      <w:lang w:val="en-US" w:eastAsia="en-US"/>
    </w:rPr>
  </w:style>
  <w:style w:type="character" w:styleId="713">
    <w:name w:val="Текст концевой сноски Знак"/>
    <w:next w:val="713"/>
    <w:link w:val="712"/>
    <w:semiHidden/>
    <w:rPr>
      <w:rFonts w:ascii="Times New Roman" w:hAnsi="Times New Roman" w:eastAsia="Times New Roman"/>
      <w:lang w:val="en-US" w:eastAsia="en-US"/>
    </w:rPr>
  </w:style>
  <w:style w:type="character" w:styleId="714">
    <w:name w:val="Знак концевой сноски"/>
    <w:next w:val="714"/>
    <w:link w:val="694"/>
    <w:uiPriority w:val="99"/>
    <w:rPr>
      <w:rFonts w:cs="Times New Roman"/>
      <w:vertAlign w:val="superscript"/>
    </w:rPr>
  </w:style>
  <w:style w:type="paragraph" w:styleId="715">
    <w:name w:val="Основной текст 2"/>
    <w:basedOn w:val="694"/>
    <w:next w:val="715"/>
    <w:link w:val="716"/>
    <w:pPr>
      <w:spacing w:after="120" w:line="480" w:lineRule="auto"/>
    </w:pPr>
    <w:rPr>
      <w:rFonts w:ascii="Times New Roman" w:hAnsi="Times New Roman" w:eastAsia="Times New Roman"/>
      <w:sz w:val="24"/>
      <w:szCs w:val="24"/>
      <w:lang w:val="en-US" w:eastAsia="en-US"/>
    </w:rPr>
  </w:style>
  <w:style w:type="character" w:styleId="716">
    <w:name w:val="Основной текст 2 Знак"/>
    <w:next w:val="716"/>
    <w:link w:val="715"/>
    <w:rPr>
      <w:rFonts w:ascii="Times New Roman" w:hAnsi="Times New Roman" w:eastAsia="Times New Roman"/>
      <w:sz w:val="24"/>
      <w:szCs w:val="24"/>
      <w:lang w:val="en-US" w:eastAsia="en-US"/>
    </w:rPr>
  </w:style>
  <w:style w:type="paragraph" w:styleId="717">
    <w:name w:val="Основной текст с отступом"/>
    <w:basedOn w:val="694"/>
    <w:next w:val="717"/>
    <w:link w:val="718"/>
    <w:uiPriority w:val="99"/>
    <w:semiHidden/>
    <w:unhideWhenUsed/>
    <w:pPr>
      <w:ind w:left="283"/>
      <w:spacing w:after="120"/>
    </w:pPr>
  </w:style>
  <w:style w:type="character" w:styleId="718">
    <w:name w:val="Основной текст с отступом Знак"/>
    <w:next w:val="718"/>
    <w:link w:val="717"/>
    <w:uiPriority w:val="99"/>
    <w:semiHidden/>
    <w:rPr>
      <w:sz w:val="22"/>
      <w:szCs w:val="22"/>
      <w:lang w:eastAsia="en-US"/>
    </w:rPr>
  </w:style>
  <w:style w:type="character" w:styleId="880" w:default="1">
    <w:name w:val="Default Paragraph Font"/>
    <w:uiPriority w:val="1"/>
    <w:semiHidden/>
    <w:unhideWhenUsed/>
  </w:style>
  <w:style w:type="numbering" w:styleId="881" w:default="1">
    <w:name w:val="No List"/>
    <w:uiPriority w:val="99"/>
    <w:semiHidden/>
    <w:unhideWhenUsed/>
  </w:style>
  <w:style w:type="table" w:styleId="88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 Вячеслав Андреевич</dc:creator>
  <cp:revision>3</cp:revision>
  <dcterms:created xsi:type="dcterms:W3CDTF">2023-06-21T13:00:00Z</dcterms:created>
  <dcterms:modified xsi:type="dcterms:W3CDTF">2024-07-18T07:35:58Z</dcterms:modified>
  <cp:version>1048576</cp:version>
</cp:coreProperties>
</file>