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6372" w:firstLine="708"/>
        <w:rPr>
          <w:rFonts w:ascii="Times New Roman" w:hAnsi="Times New Roman" w:cs="Times New Roman"/>
          <w:b/>
          <w:color w:val="333333"/>
          <w:sz w:val="22"/>
          <w:szCs w:val="22"/>
          <w:shd w:val="clear" w:color="auto" w:fill="ffffff"/>
        </w:rPr>
      </w:pPr>
      <w:r>
        <w:rPr>
          <w:rFonts w:ascii="Times New Roman" w:hAnsi="Times New Roman" w:eastAsia="Times New Roman" w:cs="Times New Roman"/>
          <w:sz w:val="22"/>
          <w:szCs w:val="22"/>
        </w:rPr>
      </w:r>
      <w:bookmarkStart w:id="0" w:name="_GoBack"/>
      <w:r>
        <w:rPr>
          <w:rFonts w:ascii="Times New Roman" w:hAnsi="Times New Roman" w:eastAsia="Times New Roman" w:cs="Times New Roman"/>
          <w:b/>
          <w:color w:val="333333"/>
          <w:sz w:val="22"/>
          <w:szCs w:val="22"/>
          <w:shd w:val="clear" w:color="auto" w:fill="ffffff"/>
        </w:rPr>
        <w:t xml:space="preserve">Приложение 1</w:t>
      </w:r>
      <w:bookmarkEnd w:id="0"/>
      <w:r>
        <w:rPr>
          <w:sz w:val="22"/>
          <w:szCs w:val="22"/>
        </w:rPr>
      </w:r>
      <w:r>
        <w:rPr>
          <w:rFonts w:ascii="Times New Roman" w:hAnsi="Times New Roman" w:cs="Times New Roman"/>
          <w:b/>
          <w:color w:val="333333"/>
          <w:sz w:val="22"/>
          <w:szCs w:val="22"/>
          <w:shd w:val="clear" w:color="auto" w:fill="ffffff"/>
        </w:rPr>
      </w:r>
    </w:p>
    <w:p>
      <w:pPr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</w:pPr>
      <w:r>
        <w:rPr>
          <w:rFonts w:ascii="Times New Roman" w:hAnsi="Times New Roman" w:eastAsia="Times New Roman" w:cs="Times New Roman"/>
          <w:color w:val="333333"/>
          <w:sz w:val="22"/>
          <w:szCs w:val="22"/>
          <w:shd w:val="clear" w:color="auto" w:fill="ffffff"/>
        </w:rPr>
      </w:r>
      <w:r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</w:r>
    </w:p>
    <w:p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eastAsia="Times New Roman" w:cs="Times New Roman"/>
          <w:color w:val="333333"/>
          <w:sz w:val="22"/>
          <w:szCs w:val="22"/>
          <w:shd w:val="clear" w:color="auto" w:fill="ffffff"/>
        </w:rPr>
        <w:t xml:space="preserve">С тарифными планами </w:t>
      </w:r>
      <w:hyperlink r:id="rId8" w:tooltip="https://www.rshb.ru/business/business-cards" w:history="1">
        <w:r>
          <w:rPr>
            <w:rStyle w:val="622"/>
            <w:rFonts w:ascii="Times New Roman" w:hAnsi="Times New Roman" w:eastAsia="Times New Roman" w:cs="Times New Roman"/>
            <w:color w:val="337ab7"/>
            <w:sz w:val="22"/>
            <w:szCs w:val="22"/>
            <w:u w:val="none"/>
            <w:shd w:val="clear" w:color="auto" w:fill="ffffff"/>
          </w:rPr>
          <w:t xml:space="preserve">бизнес-карт</w:t>
        </w:r>
      </w:hyperlink>
      <w:r>
        <w:rPr>
          <w:rFonts w:ascii="Times New Roman" w:hAnsi="Times New Roman" w:eastAsia="Times New Roman" w:cs="Times New Roman"/>
          <w:color w:val="333333"/>
          <w:sz w:val="22"/>
          <w:szCs w:val="22"/>
          <w:shd w:val="clear" w:color="auto" w:fill="ffffff"/>
        </w:rPr>
        <w:t xml:space="preserve"> можно ознакомиться в соответствующих разделах.</w:t>
      </w:r>
      <w:r>
        <w:rPr>
          <w:rFonts w:ascii="Times New Roman" w:hAnsi="Times New Roman" w:cs="Times New Roman"/>
          <w:sz w:val="22"/>
          <w:szCs w:val="22"/>
        </w:rPr>
      </w:r>
    </w:p>
    <w:p>
      <w:pPr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</w:pPr>
      <w:r>
        <w:rPr>
          <w:rFonts w:ascii="Times New Roman" w:hAnsi="Times New Roman" w:eastAsia="Times New Roman" w:cs="Times New Roman"/>
          <w:color w:val="333333"/>
          <w:sz w:val="22"/>
          <w:szCs w:val="22"/>
          <w:shd w:val="clear" w:color="auto" w:fill="ffffff"/>
        </w:rPr>
        <w:t xml:space="preserve">- срок зачисления средств зависит от банка получателя перевода, и может составлять от нескольких минут до нескольких дней.</w:t>
      </w:r>
      <w:r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</w:r>
    </w:p>
    <w:p>
      <w:pPr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</w:pPr>
      <w:r>
        <w:rPr>
          <w:rFonts w:ascii="Times New Roman" w:hAnsi="Times New Roman" w:eastAsia="Times New Roman" w:cs="Times New Roman"/>
          <w:color w:val="333333"/>
          <w:sz w:val="22"/>
          <w:szCs w:val="22"/>
          <w:shd w:val="clear" w:color="auto" w:fill="ffffff"/>
        </w:rPr>
        <w:t xml:space="preserve">- банки-эмитенты карт могут устанавливать дополнительные условия и ограничения для проведения переводов с карты на карту.</w:t>
      </w:r>
      <w:r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</w:r>
    </w:p>
    <w:p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eastAsia="Times New Roman" w:cs="Times New Roman"/>
          <w:sz w:val="22"/>
          <w:szCs w:val="22"/>
        </w:rPr>
      </w:r>
      <w:r>
        <w:rPr>
          <w:rFonts w:ascii="Times New Roman" w:hAnsi="Times New Roman" w:eastAsia="Times New Roman" w:cs="Times New Roman"/>
          <w:sz w:val="22"/>
          <w:szCs w:val="22"/>
        </w:rPr>
      </w:r>
    </w:p>
    <w:p>
      <w:pPr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eastAsia="Times New Roman" w:cs="Times New Roman"/>
          <w:sz w:val="22"/>
          <w:szCs w:val="22"/>
        </w:rPr>
        <w:t xml:space="preserve">КОМИССИИ</w:t>
      </w:r>
      <w:r>
        <w:rPr>
          <w:rFonts w:ascii="Times New Roman" w:hAnsi="Times New Roman" w:eastAsia="Times New Roman" w:cs="Times New Roman"/>
          <w:sz w:val="22"/>
          <w:szCs w:val="22"/>
        </w:rPr>
      </w: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2976"/>
        <w:gridCol w:w="4110"/>
      </w:tblGrid>
      <w:tr>
        <w:tblPrEx/>
        <w:trPr/>
        <w:tc>
          <w:tcPr>
            <w:gridSpan w:val="3"/>
            <w:shd w:val="clear" w:color="auto" w:fill="auto"/>
            <w:tcW w:w="9354" w:type="dxa"/>
            <w:textDirection w:val="lrTb"/>
            <w:noWrap w:val="false"/>
          </w:tcPr>
          <w:p>
            <w:pPr>
              <w:jc w:val="both"/>
              <w:spacing w:before="120" w:after="120" w:line="240" w:lineRule="auto"/>
              <w:tabs>
                <w:tab w:val="left" w:pos="0" w:leader="none"/>
                <w:tab w:val="left" w:pos="1134" w:leader="none"/>
                <w:tab w:val="left" w:pos="3569" w:leader="none"/>
              </w:tabs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/>
                <w:sz w:val="22"/>
                <w:szCs w:val="22"/>
              </w:rPr>
              <w:t xml:space="preserve">Операция перевода денежных средств по номеру банковской карты с использованием Бизнес-карты/реквизитов Бизнес-карты АО «Россельхозбанк» на банковские карты физических лиц           АО «Россельхозбанк» и банковские карты физических лиц других банков-эмитентов</w:t>
            </w:r>
            <w:r>
              <w:rPr>
                <w:rFonts w:ascii="Times New Roman" w:hAnsi="Times New Roman" w:eastAsia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/>
                <w:i/>
                <w:sz w:val="22"/>
                <w:szCs w:val="22"/>
                <w:lang w:eastAsia="ru-RU"/>
              </w:rPr>
            </w:r>
          </w:p>
        </w:tc>
      </w:tr>
      <w:tr>
        <w:tblPrEx/>
        <w:trPr>
          <w:trHeight w:val="1592"/>
        </w:trPr>
        <w:tc>
          <w:tcPr>
            <w:shd w:val="clear" w:color="auto" w:fill="auto"/>
            <w:tcW w:w="2268" w:type="dxa"/>
            <w:vAlign w:val="center"/>
            <w:textDirection w:val="lrTb"/>
            <w:noWrap w:val="false"/>
          </w:tcPr>
          <w:p>
            <w:pPr>
              <w:spacing w:line="25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до 500 000,00 руб. (включительно) по Счету в течение календарного месяца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shd w:val="clear" w:color="auto" w:fill="auto"/>
            <w:tcW w:w="29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1,5% от суммы операции, мин. 250 руб.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shd w:val="clear" w:color="ffffff" w:fill="ffffff"/>
            <w:tcW w:w="4110" w:type="dxa"/>
            <w:vAlign w:val="center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Операции перевода денежных средств с использованием реквизитов Бизнес-карты осуществляются в валюте Российской Федерации на банковские карты, эмитированные кредитными организациями на территории Российской Федерации. Операции перевода могут быть осуществлен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ы на странице Банка по адресу www.rshb.business.p2p, в ИС Свой Бизнес, банкоматах и информационно-платежных терминалах Банка, а также в банкоматно-терминальной сети и интернет-ресурсах сторонних организаций.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</w:tc>
      </w:tr>
      <w:tr>
        <w:tblPrEx/>
        <w:trPr/>
        <w:tc>
          <w:tcPr>
            <w:shd w:val="clear" w:color="auto" w:fill="auto"/>
            <w:tcW w:w="2268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tabs>
                <w:tab w:val="left" w:pos="0" w:leader="none"/>
                <w:tab w:val="left" w:pos="1134" w:leader="none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свыше 500 000,00 руб. по Счету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  <w:br/>
              <w:t xml:space="preserve">в течение календарного месяца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shd w:val="clear" w:color="auto" w:fill="auto"/>
            <w:tcW w:w="29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6% от суммы операции, мин. 250 руб.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shd w:val="clear" w:color="ffffff" w:fill="ffffff"/>
            <w:tcW w:w="4110" w:type="dxa"/>
            <w:vAlign w:val="center"/>
            <w:vMerge w:val="continue"/>
            <w:textDirection w:val="lrTb"/>
            <w:noWrap w:val="false"/>
          </w:tcPr>
          <w:p>
            <w:r/>
          </w:p>
        </w:tc>
      </w:tr>
    </w:tbl>
    <w:p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eastAsia="Times New Roman" w:cs="Times New Roman"/>
          <w:sz w:val="22"/>
          <w:szCs w:val="22"/>
        </w:rPr>
      </w:r>
      <w:r>
        <w:rPr>
          <w:rFonts w:ascii="Times New Roman" w:hAnsi="Times New Roman" w:eastAsia="Times New Roman" w:cs="Times New Roman"/>
          <w:sz w:val="22"/>
          <w:szCs w:val="22"/>
        </w:rPr>
      </w:r>
    </w:p>
    <w:p>
      <w:pPr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eastAsia="Times New Roman" w:cs="Times New Roman"/>
          <w:sz w:val="22"/>
          <w:szCs w:val="22"/>
        </w:rPr>
        <w:t xml:space="preserve">ЛИМИТЫ</w:t>
      </w:r>
      <w:r>
        <w:rPr>
          <w:rFonts w:ascii="Times New Roman" w:hAnsi="Times New Roman" w:eastAsia="Times New Roman" w:cs="Times New Roman"/>
          <w:sz w:val="22"/>
          <w:szCs w:val="22"/>
        </w:rPr>
      </w: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1936"/>
        <w:gridCol w:w="4435"/>
        <w:gridCol w:w="2974"/>
      </w:tblGrid>
      <w:tr>
        <w:tblPrEx/>
        <w:trPr/>
        <w:tc>
          <w:tcPr>
            <w:gridSpan w:val="3"/>
            <w:shd w:val="clear" w:color="auto" w:fill="auto"/>
            <w:tcW w:w="5000" w:type="pct"/>
            <w:textDirection w:val="lrTb"/>
            <w:noWrap w:val="false"/>
          </w:tcPr>
          <w:p>
            <w:pPr>
              <w:spacing w:before="120" w:after="120" w:line="240" w:lineRule="auto"/>
              <w:tabs>
                <w:tab w:val="left" w:pos="0" w:leader="none"/>
                <w:tab w:val="left" w:pos="1134" w:leader="none"/>
              </w:tabs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 xml:space="preserve">Лимит переводов денежных средств  по номеру банковской карты с использованием Бизнес-карты/реквизитов Бизнес-карты АО «Россельхозбанк» на банковские карты физических лиц        АО "Россельхозбанк" и банковские карты физических лиц других банков-эмитентов:</w:t>
            </w:r>
            <w:r>
              <w:rPr>
                <w:rFonts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</w:tr>
      <w:tr>
        <w:tblPrEx/>
        <w:trPr>
          <w:trHeight w:val="793"/>
        </w:trPr>
        <w:tc>
          <w:tcPr>
            <w:shd w:val="clear" w:color="auto" w:fill="auto"/>
            <w:tcW w:w="1036" w:type="pct"/>
            <w:vAlign w:val="center"/>
            <w:textDirection w:val="lrTb"/>
            <w:noWrap w:val="false"/>
          </w:tcPr>
          <w:p>
            <w:pPr>
              <w:spacing w:before="120" w:after="120" w:line="240" w:lineRule="auto"/>
              <w:tabs>
                <w:tab w:val="left" w:pos="0" w:leader="none"/>
                <w:tab w:val="left" w:pos="1134" w:leader="none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- в сутки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shd w:val="clear" w:color="auto" w:fill="auto"/>
            <w:tcW w:w="2373" w:type="pct"/>
            <w:vAlign w:val="center"/>
            <w:textDirection w:val="lrTb"/>
            <w:noWrap w:val="false"/>
          </w:tcPr>
          <w:p>
            <w:pPr>
              <w:jc w:val="center"/>
              <w:spacing w:before="120" w:after="12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100 000 руб.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shd w:val="clear" w:color="auto" w:fill="auto"/>
            <w:tcW w:w="1591" w:type="pct"/>
            <w:vMerge w:val="restart"/>
            <w:textDirection w:val="lrTb"/>
            <w:noWrap w:val="false"/>
          </w:tcPr>
          <w:p>
            <w:pPr>
              <w:jc w:val="both"/>
              <w:spacing w:after="0" w:line="240" w:lineRule="auto"/>
              <w:tabs>
                <w:tab w:val="left" w:pos="0" w:leader="none"/>
                <w:tab w:val="left" w:pos="1134" w:leader="none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Лимит устанавливается суммарно на все Счета Клиента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.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shd w:val="clear" w:color="auto" w:fill="auto"/>
            <w:tcW w:w="1036" w:type="pct"/>
            <w:vAlign w:val="center"/>
            <w:textDirection w:val="lrTb"/>
            <w:noWrap w:val="false"/>
          </w:tcPr>
          <w:p>
            <w:pPr>
              <w:spacing w:before="120" w:after="120" w:line="240" w:lineRule="auto"/>
              <w:tabs>
                <w:tab w:val="left" w:pos="0" w:leader="none"/>
                <w:tab w:val="left" w:pos="1134" w:leader="none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- в месяц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shd w:val="clear" w:color="auto" w:fill="auto"/>
            <w:tcW w:w="2373" w:type="pct"/>
            <w:vAlign w:val="center"/>
            <w:textDirection w:val="lrTb"/>
            <w:noWrap w:val="false"/>
          </w:tcPr>
          <w:p>
            <w:pPr>
              <w:jc w:val="center"/>
              <w:spacing w:before="120" w:after="12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1 000 000 руб.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shd w:val="clear" w:color="auto" w:fill="auto"/>
            <w:tcW w:w="1591" w:type="pct"/>
            <w:vMerge w:val="continue"/>
            <w:textDirection w:val="lrTb"/>
            <w:noWrap w:val="false"/>
          </w:tcPr>
          <w:p>
            <w:pPr>
              <w:spacing w:after="0" w:line="240" w:lineRule="auto"/>
              <w:tabs>
                <w:tab w:val="left" w:pos="0" w:leader="none"/>
                <w:tab w:val="left" w:pos="1134" w:leader="none"/>
              </w:tabs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</w:tr>
    </w:tbl>
    <w:p>
      <w:pPr>
        <w:contextualSpacing/>
        <w:jc w:val="both"/>
        <w:spacing w:after="0" w:line="256" w:lineRule="auto"/>
        <w:tabs>
          <w:tab w:val="left" w:pos="1276" w:leader="none"/>
        </w:tabs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eastAsia="Times New Roman" w:cs="Times New Roman"/>
          <w:sz w:val="22"/>
          <w:szCs w:val="22"/>
        </w:rPr>
      </w:r>
      <w:r>
        <w:rPr>
          <w:rFonts w:ascii="Times New Roman" w:hAnsi="Times New Roman" w:cs="Times New Roman"/>
          <w:sz w:val="22"/>
          <w:szCs w:val="22"/>
        </w:rPr>
      </w:r>
    </w:p>
    <w:p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eastAsia="Times New Roman" w:cs="Times New Roman"/>
          <w:sz w:val="22"/>
          <w:szCs w:val="22"/>
        </w:rPr>
      </w:r>
      <w:r>
        <w:rPr>
          <w:rFonts w:ascii="Times New Roman" w:hAnsi="Times New Roman" w:eastAsia="Times New Roman" w:cs="Times New Roman"/>
          <w:sz w:val="22"/>
          <w:szCs w:val="22"/>
        </w:rPr>
      </w:r>
    </w:p>
    <w:p>
      <w:r/>
      <w:r/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618"/>
    <w:link w:val="46"/>
    <w:uiPriority w:val="35"/>
    <w:rPr>
      <w:b/>
      <w:bCs/>
      <w:color w:val="4f81bd" w:themeColor="accent1"/>
      <w:sz w:val="18"/>
      <w:szCs w:val="18"/>
    </w:rPr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paragraph" w:styleId="621">
    <w:name w:val="Normal (Web)"/>
    <w:basedOn w:val="617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622">
    <w:name w:val="Hyperlink"/>
    <w:basedOn w:val="618"/>
    <w:uiPriority w:val="99"/>
    <w:semiHidden/>
    <w:unhideWhenUsed/>
    <w:rPr>
      <w:color w:val="0000ff"/>
      <w:u w:val="single"/>
    </w:rPr>
  </w:style>
  <w:style w:type="character" w:styleId="623">
    <w:name w:val="FollowedHyperlink"/>
    <w:basedOn w:val="618"/>
    <w:uiPriority w:val="99"/>
    <w:semiHidden/>
    <w:unhideWhenUsed/>
    <w:rPr>
      <w:color w:val="954f72" w:themeColor="followedHyperlink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s://www.rshb.ru/business/business-cards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Осокин Андрей Сергеевич</dc:creator>
  <cp:keywords/>
  <dc:description/>
  <cp:lastModifiedBy>motuznaya-tv</cp:lastModifiedBy>
  <cp:revision>6</cp:revision>
  <dcterms:created xsi:type="dcterms:W3CDTF">2023-08-24T14:42:00Z</dcterms:created>
  <dcterms:modified xsi:type="dcterms:W3CDTF">2025-04-16T15:02:28Z</dcterms:modified>
</cp:coreProperties>
</file>