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jc w:val="center"/>
      </w:pPr>
      <w:r>
        <w:t xml:space="preserve">Сообщение о существенном факте «О погашении облигаций или иных ценных бумаг эмитента, не являющихся акциями»</w:t>
      </w:r>
    </w:p>
    <w:p>
      <w:pPr>
        <w:pStyle w:val="Normal"/>
        <w:jc w:val="center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rmal"/>
        <w:numPr>
          <w:numId w:val="3"/>
          <w:ilvl w:val="0"/>
        </w:numPr>
        <w:jc w:val="center"/>
      </w:pPr>
      <w:r>
        <w:t xml:space="preserve">Общие сведения</w:t>
      </w:r>
    </w:p>
    <w:tbl>
      <w:tblPr>
        <w:tblW w:w="10234" w:type="dxa"/>
        <w:tblInd w:w="0" w:type="dxa"/>
        <w:tblLayout w:type="autofit"/>
        <w:tblCellMar>
          <w:left w:w="28" w:type="dxa"/>
          <w:top w:w="0" w:type="dxa"/>
          <w:right w:w="28" w:type="dxa"/>
          <w:bottom w:w="0" w:type="dxa"/>
        </w:tblCellMar>
      </w:tblPr>
      <w:tblGrid>
        <w:gridCol w:w="4281"/>
        <w:gridCol w:w="5953"/>
      </w:tblGrid>
      <w:tr>
        <w:trPr>
          <w:cantSplit/>
        </w:trPr>
        <w:tc>
          <w:tcPr>
            <w:tcW w:w="10229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</w:p>
        </w:tc>
      </w:tr>
      <w:tr>
        <w:trPr/>
        <w:tc>
          <w:tcPr>
            <w:tcW w:w="42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567"/>
              <w:jc w:val="both"/>
            </w:pPr>
            <w:r>
              <w:t xml:space="preserve">1.1.   Полное фирменное наименование (для коммерческой организации) или наименование (для некоммерческой организации) эмитента:</w:t>
            </w:r>
          </w:p>
        </w:tc>
        <w:tc>
          <w:tcPr>
            <w:tcW w:w="59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120" w:right="57"/>
              <w:rPr>
                <w:b/>
                <w:i/>
              </w:rPr>
            </w:pPr>
            <w:r>
              <w:rPr>
                <w:b/>
                <w:i/>
              </w:rPr>
              <w:t xml:space="preserve">Акционерное общество «Российский Сельскохозяйственный банк»</w:t>
            </w:r>
          </w:p>
        </w:tc>
      </w:tr>
      <w:tr>
        <w:trPr/>
        <w:tc>
          <w:tcPr>
            <w:tcW w:w="42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567"/>
              <w:jc w:val="both"/>
            </w:pPr>
            <w:r>
              <w:t xml:space="preserve">1.2.   Адрес эмитента, указанный в едином государственном реестре юридических лиц:</w:t>
            </w:r>
          </w:p>
        </w:tc>
        <w:tc>
          <w:tcPr>
            <w:tcW w:w="59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120" w:right="57"/>
              <w:rPr>
                <w:b/>
                <w:i/>
              </w:rPr>
            </w:pPr>
            <w:r>
              <w:rPr>
                <w:b/>
                <w:i/>
              </w:rPr>
              <w:t xml:space="preserve">119034, город Москва,  Гагаринский переулок, дом 3</w:t>
            </w:r>
          </w:p>
        </w:tc>
      </w:tr>
      <w:tr>
        <w:trPr/>
        <w:tc>
          <w:tcPr>
            <w:tcW w:w="42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119" w:hanging="567"/>
              <w:jc w:val="both"/>
            </w:pPr>
            <w:r>
              <w:t xml:space="preserve">1.3.   Основной государственный регистрационный номер (ОГРН) эмитента (при наличии):</w:t>
            </w:r>
          </w:p>
        </w:tc>
        <w:tc>
          <w:tcPr>
            <w:tcW w:w="59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4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1027700342890</w:t>
            </w:r>
          </w:p>
        </w:tc>
      </w:tr>
      <w:tr>
        <w:trPr/>
        <w:tc>
          <w:tcPr>
            <w:tcW w:w="42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567"/>
              <w:jc w:val="both"/>
            </w:pPr>
            <w:r>
              <w:t xml:space="preserve">1.4.   Идентификационный номер налогоплательщика (ИНН) эмитента (при наличии):</w:t>
            </w:r>
          </w:p>
        </w:tc>
        <w:tc>
          <w:tcPr>
            <w:tcW w:w="59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4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7725114488</w:t>
            </w:r>
          </w:p>
        </w:tc>
      </w:tr>
      <w:tr>
        <w:trPr/>
        <w:tc>
          <w:tcPr>
            <w:tcW w:w="42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567"/>
              <w:jc w:val="both"/>
            </w:pPr>
            <w:r>
              <w:t xml:space="preserve">1.5.   Уникальный код эмитента, присвоенный Банком России:</w:t>
            </w:r>
          </w:p>
        </w:tc>
        <w:tc>
          <w:tcPr>
            <w:tcW w:w="59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417"/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03349-В</w:t>
            </w:r>
          </w:p>
        </w:tc>
      </w:tr>
      <w:tr>
        <w:trPr/>
        <w:tc>
          <w:tcPr>
            <w:tcW w:w="42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567"/>
              <w:jc w:val="both"/>
            </w:pPr>
            <w:r>
              <w:t xml:space="preserve">1.6.   Адрес страницы в сети Интернет, используемой эмитентом для раскрытия информации:</w:t>
            </w:r>
          </w:p>
        </w:tc>
        <w:tc>
          <w:tcPr>
            <w:tcW w:w="59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120" w:right="-27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http</w:t>
            </w:r>
            <w:r>
              <w:rPr>
                <w:b/>
                <w:i/>
              </w:rPr>
              <w:t xml:space="preserve">://</w:t>
            </w:r>
            <w:r>
              <w:rPr>
                <w:b/>
                <w:i/>
                <w:lang w:val="en-US"/>
              </w:rPr>
              <w:t xml:space="preserve">www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  <w:lang w:val="en-US"/>
              </w:rPr>
              <w:t xml:space="preserve">e</w:t>
            </w:r>
            <w:r>
              <w:rPr>
                <w:b/>
                <w:i/>
              </w:rPr>
              <w:t xml:space="preserve">-</w:t>
            </w:r>
            <w:r>
              <w:rPr>
                <w:b/>
                <w:i/>
                <w:lang w:val="en-US"/>
              </w:rPr>
              <w:t xml:space="preserve">disclosure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  <w:lang w:val="en-US"/>
              </w:rPr>
              <w:t xml:space="preserve">ru</w:t>
            </w:r>
            <w:r>
              <w:rPr>
                <w:b/>
                <w:i/>
              </w:rPr>
              <w:t xml:space="preserve">/</w:t>
            </w:r>
            <w:r>
              <w:rPr>
                <w:b/>
                <w:i/>
                <w:lang w:val="en-US"/>
              </w:rPr>
              <w:t xml:space="preserve">portal</w:t>
            </w:r>
            <w:r>
              <w:rPr>
                <w:b/>
                <w:i/>
              </w:rPr>
              <w:t xml:space="preserve">/</w:t>
            </w:r>
            <w:r>
              <w:rPr>
                <w:b/>
                <w:i/>
                <w:lang w:val="en-US"/>
              </w:rPr>
              <w:t xml:space="preserve">company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  <w:lang w:val="en-US"/>
              </w:rPr>
              <w:t xml:space="preserve">aspx</w:t>
            </w:r>
            <w:r>
              <w:rPr>
                <w:b/>
                <w:i/>
              </w:rPr>
              <w:t xml:space="preserve">?</w:t>
            </w:r>
            <w:r>
              <w:rPr>
                <w:b/>
                <w:i/>
                <w:lang w:val="en-US"/>
              </w:rPr>
              <w:t xml:space="preserve">id</w:t>
            </w:r>
            <w:r>
              <w:rPr>
                <w:b/>
                <w:i/>
              </w:rPr>
              <w:t xml:space="preserve">=3207, </w:t>
            </w:r>
          </w:p>
          <w:p>
            <w:pPr>
              <w:pStyle w:val="Normal"/>
              <w:ind w:left="120" w:right="-27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lang w:val="en-US"/>
              </w:rPr>
              <w:fldChar w:fldCharType="begin"/>
            </w:r>
            <w:r>
              <w:rPr>
                <w:b/>
                <w:i/>
                <w:color w:val="000000"/>
              </w:rPr>
              <w:instrText xml:space="preserve"> </w:instrText>
            </w:r>
            <w:r>
              <w:rPr>
                <w:b/>
                <w:i/>
                <w:color w:val="000000"/>
                <w:lang w:val="en-US"/>
              </w:rPr>
              <w:instrText xml:space="preserve">HYPERLINK</w:instrText>
            </w:r>
            <w:r>
              <w:rPr>
                <w:b/>
                <w:i/>
                <w:color w:val="000000"/>
              </w:rPr>
              <w:instrText xml:space="preserve"> "</w:instrText>
            </w:r>
            <w:r>
              <w:rPr>
                <w:b/>
                <w:i/>
                <w:color w:val="000000"/>
                <w:lang w:val="en-US"/>
              </w:rPr>
              <w:instrText xml:space="preserve">http</w:instrText>
            </w:r>
            <w:r>
              <w:rPr>
                <w:b/>
                <w:i/>
                <w:color w:val="000000"/>
              </w:rPr>
              <w:instrText xml:space="preserve">://</w:instrText>
            </w:r>
            <w:r>
              <w:rPr>
                <w:b/>
                <w:i/>
                <w:color w:val="000000"/>
                <w:lang w:val="en-US"/>
              </w:rPr>
              <w:instrText xml:space="preserve">www</w:instrText>
            </w:r>
            <w:r>
              <w:rPr>
                <w:b/>
                <w:i/>
                <w:color w:val="000000"/>
              </w:rPr>
              <w:instrText xml:space="preserve">.</w:instrText>
            </w:r>
            <w:r>
              <w:rPr>
                <w:b/>
                <w:i/>
                <w:color w:val="000000"/>
                <w:lang w:val="en-US"/>
              </w:rPr>
              <w:instrText xml:space="preserve">rshb</w:instrText>
            </w:r>
            <w:r>
              <w:rPr>
                <w:b/>
                <w:i/>
                <w:color w:val="000000"/>
              </w:rPr>
              <w:instrText xml:space="preserve">.</w:instrText>
            </w:r>
            <w:r>
              <w:rPr>
                <w:b/>
                <w:i/>
                <w:color w:val="000000"/>
                <w:lang w:val="en-US"/>
              </w:rPr>
              <w:instrText xml:space="preserve">ru</w:instrText>
            </w:r>
            <w:r>
              <w:rPr>
                <w:b/>
                <w:i/>
                <w:color w:val="000000"/>
              </w:rPr>
              <w:instrText xml:space="preserve">" </w:instrText>
            </w:r>
            <w:r>
              <w:rPr>
                <w:b/>
                <w:i/>
                <w:color w:val="000000"/>
                <w:lang w:val="en-US"/>
              </w:rPr>
              <w:fldChar w:fldCharType="separate"/>
            </w:r>
            <w:r>
              <w:rPr>
                <w:rStyle w:val="Hyperlink"/>
                <w:b/>
                <w:i/>
                <w:color w:val="000000"/>
                <w:u w:val="none"/>
                <w:lang w:val="en-US"/>
              </w:rPr>
              <w:t xml:space="preserve">http</w:t>
            </w:r>
            <w:r>
              <w:rPr>
                <w:rStyle w:val="Hyperlink"/>
                <w:b/>
                <w:i/>
                <w:color w:val="000000"/>
                <w:u w:val="none"/>
              </w:rPr>
              <w:t xml:space="preserve">://</w:t>
            </w:r>
            <w:r>
              <w:rPr>
                <w:rStyle w:val="Hyperlink"/>
                <w:b/>
                <w:i/>
                <w:color w:val="000000"/>
                <w:u w:val="none"/>
                <w:lang w:val="en-US"/>
              </w:rPr>
              <w:t xml:space="preserve">www</w:t>
            </w:r>
            <w:r>
              <w:rPr>
                <w:rStyle w:val="Hyperlink"/>
                <w:b/>
                <w:i/>
                <w:color w:val="000000"/>
                <w:u w:val="none"/>
              </w:rPr>
              <w:t xml:space="preserve">.</w:t>
            </w:r>
            <w:r>
              <w:rPr>
                <w:rStyle w:val="Hyperlink"/>
                <w:b/>
                <w:i/>
                <w:color w:val="000000"/>
                <w:u w:val="none"/>
                <w:lang w:val="en-US"/>
              </w:rPr>
              <w:t xml:space="preserve">rshb</w:t>
            </w:r>
            <w:r>
              <w:rPr>
                <w:rStyle w:val="Hyperlink"/>
                <w:b/>
                <w:i/>
                <w:color w:val="000000"/>
                <w:u w:val="none"/>
              </w:rPr>
              <w:t xml:space="preserve">.</w:t>
            </w:r>
            <w:r>
              <w:rPr>
                <w:rStyle w:val="Hyperlink"/>
                <w:b/>
                <w:i/>
                <w:color w:val="000000"/>
                <w:u w:val="none"/>
                <w:lang w:val="en-US"/>
              </w:rPr>
              <w:t xml:space="preserve">ru</w:t>
            </w:r>
            <w:r>
              <w:rPr>
                <w:b/>
                <w:i/>
                <w:color w:val="000000"/>
                <w:lang w:val="en-US"/>
              </w:rPr>
              <w:fldChar w:fldCharType="end"/>
            </w:r>
            <w:r>
              <w:rPr>
                <w:b/>
                <w:i/>
                <w:color w:val="000000"/>
              </w:rPr>
            </w:r>
          </w:p>
        </w:tc>
      </w:tr>
      <w:tr>
        <w:trPr>
          <w:trHeight w:val="68"/>
        </w:trPr>
        <w:tc>
          <w:tcPr>
            <w:tcW w:w="4281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57" w:hanging="567"/>
              <w:jc w:val="both"/>
            </w:pPr>
            <w:r>
              <w:t xml:space="preserve">1.7.   </w:t>
            </w:r>
            <w:r>
              <w:rPr>
                <w:bCs/>
              </w:rPr>
              <w:t xml:space="preserve">Дата наступления события (существенного факта), о котором составлено сообщение:</w:t>
            </w:r>
          </w:p>
        </w:tc>
        <w:tc>
          <w:tcPr>
            <w:tcW w:w="5953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37" w:right="-27" w:hanging="417"/>
              <w:rPr>
                <w:b/>
                <w:i/>
              </w:rPr>
            </w:pPr>
            <w:r>
              <w:rPr>
                <w:b/>
                <w:i/>
              </w:rPr>
              <w:t xml:space="preserve">12</w:t>
            </w:r>
            <w:r>
              <w:rPr>
                <w:b/>
                <w:i/>
              </w:rPr>
              <w:t xml:space="preserve">.</w:t>
            </w:r>
            <w:r>
              <w:rPr>
                <w:b/>
                <w:i/>
              </w:rPr>
              <w:t xml:space="preserve">12</w:t>
            </w:r>
            <w:r>
              <w:rPr>
                <w:b/>
                <w:i/>
              </w:rPr>
              <w:t xml:space="preserve">.202</w:t>
            </w:r>
            <w:r>
              <w:rPr>
                <w:b/>
                <w:i/>
              </w:rPr>
              <w:t xml:space="preserve">4</w:t>
            </w:r>
            <w:r>
              <w:rPr>
                <w:b/>
                <w:i/>
              </w:rPr>
            </w:r>
          </w:p>
        </w:tc>
      </w:tr>
    </w:tbl>
    <w:p>
      <w:pPr>
        <w:pStyle w:val="Normal"/>
        <w:rPr>
          <w:bCs/>
          <w:color w:val="000000"/>
        </w:rPr>
      </w:pPr>
      <w:r>
        <w:rPr>
          <w:bCs/>
          <w:color w:val="000000"/>
        </w:rPr>
      </w:r>
    </w:p>
    <w:tbl>
      <w:tblPr>
        <w:tblW w:w="9688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640"/>
        <w:gridCol w:w="6048"/>
      </w:tblGrid>
      <w:tr>
        <w:trPr>
          <w:trHeight w:val="119"/>
        </w:trPr>
        <w:tc>
          <w:tcPr>
            <w:tcW w:w="364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hanging="360"/>
              <w:jc w:val="both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6048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</w:r>
          </w:p>
        </w:tc>
      </w:tr>
      <w:tr>
        <w:trPr>
          <w:trHeight w:val="313"/>
        </w:trPr>
        <w:tc>
          <w:tcPr>
            <w:tcW w:w="9688" w:type="dxa"/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2. Содержание сообщения</w:t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«О погашении облигаций или иных ценных бумаг эмитента, </w:t>
            </w:r>
          </w:p>
          <w:p>
            <w:pPr>
              <w:pStyle w:val="Normal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не являющихся акциями»</w:t>
            </w:r>
          </w:p>
          <w:p>
            <w:pPr>
              <w:pStyle w:val="Normal"/>
              <w:jc w:val="center"/>
            </w:pPr>
          </w:p>
        </w:tc>
      </w:tr>
    </w:tbl>
    <w:p>
      <w:pPr>
        <w:pStyle w:val="Normal"/>
        <w:ind w:left="567" w:hanging="567"/>
        <w:jc w:val="both"/>
        <w:rPr>
          <w:rStyle w:val="UserStyle_1"/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2.1.   </w:t>
      </w:r>
      <w:r>
        <w:rPr>
          <w:bCs/>
        </w:rPr>
        <w:tab/>
      </w:r>
      <w:r>
        <w:rPr>
          <w:bCs/>
          <w:iCs/>
        </w:rPr>
        <w:t xml:space="preserve">И</w:t>
      </w:r>
      <w:r>
        <w:rPr>
          <w:bCs/>
          <w:iCs/>
        </w:rPr>
        <w:t xml:space="preserve">дентификационные признаки ценных бумаг эмитента,</w:t>
      </w:r>
      <w:r>
        <w:rPr>
          <w:bCs/>
          <w:iCs/>
        </w:rPr>
        <w:t xml:space="preserve"> </w:t>
      </w:r>
      <w:r>
        <w:rPr>
          <w:bCs/>
          <w:iCs/>
        </w:rPr>
        <w:t xml:space="preserve">по которым выплачены доходы и (или) осуществлены иные выплаты, причитающиеся их владельцам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:</w:t>
      </w:r>
      <w:r>
        <w:rPr>
          <w:rStyle w:val="UserStyle_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UserStyle_1"/>
          <w:rFonts w:ascii="Times New Roman" w:hAnsi="Times New Roman" w:cs="Times New Roman"/>
          <w:b/>
          <w:bCs/>
          <w:i/>
          <w:iCs/>
          <w:sz w:val="24"/>
          <w:szCs w:val="24"/>
        </w:rPr>
      </w:r>
    </w:p>
    <w:p>
      <w:pPr>
        <w:pStyle w:val="Normal"/>
        <w:ind w:left="567" w:right="-158"/>
        <w:jc w:val="both"/>
        <w:rPr>
          <w:b/>
          <w:i/>
        </w:rPr>
      </w:pPr>
      <w:r>
        <w:t xml:space="preserve">Вид, категория (тип):</w:t>
      </w:r>
      <w:r>
        <w:rPr>
          <w:b/>
          <w:i/>
        </w:rPr>
        <w:t xml:space="preserve"> </w:t>
      </w:r>
      <w:r>
        <w:rPr>
          <w:b/>
          <w:i/>
        </w:rPr>
        <w:t xml:space="preserve">Биржевые облигации</w:t>
      </w:r>
      <w:r>
        <w:rPr>
          <w:b/>
          <w:i/>
        </w:rPr>
        <w:t xml:space="preserve">;</w:t>
      </w:r>
    </w:p>
    <w:p>
      <w:pPr>
        <w:pStyle w:val="Normal"/>
        <w:ind w:left="567" w:right="-158"/>
        <w:jc w:val="both"/>
        <w:rPr>
          <w:b/>
          <w:i/>
        </w:rPr>
      </w:pPr>
      <w:r>
        <w:t xml:space="preserve">Серия:</w:t>
      </w:r>
      <w:r>
        <w:rPr>
          <w:b/>
          <w:i/>
        </w:rPr>
        <w:t xml:space="preserve"> </w:t>
      </w:r>
      <w:r>
        <w:rPr>
          <w:b/>
          <w:i/>
        </w:rPr>
        <w:t xml:space="preserve">БО-</w:t>
      </w:r>
      <w:r>
        <w:rPr>
          <w:b/>
          <w:i/>
        </w:rPr>
        <w:t xml:space="preserve">11</w:t>
      </w:r>
      <w:r>
        <w:rPr>
          <w:b/>
          <w:i/>
        </w:rPr>
        <w:t xml:space="preserve">-002Р</w:t>
      </w:r>
      <w:r>
        <w:rPr>
          <w:b/>
          <w:i/>
        </w:rPr>
        <w:t xml:space="preserve">;</w:t>
      </w:r>
      <w:r>
        <w:rPr>
          <w:b/>
          <w:i/>
        </w:rPr>
      </w:r>
    </w:p>
    <w:p>
      <w:pPr>
        <w:pStyle w:val="Normal"/>
        <w:ind w:left="567"/>
        <w:jc w:val="both"/>
        <w:rPr>
          <w:rStyle w:val="UserStyle_1"/>
          <w:rFonts w:ascii="Times New Roman" w:hAnsi="Times New Roman" w:cs="Times New Roman"/>
          <w:bCs/>
          <w:sz w:val="24"/>
          <w:szCs w:val="24"/>
        </w:rPr>
      </w:pPr>
      <w:r>
        <w:rPr>
          <w:rStyle w:val="UserStyle_1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Регистрационный номер выпуска (дополнительного выпуска) ценных бумаг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 (программы облигаций)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 и дата его 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(ее) 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регистрации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(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идентификационный номер выпуска 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(дополнительного выпуска) ценных бумаг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 и дата его присвоения)</w:t>
      </w: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:</w:t>
      </w:r>
    </w:p>
    <w:p>
      <w:pPr>
        <w:pStyle w:val="Normal"/>
        <w:ind w:left="567" w:hanging="567"/>
        <w:jc w:val="both"/>
        <w:rPr>
          <w:b/>
          <w:bCs/>
          <w:i/>
          <w:snapToGrid w:val="0"/>
          <w:color w:val="000000"/>
        </w:rPr>
      </w:pPr>
      <w:r>
        <w:rPr>
          <w:rStyle w:val="UserStyle_1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UserStyle_1"/>
          <w:rFonts w:ascii="Times New Roman" w:hAnsi="Times New Roman" w:cs="Times New Roman"/>
          <w:b/>
          <w:bCs/>
          <w:i/>
          <w:sz w:val="24"/>
          <w:szCs w:val="24"/>
        </w:rPr>
        <w:t xml:space="preserve">Идентификационный номер выпуска ценных бумаг эмитента</w:t>
      </w:r>
      <w:r>
        <w:rPr>
          <w:b/>
          <w:bCs/>
          <w:i/>
          <w:snapToGrid w:val="0"/>
          <w:color w:val="000000"/>
        </w:rPr>
        <w:t xml:space="preserve">: </w:t>
      </w:r>
    </w:p>
    <w:p>
      <w:pPr>
        <w:pStyle w:val="Normal"/>
        <w:ind w:left="567" w:hanging="565"/>
        <w:jc w:val="both"/>
        <w:rPr>
          <w:b/>
          <w:i/>
          <w:snapToGrid w:val="0"/>
        </w:rPr>
      </w:pPr>
      <w:r>
        <w:rPr>
          <w:rStyle w:val="UserStyle_1"/>
          <w:rFonts w:ascii="Times New Roman" w:hAnsi="Times New Roman" w:cs="Times New Roman"/>
          <w:b/>
          <w:bCs/>
          <w:i/>
          <w:sz w:val="24"/>
          <w:szCs w:val="24"/>
        </w:rPr>
        <w:t xml:space="preserve">         </w:t>
      </w:r>
      <w:r>
        <w:rPr>
          <w:b/>
          <w:i/>
          <w:snapToGrid w:val="0"/>
        </w:rPr>
        <w:t xml:space="preserve">4B02-17-03349-B-002P</w:t>
      </w:r>
      <w:r>
        <w:rPr>
          <w:b/>
          <w:i/>
        </w:rPr>
        <w:t xml:space="preserve">.</w:t>
      </w:r>
      <w:r>
        <w:rPr>
          <w:b/>
          <w:i/>
          <w:snapToGrid w:val="0"/>
        </w:rPr>
      </w:r>
    </w:p>
    <w:p>
      <w:pPr>
        <w:pStyle w:val="Normal"/>
        <w:ind w:left="567"/>
        <w:jc w:val="both"/>
        <w:rPr>
          <w:b/>
          <w:i/>
          <w:color w:val="000000"/>
        </w:rPr>
      </w:pPr>
      <w:r>
        <w:rPr>
          <w:b/>
          <w:bCs/>
          <w:i/>
          <w:snapToGrid w:val="0"/>
          <w:color w:val="000000"/>
        </w:rPr>
        <w:t xml:space="preserve">Дата его присвоения</w:t>
      </w:r>
      <w:r>
        <w:rPr>
          <w:rStyle w:val="Strong"/>
          <w:i/>
          <w:color w:val="000000"/>
        </w:rPr>
        <w:t xml:space="preserve">:</w:t>
      </w:r>
      <w:r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 xml:space="preserve">14</w:t>
      </w:r>
      <w:r>
        <w:rPr>
          <w:b/>
          <w:i/>
        </w:rPr>
        <w:t xml:space="preserve">.12.2020.</w:t>
      </w:r>
      <w:r>
        <w:rPr>
          <w:b/>
          <w:i/>
          <w:color w:val="000000"/>
        </w:rPr>
      </w:r>
    </w:p>
    <w:p>
      <w:pPr>
        <w:pStyle w:val="Normal"/>
        <w:ind w:left="567"/>
        <w:jc w:val="both"/>
        <w:rPr>
          <w:b/>
          <w:i/>
        </w:rPr>
      </w:pPr>
      <w:r>
        <w:rPr>
          <w:rStyle w:val="UserStyle_1"/>
          <w:rFonts w:ascii="Times New Roman" w:hAnsi="Times New Roman" w:cs="Times New Roman"/>
          <w:bCs/>
          <w:sz w:val="24"/>
          <w:szCs w:val="24"/>
        </w:rPr>
        <w:tab/>
      </w:r>
      <w:r>
        <w:rPr>
          <w:rStyle w:val="UserStyle_1"/>
          <w:rFonts w:ascii="Times New Roman" w:hAnsi="Times New Roman" w:cs="Times New Roman"/>
          <w:sz w:val="24"/>
          <w:szCs w:val="24"/>
        </w:rPr>
        <w:t xml:space="preserve">Международный код (номер) идентификации ценных бумаг (</w:t>
      </w:r>
      <w:r>
        <w:rPr>
          <w:rStyle w:val="UserStyle_1"/>
          <w:rFonts w:ascii="Times New Roman" w:hAnsi="Times New Roman" w:cs="Times New Roman"/>
          <w:sz w:val="24"/>
          <w:szCs w:val="24"/>
          <w:lang w:val="en-US"/>
        </w:rPr>
        <w:t xml:space="preserve">ISIN</w:t>
      </w:r>
      <w:r>
        <w:rPr>
          <w:rStyle w:val="UserStyle_1"/>
          <w:rFonts w:ascii="Times New Roman" w:hAnsi="Times New Roman" w:cs="Times New Roman"/>
          <w:sz w:val="24"/>
          <w:szCs w:val="24"/>
        </w:rPr>
        <w:t xml:space="preserve">): </w:t>
      </w:r>
      <w:r>
        <w:rPr>
          <w:rStyle w:val="UserStyle_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RU</w:t>
      </w:r>
      <w:r>
        <w:rPr>
          <w:rStyle w:val="UserStyle_1"/>
          <w:rFonts w:ascii="Times New Roman" w:hAnsi="Times New Roman" w:cs="Times New Roman"/>
          <w:b/>
          <w:i/>
          <w:sz w:val="24"/>
          <w:szCs w:val="24"/>
        </w:rPr>
        <w:t xml:space="preserve">000</w:t>
      </w:r>
      <w:r>
        <w:rPr>
          <w:rStyle w:val="UserStyle_1"/>
          <w:rFonts w:ascii="Times New Roman" w:hAnsi="Times New Roman" w:cs="Times New Roman"/>
          <w:b/>
          <w:i/>
          <w:sz w:val="24"/>
          <w:szCs w:val="24"/>
          <w:lang w:val="en-US"/>
        </w:rPr>
        <w:t xml:space="preserve">A</w:t>
      </w:r>
      <w:r>
        <w:rPr>
          <w:rStyle w:val="UserStyle_1"/>
          <w:rFonts w:ascii="Times New Roman" w:hAnsi="Times New Roman" w:cs="Times New Roman"/>
          <w:b/>
          <w:i/>
          <w:sz w:val="24"/>
          <w:szCs w:val="24"/>
        </w:rPr>
        <w:t xml:space="preserve">104925</w:t>
      </w:r>
      <w:r>
        <w:rPr>
          <w:rStyle w:val="UserStyle_1"/>
          <w:rFonts w:ascii="Times New Roman" w:hAnsi="Times New Roman" w:cs="Times New Roman"/>
          <w:b/>
          <w:i/>
          <w:sz w:val="24"/>
          <w:szCs w:val="24"/>
        </w:rPr>
        <w:t xml:space="preserve">.</w:t>
      </w:r>
      <w:r>
        <w:rPr>
          <w:b/>
          <w:i/>
        </w:rPr>
      </w:r>
    </w:p>
    <w:p>
      <w:pPr>
        <w:pStyle w:val="Normal"/>
        <w:jc w:val="both"/>
        <w:rPr>
          <w:b/>
          <w:i/>
        </w:rPr>
      </w:pPr>
      <w:r>
        <w:rPr>
          <w:rStyle w:val="UserStyle_1"/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Style w:val="UserStyle_1"/>
          <w:rFonts w:ascii="Times New Roman" w:hAnsi="Times New Roman" w:cs="Times New Roman"/>
          <w:sz w:val="24"/>
          <w:szCs w:val="24"/>
        </w:rPr>
        <w:t xml:space="preserve">Международный код</w:t>
      </w:r>
      <w:r>
        <w:rPr>
          <w:rStyle w:val="UserStyle_1"/>
          <w:rFonts w:ascii="Times New Roman" w:hAnsi="Times New Roman" w:cs="Times New Roman"/>
          <w:sz w:val="24"/>
          <w:szCs w:val="24"/>
        </w:rPr>
        <w:t xml:space="preserve"> классификации финансовых инструментов </w:t>
      </w:r>
      <w:r>
        <w:rPr>
          <w:rStyle w:val="UserStyle_1"/>
          <w:rFonts w:ascii="Times New Roman" w:hAnsi="Times New Roman" w:cs="Times New Roman"/>
          <w:sz w:val="24"/>
          <w:szCs w:val="24"/>
        </w:rPr>
        <w:t xml:space="preserve">(</w:t>
      </w:r>
      <w:r>
        <w:rPr>
          <w:rStyle w:val="UserStyle_1"/>
          <w:rFonts w:ascii="Times New Roman" w:hAnsi="Times New Roman" w:cs="Times New Roman"/>
          <w:sz w:val="24"/>
          <w:szCs w:val="24"/>
          <w:lang w:val="en-US"/>
        </w:rPr>
        <w:t xml:space="preserve">CFI</w:t>
      </w:r>
      <w:r>
        <w:rPr>
          <w:b/>
        </w:rPr>
        <w:t xml:space="preserve">)</w:t>
      </w:r>
      <w:r>
        <w:t xml:space="preserve">:</w:t>
      </w:r>
      <w:r>
        <w:rPr>
          <w:b/>
          <w:i/>
        </w:rPr>
        <w:t xml:space="preserve"> </w:t>
      </w:r>
      <w:r>
        <w:rPr>
          <w:b/>
          <w:i/>
        </w:rPr>
        <w:t xml:space="preserve">DBVUFB</w:t>
      </w:r>
      <w:r>
        <w:rPr>
          <w:b/>
          <w:i/>
        </w:rPr>
        <w:t xml:space="preserve">.</w:t>
      </w:r>
      <w:r>
        <w:rPr>
          <w:b/>
          <w:i/>
        </w:rPr>
      </w:r>
    </w:p>
    <w:p>
      <w:pPr>
        <w:pStyle w:val="Normal"/>
        <w:ind w:left="567" w:right="-158"/>
        <w:jc w:val="both"/>
        <w:rPr>
          <w:b/>
          <w:i/>
        </w:rPr>
      </w:pPr>
      <w:r>
        <w:t xml:space="preserve">Иные идентификационные признаки ценных бумаг, указанные в решении о выпуске ценных бумаг:</w:t>
      </w:r>
      <w:r>
        <w:rPr>
          <w:b/>
          <w:i/>
        </w:rPr>
        <w:t xml:space="preserve"> </w:t>
      </w:r>
      <w:r>
        <w:rPr>
          <w:b/>
          <w:i/>
        </w:rPr>
        <w:t xml:space="preserve">биржевые облигации процентные неконвертируемые бездокументарные с централизованным учетом прав, номинальной стоимостью 1 000 (Одна тысяча) российских рублей каждая, со сроком погашения в </w:t>
      </w:r>
      <w:r>
        <w:rPr>
          <w:b/>
          <w:i/>
        </w:rPr>
        <w:t xml:space="preserve">1092</w:t>
      </w:r>
      <w:r>
        <w:rPr>
          <w:b/>
          <w:i/>
        </w:rPr>
        <w:t xml:space="preserve">-й день с даты начала размещения, размещаемые в рамках Программы биржевых облигаций серии 002Р путем открытой подписки, серии </w:t>
      </w:r>
      <w:r>
        <w:rPr>
          <w:b/>
          <w:i/>
        </w:rPr>
        <w:t xml:space="preserve">      </w:t>
      </w:r>
      <w:r>
        <w:rPr>
          <w:b/>
          <w:i/>
        </w:rPr>
        <w:t xml:space="preserve">БО-</w:t>
      </w:r>
      <w:r>
        <w:rPr>
          <w:b/>
          <w:i/>
        </w:rPr>
        <w:t xml:space="preserve">11</w:t>
      </w:r>
      <w:r>
        <w:rPr>
          <w:b/>
          <w:i/>
        </w:rPr>
        <w:t xml:space="preserve">-002Р (далее – «Биржевые облигации серии БО-</w:t>
      </w:r>
      <w:r>
        <w:rPr>
          <w:b/>
          <w:i/>
        </w:rPr>
        <w:t xml:space="preserve">11</w:t>
      </w:r>
      <w:r>
        <w:rPr>
          <w:b/>
          <w:i/>
        </w:rPr>
        <w:t xml:space="preserve">-002Р»).</w:t>
      </w:r>
      <w:r>
        <w:rPr>
          <w:b/>
          <w:i/>
        </w:rPr>
      </w:r>
    </w:p>
    <w:p>
      <w:pPr>
        <w:pStyle w:val="Normal"/>
        <w:jc w:val="both"/>
        <w:rPr>
          <w:bCs/>
        </w:rPr>
      </w:pPr>
      <w:r>
        <w:rPr>
          <w:bCs/>
        </w:rPr>
      </w:r>
    </w:p>
    <w:p>
      <w:pPr>
        <w:pStyle w:val="Normal"/>
        <w:jc w:val="both"/>
        <w:rPr>
          <w:bCs/>
        </w:rPr>
      </w:pPr>
      <w:r>
        <w:rPr>
          <w:bCs/>
        </w:rPr>
        <w:t xml:space="preserve">2</w:t>
      </w:r>
      <w:r>
        <w:rPr>
          <w:bCs/>
        </w:rPr>
        <w:t xml:space="preserve">.2. </w:t>
      </w:r>
      <w:r>
        <w:rPr>
          <w:bCs/>
        </w:rPr>
        <w:t xml:space="preserve">Количество облигаций эмитента, которые были погашены: </w:t>
      </w:r>
      <w:r>
        <w:rPr>
          <w:bCs/>
        </w:rPr>
      </w:r>
    </w:p>
    <w:p>
      <w:pPr>
        <w:pStyle w:val="Normal"/>
        <w:ind w:left="709" w:hanging="142"/>
        <w:jc w:val="both"/>
      </w:pPr>
      <w:r>
        <w:rPr>
          <w:bCs/>
        </w:rPr>
        <w:t xml:space="preserve">10</w:t>
      </w:r>
      <w:r>
        <w:rPr>
          <w:bCs/>
        </w:rPr>
        <w:t xml:space="preserve"> 000 000 (</w:t>
      </w:r>
      <w:r>
        <w:rPr>
          <w:bCs/>
        </w:rPr>
        <w:t xml:space="preserve">Десять миллионов) </w:t>
      </w:r>
      <w:r>
        <w:rPr>
          <w:bCs/>
        </w:rPr>
        <w:t xml:space="preserve">штук.</w:t>
      </w:r>
    </w:p>
    <w:p>
      <w:pPr>
        <w:pStyle w:val="Normal"/>
        <w:ind w:left="567" w:hanging="567"/>
        <w:jc w:val="both"/>
        <w:rPr>
          <w:bCs/>
        </w:rPr>
      </w:pPr>
      <w:r>
        <w:t xml:space="preserve">2.3.  </w:t>
        <w:tab/>
      </w:r>
      <w:r>
        <w:rPr>
          <w:bCs/>
        </w:rPr>
        <w:t xml:space="preserve">Основание для погашения облигаций или иных ценных бумаг эмитента: окончание (истечение) срока обращения Облигаций серии БО-11-002Р в соответствии с Решением о выпуске ценных бумаг от </w:t>
      </w:r>
      <w:r>
        <w:rPr>
          <w:bCs/>
        </w:rPr>
        <w:t xml:space="preserve">14</w:t>
      </w:r>
      <w:r>
        <w:rPr>
          <w:bCs/>
        </w:rPr>
        <w:t xml:space="preserve">.</w:t>
      </w:r>
      <w:r>
        <w:rPr>
          <w:bCs/>
        </w:rPr>
        <w:t xml:space="preserve">12</w:t>
      </w:r>
      <w:r>
        <w:rPr>
          <w:bCs/>
        </w:rPr>
        <w:t xml:space="preserve">.20</w:t>
      </w:r>
      <w:r>
        <w:rPr>
          <w:bCs/>
        </w:rPr>
        <w:t xml:space="preserve">20</w:t>
      </w:r>
      <w:r>
        <w:rPr>
          <w:bCs/>
        </w:rPr>
        <w:t xml:space="preserve">.</w:t>
      </w:r>
    </w:p>
    <w:p>
      <w:pPr>
        <w:pStyle w:val="Normal"/>
        <w:ind w:left="567" w:hanging="567"/>
        <w:jc w:val="both"/>
        <w:rPr>
          <w:bCs/>
        </w:rPr>
      </w:pPr>
      <w:r>
        <w:rPr>
          <w:bCs/>
        </w:rPr>
        <w:t xml:space="preserve">2.4. </w:t>
        <w:tab/>
        <w:t xml:space="preserve">Дата погашения облигаций или иных ценных бумаг эмитента (дата внесения по эмиссионному счету в реестре владельцев ценных бумаг (эмиссионному счету депо) эмитента записи о погашении (списании погашаемых) облигаций или иных ценных бумаг эмитента): </w:t>
      </w:r>
      <w:r>
        <w:rPr>
          <w:bCs/>
        </w:rPr>
        <w:t xml:space="preserve">12</w:t>
      </w:r>
      <w:r>
        <w:rPr>
          <w:bCs/>
        </w:rPr>
        <w:t xml:space="preserve">.</w:t>
      </w:r>
      <w:r>
        <w:rPr>
          <w:bCs/>
        </w:rPr>
        <w:t xml:space="preserve">12</w:t>
      </w:r>
      <w:r>
        <w:rPr>
          <w:bCs/>
        </w:rPr>
        <w:t xml:space="preserve">.2024. </w:t>
      </w:r>
    </w:p>
    <w:p>
      <w:pPr>
        <w:pStyle w:val="Normal"/>
        <w:ind w:left="567" w:right="57" w:hanging="567"/>
        <w:jc w:val="both"/>
        <w:rPr>
          <w:bCs/>
        </w:rPr>
      </w:pPr>
      <w:r>
        <w:rPr>
          <w:bCs/>
        </w:rPr>
      </w:r>
    </w:p>
    <w:tbl>
      <w:tblPr>
        <w:tblW w:w="10490" w:type="dxa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0490"/>
      </w:tblGrid>
      <w:tr>
        <w:trPr>
          <w:trHeight w:val="251"/>
        </w:trPr>
        <w:tc>
          <w:tcPr>
            <w:tcW w:w="104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3. Подпись</w:t>
            </w:r>
          </w:p>
          <w:p>
            <w:pPr>
              <w:pStyle w:val="Normal"/>
              <w:jc w:val="center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trHeight w:val="1371"/>
        </w:trPr>
        <w:tc>
          <w:tcPr>
            <w:tcW w:w="10490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567" w:right="57" w:hanging="567"/>
              <w:jc w:val="both"/>
              <w:rPr>
                <w:bCs/>
              </w:rPr>
            </w:pPr>
            <w:r>
              <w:rPr>
                <w:color w:val="000000"/>
              </w:rPr>
              <w:t xml:space="preserve">3.</w:t>
            </w:r>
            <w:r>
              <w:rPr>
                <w:bCs/>
              </w:rPr>
              <w:t xml:space="preserve">1.   </w:t>
            </w:r>
            <w:r>
              <w:rPr>
                <w:bCs/>
              </w:rPr>
              <w:t xml:space="preserve">Корпоративный секретарь </w:t>
            </w:r>
          </w:p>
          <w:p>
            <w:pPr>
              <w:pStyle w:val="Normal"/>
              <w:ind w:left="567" w:right="57" w:hanging="567"/>
              <w:jc w:val="both"/>
              <w:rPr>
                <w:bCs/>
              </w:rPr>
            </w:pPr>
            <w:r>
              <w:rPr>
                <w:bCs/>
              </w:rPr>
              <w:t xml:space="preserve">         АО «Россельхозбанк»                                                                   </w:t>
            </w:r>
            <w:r>
              <w:rPr>
                <w:bCs/>
              </w:rPr>
              <w:t xml:space="preserve">                             </w:t>
            </w:r>
            <w:r>
              <w:rPr>
                <w:bCs/>
              </w:rPr>
              <w:t xml:space="preserve">Р.А. Ларионов</w:t>
            </w:r>
          </w:p>
          <w:p>
            <w:pPr>
              <w:pStyle w:val="Normal"/>
              <w:ind w:left="142" w:right="-144" w:hanging="568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>
              <w:rPr>
                <w:color w:val="000000"/>
              </w:rPr>
              <w:t xml:space="preserve">(на основании доверенности от 14.06.2023 № 568)</w:t>
            </w:r>
            <w:r>
              <w:rPr>
                <w:color w:val="000000"/>
              </w:rPr>
              <w:t xml:space="preserve"> </w:t>
            </w:r>
          </w:p>
          <w:p>
            <w:pPr>
              <w:pStyle w:val="Normal"/>
              <w:tabs>
                <w:tab w:val="left" w:pos="885" w:leader="none"/>
                <w:tab w:val="left" w:pos="1125" w:leader="none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>
            <w:pPr>
              <w:pStyle w:val="Normal"/>
              <w:ind w:left="-108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                 </w:t>
            </w:r>
          </w:p>
          <w:p>
            <w:pPr>
              <w:pStyle w:val="Normal"/>
              <w:ind w:left="567" w:right="57" w:hanging="567"/>
              <w:jc w:val="both"/>
              <w:rPr>
                <w:color w:val="000000"/>
              </w:rPr>
            </w:pPr>
            <w:r>
              <w:rPr>
                <w:bCs/>
              </w:rPr>
              <w:t xml:space="preserve">3.2.   Дата: </w:t>
            </w:r>
            <w:r>
              <w:rPr>
                <w:bCs/>
              </w:rPr>
              <w:t xml:space="preserve">12</w:t>
            </w:r>
            <w:r>
              <w:rPr>
                <w:bCs/>
              </w:rPr>
              <w:t xml:space="preserve">.</w:t>
            </w:r>
            <w:r>
              <w:rPr>
                <w:bCs/>
              </w:rPr>
              <w:t xml:space="preserve">12</w:t>
            </w:r>
            <w:r>
              <w:rPr>
                <w:bCs/>
              </w:rPr>
              <w:t xml:space="preserve">.202</w:t>
            </w:r>
            <w:r>
              <w:rPr>
                <w:bCs/>
              </w:rPr>
              <w:t xml:space="preserve">4</w:t>
            </w:r>
            <w:r>
              <w:rPr>
                <w:color w:val="000000"/>
              </w:rPr>
            </w:r>
          </w:p>
        </w:tc>
      </w:tr>
    </w:tbl>
    <w:sectPr>
      <w:headerReference w:type="even" r:id="rId7"/>
      <w:headerReference w:type="default" r:id="rId8"/>
      <w:headerReference w:type="first" r:id="rId9"/>
      <w:footerReference w:type="first" r:id="rId10"/>
      <w:type w:val="nextPage"/>
      <w:pgSz w:w="11906" w:h="16838"/>
      <w:pgMar w:top="720" w:right="720" w:bottom="720" w:left="720" w:header="709" w:footer="709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Footer"/>
      <w:rPr>
        <w:lang w:val="en-US"/>
      </w:rPr>
    </w:pPr>
    <w:r>
      <w:rPr>
        <w:lang w:val="en-US"/>
      </w:rPr>
    </w:r>
  </w:p>
  <w:p>
    <w:pPr>
      <w:pStyle w:val="Footer"/>
      <w:rPr>
        <w:lang w:val="en-US"/>
      </w:rPr>
    </w:pPr>
    <w:r>
      <w:rPr>
        <w:lang w:val="en-US"/>
      </w:rPr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1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 xml:space="preserve">2</w:t>
    </w:r>
    <w:r>
      <w:rPr>
        <w:rStyle w:val="PageNumber"/>
      </w:rPr>
      <w:fldChar w:fldCharType="end"/>
    </w:r>
    <w:r>
      <w:rPr>
        <w:rStyle w:val="PageNumber"/>
      </w:rPr>
    </w:r>
  </w:p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Header"/>
      <w:ind w:left="-142" w:firstLine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1.%1. 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"/>
      <w:lvlJc w:val="left"/>
      <w:pPr>
        <w:pStyle w:val="Normal"/>
        <w:tabs>
          <w:tab w:val="num" w:pos="540" w:leader="none"/>
        </w:tabs>
        <w:ind w:left="540" w:hanging="360"/>
      </w:pPr>
      <w:rPr>
        <w:rFonts w:ascii="Symbol" w:hAnsi="Symbol"/>
      </w:rPr>
    </w:lvl>
    <w:lvl w:ilvl="1">
      <w:start w:val="1"/>
      <w:numFmt w:val="bullet"/>
      <w:suff w:val="tab"/>
      <w:lvlText w:val=""/>
      <w:lvlJc w:val="left"/>
      <w:pPr>
        <w:pStyle w:val="Normal"/>
        <w:tabs>
          <w:tab w:val="num" w:pos="1260" w:leader="none"/>
        </w:tabs>
        <w:ind w:left="1260" w:hanging="360"/>
      </w:pPr>
      <w:rPr>
        <w:rFonts w:ascii="Symbol" w:hAnsi="Symbol"/>
      </w:r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980" w:leader="none"/>
        </w:tabs>
        <w:ind w:left="198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700" w:leader="none"/>
        </w:tabs>
        <w:ind w:left="270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420" w:leader="none"/>
        </w:tabs>
        <w:ind w:left="342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140" w:leader="none"/>
        </w:tabs>
        <w:ind w:left="414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860" w:leader="none"/>
        </w:tabs>
        <w:ind w:left="486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580" w:leader="none"/>
        </w:tabs>
        <w:ind w:left="558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300" w:leader="none"/>
        </w:tabs>
        <w:ind w:left="630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characterSpacingControl w:val="doNotCompress"/>
  <w:footnotePr/>
  <w:compat>
    <w:spaceForUL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sz w:val="24"/>
      <w:szCs w:val="24"/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Heading2">
    <w:name w:val="Заголовок 2"/>
    <w:basedOn w:val="Normal"/>
    <w:next w:val="Normal"/>
    <w:link w:val="Normal"/>
    <w:qFormat/>
    <w:pPr>
      <w:keepNext/>
      <w:ind w:left="-180"/>
      <w:jc w:val="center"/>
      <w:outlineLvl w:val="1"/>
    </w:pPr>
    <w:rPr>
      <w:rFonts w:eastAsia="Arial Unicode MS"/>
      <w:b/>
      <w:bCs/>
      <w:sz w:val="22"/>
      <w:szCs w:val="20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HtmlNormal">
    <w:name w:val="Обычный (веб)"/>
    <w:basedOn w:val="Normal"/>
    <w:next w:val="HtmlNormal"/>
    <w:link w:val="Normal"/>
    <w:pPr>
      <w:spacing w:before="100" w:beforeAutospacing="1" w:after="100" w:afterAutospacing="1"/>
    </w:pPr>
    <w:rPr>
      <w:rFonts w:ascii="Arial Unicode MS" w:hAnsi="Arial Unicode MS" w:eastAsia="Arial Unicode MS" w:cs="Arial Unicode MS"/>
    </w:rPr>
  </w:style>
  <w:style w:type="paragraph" w:styleId="Title">
    <w:name w:val="Название"/>
    <w:basedOn w:val="Normal"/>
    <w:next w:val="Title"/>
    <w:link w:val="UserStyle_0"/>
    <w:qFormat/>
    <w:pPr>
      <w:tabs>
        <w:tab w:val="left" w:pos="540" w:leader="none"/>
      </w:tabs>
      <w:ind w:left="-360"/>
      <w:jc w:val="center"/>
    </w:pPr>
    <w:rPr>
      <w:b/>
      <w:bCs/>
      <w:sz w:val="20"/>
      <w:szCs w:val="20"/>
      <w:lang w:val="en-US" w:eastAsia="en-US"/>
    </w:rPr>
  </w:style>
  <w:style w:type="character" w:styleId="UserStyle_1">
    <w:name w:val="normaltext1"/>
    <w:next w:val="UserStyle_1"/>
    <w:link w:val="Normal"/>
    <w:rPr>
      <w:rFonts w:ascii="Tahoma" w:hAnsi="Tahoma" w:cs="Tahoma"/>
      <w:sz w:val="16"/>
      <w:szCs w:val="16"/>
    </w:rPr>
  </w:style>
  <w:style w:type="character" w:styleId="Hyperlink">
    <w:name w:val="Гиперссылка"/>
    <w:next w:val="Hyperlink"/>
    <w:link w:val="Normal"/>
    <w:rPr>
      <w:color w:val="0000ff"/>
      <w:u w:val="single"/>
    </w:rPr>
  </w:style>
  <w:style w:type="paragraph" w:styleId="UserStyle_2">
    <w:name w:val="Normal Prefix"/>
    <w:next w:val="UserStyle_2"/>
    <w:link w:val="Normal"/>
    <w:pPr>
      <w:widowControl w:val="off"/>
      <w:spacing w:before="200" w:after="40"/>
    </w:pPr>
    <w:rPr>
      <w:sz w:val="22"/>
      <w:szCs w:val="22"/>
      <w:lang w:val="ru-RU" w:eastAsia="ru-RU" w:bidi="ar-SA"/>
    </w:rPr>
  </w:style>
  <w:style w:type="paragraph" w:styleId="BodyText">
    <w:name w:val="Основной текст"/>
    <w:basedOn w:val="Normal"/>
    <w:next w:val="BodyText"/>
    <w:link w:val="UserStyle_3"/>
    <w:rPr>
      <w:color w:val="000000"/>
      <w:sz w:val="22"/>
      <w:szCs w:val="18"/>
    </w:rPr>
  </w:style>
  <w:style w:type="paragraph" w:styleId="Header">
    <w:name w:val="Верхний колонтитул"/>
    <w:basedOn w:val="Normal"/>
    <w:next w:val="Header"/>
    <w:link w:val="Normal"/>
    <w:pPr>
      <w:tabs>
        <w:tab w:val="center" w:pos="4677" w:leader="none"/>
        <w:tab w:val="right" w:pos="9355" w:leader="none"/>
      </w:tabs>
    </w:pPr>
  </w:style>
  <w:style w:type="character" w:styleId="PageNumber">
    <w:name w:val="Номер страницы"/>
    <w:basedOn w:val="NormalCharacter"/>
    <w:next w:val="PageNumber"/>
    <w:link w:val="Normal"/>
  </w:style>
  <w:style w:type="paragraph" w:styleId="BodyTextIndent">
    <w:name w:val="Основной текст с отступом"/>
    <w:basedOn w:val="Normal"/>
    <w:next w:val="BodyTextIndent"/>
    <w:link w:val="UserStyle_4"/>
    <w:pPr>
      <w:jc w:val="both"/>
    </w:pPr>
    <w:rPr>
      <w:sz w:val="22"/>
      <w:szCs w:val="22"/>
    </w:rPr>
  </w:style>
  <w:style w:type="paragraph" w:styleId="UserStyle_5">
    <w:name w:val="Таблицы (моноширинный)"/>
    <w:basedOn w:val="Normal"/>
    <w:next w:val="Normal"/>
    <w:link w:val="Normal"/>
    <w:pPr>
      <w:jc w:val="both"/>
    </w:pPr>
    <w:rPr>
      <w:rFonts w:ascii="Courier New" w:hAnsi="Courier New" w:cs="Courier New"/>
      <w:sz w:val="20"/>
      <w:szCs w:val="20"/>
    </w:rPr>
  </w:style>
  <w:style w:type="paragraph" w:styleId="BodyText2">
    <w:name w:val="Основной текст 2"/>
    <w:basedOn w:val="Normal"/>
    <w:next w:val="BodyText2"/>
    <w:link w:val="Normal"/>
    <w:pPr>
      <w:jc w:val="both"/>
    </w:pPr>
    <w:rPr>
      <w:b/>
      <w:bCs/>
      <w:sz w:val="22"/>
    </w:rPr>
  </w:style>
  <w:style w:type="paragraph" w:styleId="BodyTextIndent2">
    <w:name w:val="Основной текст с отступом 2"/>
    <w:basedOn w:val="Normal"/>
    <w:next w:val="BodyTextIndent2"/>
    <w:link w:val="Normal"/>
    <w:pPr>
      <w:ind w:firstLine="720"/>
      <w:jc w:val="both"/>
    </w:pPr>
    <w:rPr>
      <w:sz w:val="22"/>
    </w:rPr>
  </w:style>
  <w:style w:type="paragraph" w:styleId="BodyText3">
    <w:name w:val="Основной текст 3"/>
    <w:basedOn w:val="Normal"/>
    <w:next w:val="BodyText3"/>
    <w:link w:val="Normal"/>
    <w:pPr>
      <w:jc w:val="both"/>
    </w:pPr>
    <w:rPr>
      <w:sz w:val="22"/>
      <w:szCs w:val="16"/>
    </w:rPr>
  </w:style>
  <w:style w:type="paragraph" w:styleId="Acetate">
    <w:name w:val="Текст выноски"/>
    <w:basedOn w:val="Normal"/>
    <w:next w:val="Acetate"/>
    <w:link w:val="Normal"/>
    <w:semiHidden/>
    <w:rPr>
      <w:rFonts w:ascii="Tahoma" w:hAnsi="Tahoma" w:cs="Tahoma"/>
      <w:sz w:val="16"/>
      <w:szCs w:val="16"/>
    </w:rPr>
  </w:style>
  <w:style w:type="paragraph" w:styleId="UserStyle_6">
    <w:name w:val="ConsPlusNonformat"/>
    <w:next w:val="UserStyle_6"/>
    <w:link w:val="Normal"/>
    <w:rPr>
      <w:rFonts w:ascii="Courier New" w:hAnsi="Courier New" w:cs="Courier New"/>
      <w:lang w:val="ru-RU" w:eastAsia="ru-RU" w:bidi="ar-SA"/>
    </w:rPr>
  </w:style>
  <w:style w:type="character" w:styleId="UserStyle_7">
    <w:name w:val="__SUBST"/>
    <w:next w:val="UserStyle_7"/>
    <w:link w:val="Normal"/>
    <w:rPr>
      <w:b/>
      <w:bCs/>
      <w:i/>
      <w:iCs/>
      <w:sz w:val="22"/>
      <w:szCs w:val="22"/>
    </w:rPr>
  </w:style>
  <w:style w:type="character" w:styleId="UserStyle_0">
    <w:name w:val="Название Знак"/>
    <w:next w:val="UserStyle_0"/>
    <w:link w:val="Title"/>
    <w:rPr>
      <w:b/>
      <w:bCs/>
    </w:rPr>
  </w:style>
  <w:style w:type="paragraph" w:styleId="UserStyle_8">
    <w:name w:val="Default"/>
    <w:next w:val="UserStyle_8"/>
    <w:link w:val="Normal"/>
    <w:rPr>
      <w:color w:val="000000"/>
      <w:sz w:val="24"/>
      <w:szCs w:val="24"/>
      <w:lang w:val="ru-RU" w:eastAsia="ru-RU" w:bidi="ar-SA"/>
    </w:rPr>
  </w:style>
  <w:style w:type="paragraph" w:styleId="Footer">
    <w:name w:val="Нижний колонтитул"/>
    <w:basedOn w:val="Normal"/>
    <w:next w:val="Footer"/>
    <w:link w:val="UserStyle_9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UserStyle_9">
    <w:name w:val="Нижний колонтитул Знак"/>
    <w:next w:val="UserStyle_9"/>
    <w:link w:val="Footer"/>
    <w:uiPriority w:val="99"/>
    <w:rPr>
      <w:sz w:val="24"/>
      <w:szCs w:val="24"/>
    </w:rPr>
  </w:style>
  <w:style w:type="character" w:styleId="Strong">
    <w:name w:val="Строгий"/>
    <w:next w:val="Strong"/>
    <w:link w:val="Normal"/>
    <w:qFormat/>
    <w:rPr>
      <w:rFonts w:cs="Times New Roman"/>
      <w:b/>
      <w:bCs/>
    </w:rPr>
  </w:style>
  <w:style w:type="table" w:styleId="TableGrid">
    <w:name w:val="Сетка таблицы"/>
    <w:basedOn w:val="TableNormal"/>
    <w:next w:val="TableGrid"/>
    <w:link w:val="Normal"/>
  </w:style>
  <w:style w:type="character" w:styleId="AnnotationReference">
    <w:name w:val="Знак примечания"/>
    <w:next w:val="AnnotationReference"/>
    <w:link w:val="Normal"/>
    <w:rPr>
      <w:sz w:val="16"/>
      <w:szCs w:val="16"/>
    </w:rPr>
  </w:style>
  <w:style w:type="paragraph" w:styleId="AnnotationText">
    <w:name w:val="Текст примечания"/>
    <w:basedOn w:val="Normal"/>
    <w:next w:val="AnnotationText"/>
    <w:link w:val="UserStyle_10"/>
    <w:rPr>
      <w:sz w:val="20"/>
      <w:szCs w:val="20"/>
    </w:rPr>
  </w:style>
  <w:style w:type="character" w:styleId="UserStyle_10">
    <w:name w:val="Текст примечания Знак"/>
    <w:basedOn w:val="NormalCharacter"/>
    <w:next w:val="UserStyle_10"/>
    <w:link w:val="AnnotationText"/>
  </w:style>
  <w:style w:type="paragraph" w:styleId="AnnotationSubject">
    <w:name w:val="Тема примечания"/>
    <w:basedOn w:val="AnnotationText"/>
    <w:next w:val="AnnotationText"/>
    <w:link w:val="UserStyle_11"/>
    <w:rPr>
      <w:b/>
      <w:bCs/>
      <w:lang w:val="en-US" w:eastAsia="en-US"/>
    </w:rPr>
  </w:style>
  <w:style w:type="character" w:styleId="UserStyle_11">
    <w:name w:val="Тема примечания Знак"/>
    <w:next w:val="UserStyle_11"/>
    <w:link w:val="AnnotationSubject"/>
    <w:rPr>
      <w:b/>
      <w:bCs/>
    </w:rPr>
  </w:style>
  <w:style w:type="character" w:styleId="UserStyle_3">
    <w:name w:val="Основной текст Знак"/>
    <w:next w:val="UserStyle_3"/>
    <w:link w:val="BodyText"/>
    <w:rPr>
      <w:color w:val="000000"/>
      <w:sz w:val="22"/>
      <w:szCs w:val="18"/>
    </w:rPr>
  </w:style>
  <w:style w:type="character" w:styleId="UserStyle_4">
    <w:name w:val="Основной текст с отступом Знак"/>
    <w:next w:val="UserStyle_4"/>
    <w:link w:val="BodyTextIndent"/>
    <w:rPr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header" Target="header3.xml" /><Relationship Id="rId10" Type="http://schemas.openxmlformats.org/officeDocument/2006/relationships/footer" Target="footer1.xml" /></Relationships>
</file>

<file path=word/_rels/footer1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2758</Characters>
  <CharactersWithSpaces>3235</CharactersWithSpaces>
  <Company>*</Company>
  <DocSecurity>0</DocSecurity>
  <HyperlinksChanged>false</HyperlinksChanged>
  <Lines>22</Lines>
  <Pages>2</Pages>
  <Paragraphs>6</Paragraphs>
  <ScaleCrop>false</ScaleCrop>
  <SharedDoc>false</SharedDoc>
  <Template>Normal</Template>
  <Words>483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СУЩЕСТВЕННЫХ ФАКТАХ</dc:title>
  <dc:creator>Белокопытов В.М.</dc:creator>
  <cp:lastModifiedBy>Кузнецова Наталья Владимировна</cp:lastModifiedBy>
  <cp:revision>39</cp:revision>
  <dcterms:created xsi:type="dcterms:W3CDTF">2022-05-23T08:18:00Z</dcterms:created>
  <dcterms:modified xsi:type="dcterms:W3CDTF">2024-12-12T08:31:00Z</dcterms:modified>
  <cp:version>1048576</cp:version>
</cp:coreProperties>
</file>