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15"/>
      </w:tblGrid>
      <w:tr>
        <w:tblPrEx/>
        <w:trPr>
          <w:jc w:val="center"/>
          <w:trHeight w:val="11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textDirection w:val="lrTb"/>
            <w:noWrap w:val="false"/>
          </w:tcPr>
          <w:p>
            <w:pPr>
              <w:pStyle w:val="1031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ТАМБОВСКИЙ РЕГИОНАЛЬНЫЙ ФИЛИАЛ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pStyle w:val="1031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АО «РОССЕЛЬХОЗБАНК»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031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ТАРИФЫ КОМИССИОННОГО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1031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ВОЗНАГРАЖДЕНИЯ НА УСЛУГИ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1031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АО «РОССЕЛЬХОЗБАНК» ЮРИДИЧЕСКИМ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1031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ЛИЦАМ, СУБЪЕКТАМ РОССИЙСКОЙ ФЕДЕРАЦИИ, МУНИЦИПАЛЬНЫМ ОБРАЗОВАНИЯМ, ИНДИВИДУАЛЬНЫМ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1031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ПРЕДПРИНИМАТЕЛЯМ И ФИЗИЧЕСКИМ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1031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ЛИЦАМ, ЗАНИМАЮЩИМСЯ В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1031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УСТАНОВЛЕННОМ ЗАКОНОДАТЕЛЬСТВОМ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1031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РОССИЙСКОЙ ФЕДЕРАЦИИ ПОРЯДКЕ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1031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ЧАСТНОЙ ПРАКТИКОЙ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bottom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031"/>
              <w:jc w:val="center"/>
            </w:pPr>
            <w:r/>
            <w:r/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031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031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действуют с 01.01.2026</w:t>
            </w:r>
            <w:r>
              <w:rPr>
                <w:bCs/>
                <w:sz w:val="32"/>
                <w:szCs w:val="32"/>
              </w:rPr>
            </w:r>
            <w:r>
              <w:rPr>
                <w:bCs/>
                <w:sz w:val="32"/>
                <w:szCs w:val="32"/>
              </w:rPr>
            </w:r>
          </w:p>
        </w:tc>
      </w:tr>
    </w:tbl>
    <w:p>
      <w:r/>
      <w:r/>
    </w:p>
    <w:p>
      <w:r/>
      <w:r/>
    </w:p>
    <w:tbl>
      <w:tblPr>
        <w:tblpPr w:horzAnchor="margin" w:tblpXSpec="center" w:vertAnchor="text" w:tblpY="56" w:leftFromText="180" w:topFromText="0" w:rightFromText="180" w:bottomFromText="0"/>
        <w:tblW w:w="5093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263"/>
        <w:gridCol w:w="6040"/>
      </w:tblGrid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ССП-владелец НД: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Департамент транзакционного бизнеса (ДТБ)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и наименование процесса(ов):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нормативного документа: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1-13/04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Номер версии: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00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Область применения: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ГО/ВСП ГО/РФ/ВСП РФ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r/>
      <w:r/>
    </w:p>
    <w:p>
      <w:pPr>
        <w:jc w:val="center"/>
      </w:pPr>
      <w:r/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90497" cy="121836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0497" cy="121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0.98pt;height:95.93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rPr>
          <w:b/>
          <w:caps/>
          <w:sz w:val="22"/>
        </w:rPr>
      </w:pPr>
      <w:r>
        <w:br w:type="page" w:clear="all"/>
      </w:r>
      <w:r>
        <w:rPr>
          <w:b/>
          <w:caps/>
          <w:sz w:val="22"/>
        </w:rPr>
        <w:t xml:space="preserve">Содержание:</w:t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pStyle w:val="1182"/>
        <w:rPr>
          <w:rFonts w:ascii="Calibri" w:hAnsi="Calibri"/>
          <w:szCs w:val="22"/>
        </w:rPr>
      </w:pPr>
      <w:r>
        <w:rPr>
          <w:b/>
          <w:caps/>
        </w:rPr>
        <w:fldChar w:fldCharType="begin"/>
      </w:r>
      <w:r>
        <w:rPr>
          <w:b/>
          <w:caps/>
        </w:rPr>
        <w:instrText xml:space="preserve"> TOC \o "1-4" \h \z \u </w:instrText>
      </w:r>
      <w:r>
        <w:rPr>
          <w:b/>
          <w:caps/>
        </w:rPr>
        <w:fldChar w:fldCharType="separate"/>
      </w:r>
      <w:hyperlink w:tooltip="#_Toc78453719" w:anchor="_Toc78453719" w:history="1">
        <w:r>
          <w:rPr>
            <w:rStyle w:val="1172"/>
          </w:rPr>
          <w:t xml:space="preserve">1.Открытие и ведение счетов</w:t>
        </w:r>
        <w:r>
          <w:tab/>
        </w:r>
        <w:r>
          <w:fldChar w:fldCharType="begin"/>
        </w:r>
        <w:r>
          <w:instrText xml:space="preserve"> PAGEREF _Toc78453719 \h </w:instrText>
        </w:r>
        <w:r>
          <w:fldChar w:fldCharType="separate"/>
        </w:r>
        <w:r>
          <w:t xml:space="preserve">3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82"/>
        <w:rPr>
          <w:rFonts w:ascii="Calibri" w:hAnsi="Calibri"/>
          <w:szCs w:val="22"/>
        </w:rPr>
      </w:pPr>
      <w:r/>
      <w:hyperlink w:tooltip="#_Toc78453720" w:anchor="_Toc78453720" w:history="1">
        <w:r>
          <w:rPr>
            <w:rStyle w:val="1172"/>
          </w:rPr>
          <w:t xml:space="preserve">2.Кассовые операции*</w:t>
        </w:r>
        <w:r>
          <w:tab/>
        </w:r>
        <w:r>
          <w:fldChar w:fldCharType="begin"/>
        </w:r>
        <w:r>
          <w:instrText xml:space="preserve"> PAGEREF _Toc7</w:instrText>
        </w:r>
        <w:r>
          <w:instrText xml:space="preserve">8453720 \h </w:instrText>
        </w:r>
        <w:r>
          <w:fldChar w:fldCharType="separate"/>
        </w:r>
        <w:r>
          <w:t xml:space="preserve">12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82"/>
        <w:rPr>
          <w:rFonts w:ascii="Calibri" w:hAnsi="Calibri"/>
          <w:szCs w:val="22"/>
        </w:rPr>
      </w:pPr>
      <w:r/>
      <w:hyperlink w:tooltip="#_Toc78453721" w:anchor="_Toc78453721" w:history="1">
        <w:r>
          <w:rPr>
            <w:rStyle w:val="1172"/>
          </w:rPr>
          <w:t xml:space="preserve">3. Выполнение функций агента валютного контроля</w:t>
        </w:r>
        <w:r>
          <w:tab/>
        </w:r>
        <w:r>
          <w:fldChar w:fldCharType="begin"/>
        </w:r>
        <w:r>
          <w:instrText xml:space="preserve"> PAGEREF _Toc78453721 \h </w:instrText>
        </w:r>
        <w:r>
          <w:fldChar w:fldCharType="separate"/>
        </w:r>
        <w:r>
          <w:t xml:space="preserve">14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82"/>
        <w:rPr>
          <w:rFonts w:ascii="Calibri" w:hAnsi="Calibri"/>
          <w:szCs w:val="22"/>
        </w:rPr>
      </w:pPr>
      <w:r/>
      <w:hyperlink w:tooltip="#_Toc78453722" w:anchor="_Toc78453722" w:history="1">
        <w:r>
          <w:rPr>
            <w:rStyle w:val="1172"/>
          </w:rPr>
          <w:t xml:space="preserve">4. Операции с ценными бумагами</w:t>
        </w:r>
        <w:r>
          <w:tab/>
        </w:r>
        <w:r>
          <w:fldChar w:fldCharType="begin"/>
        </w:r>
        <w:r>
          <w:instrText xml:space="preserve"> PAGEREF _Toc78453722 \h </w:instrText>
        </w:r>
        <w:r>
          <w:fldChar w:fldCharType="separate"/>
        </w:r>
        <w:r>
          <w:t xml:space="preserve">18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82"/>
        <w:rPr>
          <w:rFonts w:ascii="Calibri" w:hAnsi="Calibri"/>
          <w:szCs w:val="22"/>
        </w:rPr>
      </w:pPr>
      <w:r/>
      <w:hyperlink w:tooltip="#_Toc78453723" w:anchor="_Toc78453723" w:history="1">
        <w:r>
          <w:rPr>
            <w:rStyle w:val="1172"/>
          </w:rPr>
          <w:t xml:space="preserve">5. Документ</w:t>
        </w:r>
        <w:r>
          <w:rPr>
            <w:rStyle w:val="1172"/>
          </w:rPr>
          <w:t xml:space="preserve">арные операции</w:t>
        </w:r>
        <w:r>
          <w:tab/>
        </w:r>
        <w:r>
          <w:fldChar w:fldCharType="begin"/>
        </w:r>
        <w:r>
          <w:instrText xml:space="preserve"> PAGEREF _Toc78453723 \h </w:instrText>
        </w:r>
        <w:r>
          <w:fldChar w:fldCharType="separate"/>
        </w:r>
        <w:r>
          <w:t xml:space="preserve">19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82"/>
        <w:rPr>
          <w:rFonts w:ascii="Calibri" w:hAnsi="Calibri"/>
          <w:szCs w:val="22"/>
        </w:rPr>
      </w:pPr>
      <w:r/>
      <w:hyperlink w:tooltip="#_Toc78453724" w:anchor="_Toc78453724" w:history="1">
        <w:r>
          <w:rPr>
            <w:rStyle w:val="1172"/>
          </w:rPr>
          <w:t xml:space="preserve">6. Гарантийные операции</w:t>
        </w:r>
        <w:r>
          <w:tab/>
        </w:r>
        <w:r>
          <w:fldChar w:fldCharType="begin"/>
        </w:r>
        <w:r>
          <w:instrText xml:space="preserve"> PAGEREF _Toc78453724 \h </w:instrText>
        </w:r>
        <w:r>
          <w:fldChar w:fldCharType="separate"/>
        </w:r>
        <w:r>
          <w:t xml:space="preserve">25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82"/>
        <w:rPr>
          <w:rFonts w:ascii="Calibri" w:hAnsi="Calibri"/>
          <w:szCs w:val="22"/>
        </w:rPr>
      </w:pPr>
      <w:r/>
      <w:hyperlink w:tooltip="#_Toc78453725" w:anchor="_Toc78453725" w:history="1">
        <w:r>
          <w:rPr>
            <w:rStyle w:val="1172"/>
          </w:rPr>
          <w:t xml:space="preserve">7. Дистанционное банковское обслуживание (ДБО)</w:t>
        </w:r>
        <w:r>
          <w:tab/>
        </w:r>
        <w:r>
          <w:fldChar w:fldCharType="begin"/>
        </w:r>
        <w:r>
          <w:instrText xml:space="preserve"> PAGEREF _Toc78453725 \h </w:instrText>
        </w:r>
        <w:r>
          <w:fldChar w:fldCharType="separate"/>
        </w:r>
        <w:r>
          <w:t xml:space="preserve">26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82"/>
        <w:rPr>
          <w:rFonts w:ascii="Calibri" w:hAnsi="Calibri"/>
          <w:szCs w:val="22"/>
        </w:rPr>
      </w:pPr>
      <w:r/>
      <w:hyperlink w:tooltip="#_Toc78453726" w:anchor="_Toc78453726" w:history="1">
        <w:r>
          <w:rPr>
            <w:rStyle w:val="1172"/>
          </w:rPr>
          <w:t xml:space="preserve">8. Хранение ценностей клиентов в хранилище ценностей Банка</w:t>
        </w:r>
        <w:r>
          <w:tab/>
        </w:r>
        <w:r>
          <w:fldChar w:fldCharType="begin"/>
        </w:r>
        <w:r>
          <w:instrText xml:space="preserve"> PAGEREF _Toc78453726 \h </w:instrText>
        </w:r>
        <w:r>
          <w:fldChar w:fldCharType="separate"/>
        </w:r>
        <w:r>
          <w:t xml:space="preserve">29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82"/>
        <w:rPr>
          <w:rFonts w:ascii="Calibri" w:hAnsi="Calibri"/>
          <w:szCs w:val="22"/>
        </w:rPr>
      </w:pPr>
      <w:r/>
      <w:hyperlink w:tooltip="#_Toc78453727" w:anchor="_Toc78453727" w:history="1">
        <w:r>
          <w:rPr>
            <w:rStyle w:val="1172"/>
          </w:rPr>
          <w:t xml:space="preserve">9. Аренда клиентами индивидуальных сейфовых ячеек</w:t>
        </w:r>
        <w:r>
          <w:tab/>
        </w:r>
        <w:r>
          <w:fldChar w:fldCharType="begin"/>
        </w:r>
        <w:r>
          <w:instrText xml:space="preserve"> PAGEREF _Toc78453727 \h </w:instrText>
        </w:r>
        <w:r>
          <w:fldChar w:fldCharType="separate"/>
        </w:r>
        <w:r>
          <w:t xml:space="preserve">30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82"/>
        <w:rPr>
          <w:rFonts w:ascii="Calibri" w:hAnsi="Calibri"/>
          <w:szCs w:val="22"/>
        </w:rPr>
      </w:pPr>
      <w:r/>
      <w:hyperlink w:tooltip="#_Toc78453728" w:anchor="_Toc78453728" w:history="1">
        <w:r>
          <w:rPr>
            <w:rStyle w:val="1172"/>
          </w:rPr>
          <w:t xml:space="preserve">10. Услуги инкассации</w:t>
        </w:r>
        <w:r>
          <w:tab/>
        </w:r>
        <w:r>
          <w:fldChar w:fldCharType="begin"/>
        </w:r>
        <w:r>
          <w:instrText xml:space="preserve"> PAGEREF _Toc78453728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82"/>
        <w:rPr>
          <w:rFonts w:ascii="Calibri" w:hAnsi="Calibri"/>
          <w:szCs w:val="22"/>
        </w:rPr>
      </w:pPr>
      <w:r/>
      <w:hyperlink w:tooltip="#_Toc78453729" w:anchor="_Toc78453729" w:history="1">
        <w:r>
          <w:rPr>
            <w:rStyle w:val="1172"/>
          </w:rPr>
          <w:t xml:space="preserve">11. Операции по покупке-продаже и</w:t>
        </w:r>
        <w:r>
          <w:rPr>
            <w:rStyle w:val="1172"/>
          </w:rPr>
          <w:t xml:space="preserve">ностранной валюты</w:t>
        </w:r>
        <w:r>
          <w:tab/>
        </w:r>
        <w:r>
          <w:fldChar w:fldCharType="begin"/>
        </w:r>
        <w:r>
          <w:instrText xml:space="preserve"> PAGEREF _Toc78453729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82"/>
        <w:rPr>
          <w:rFonts w:ascii="Calibri" w:hAnsi="Calibri"/>
          <w:szCs w:val="22"/>
        </w:rPr>
      </w:pPr>
      <w:r/>
      <w:hyperlink w:tooltip="#_Toc78453730" w:anchor="_Toc78453730" w:history="1">
        <w:r>
          <w:rPr>
            <w:rStyle w:val="1172"/>
          </w:rPr>
          <w:t xml:space="preserve">12. Кредитные операции</w:t>
        </w:r>
        <w:r>
          <w:tab/>
        </w:r>
        <w:r>
          <w:fldChar w:fldCharType="begin"/>
        </w:r>
        <w:r>
          <w:instrText xml:space="preserve"> PAGEREF _Toc78453730 \h </w:instrText>
        </w:r>
        <w:r>
          <w:fldChar w:fldCharType="separate"/>
        </w:r>
        <w:r>
          <w:t xml:space="preserve">32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82"/>
        <w:rPr>
          <w:rFonts w:ascii="Calibri" w:hAnsi="Calibri"/>
          <w:szCs w:val="22"/>
        </w:rPr>
      </w:pPr>
      <w:r/>
      <w:hyperlink w:tooltip="#_Toc78453731" w:anchor="_Toc78453731" w:history="1">
        <w:r>
          <w:rPr>
            <w:rStyle w:val="1172"/>
          </w:rPr>
          <w:t xml:space="preserve">13. Обслуживание торгово-сервисных предприятий*, принимающих к оплате платежные карты</w:t>
        </w:r>
        <w:r>
          <w:tab/>
        </w:r>
        <w:r>
          <w:fldChar w:fldCharType="begin"/>
        </w:r>
        <w:r>
          <w:instrText xml:space="preserve"> PAGEREF _Toc78453731 \h </w:instrText>
        </w:r>
        <w:r>
          <w:fldChar w:fldCharType="separate"/>
        </w:r>
        <w:r>
          <w:t xml:space="preserve">45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82"/>
        <w:rPr>
          <w:rFonts w:ascii="Calibri" w:hAnsi="Calibri"/>
          <w:szCs w:val="22"/>
        </w:rPr>
      </w:pPr>
      <w:r/>
      <w:hyperlink w:tooltip="#_Toc78453732" w:anchor="_Toc78453732" w:history="1">
        <w:r>
          <w:rPr>
            <w:rStyle w:val="1172"/>
          </w:rPr>
          <w:t xml:space="preserve">14. Депозитарные услуги**</w:t>
        </w:r>
        <w:r>
          <w:tab/>
        </w:r>
        <w:r>
          <w:fldChar w:fldCharType="begin"/>
        </w:r>
        <w:r>
          <w:instrText xml:space="preserve"> PAGEREF _Toc78453732 \h </w:instrText>
        </w:r>
        <w:r>
          <w:fldChar w:fldCharType="separate"/>
        </w:r>
        <w:r>
          <w:t xml:space="preserve">46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82"/>
        <w:rPr>
          <w:rFonts w:ascii="Calibri" w:hAnsi="Calibri"/>
          <w:szCs w:val="22"/>
        </w:rPr>
      </w:pPr>
      <w:r/>
      <w:hyperlink w:tooltip="#_Toc78453733" w:anchor="_Toc78453733" w:history="1">
        <w:r>
          <w:rPr>
            <w:rStyle w:val="1172"/>
          </w:rPr>
          <w:t xml:space="preserve">15. Операции с монетами из драгоценных металлов</w:t>
        </w:r>
        <w:r>
          <w:tab/>
        </w:r>
        <w:r>
          <w:fldChar w:fldCharType="begin"/>
        </w:r>
        <w:r>
          <w:instrText xml:space="preserve"> PAGEREF _Toc78453733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82"/>
        <w:rPr>
          <w:rFonts w:ascii="Calibri" w:hAnsi="Calibri"/>
          <w:szCs w:val="22"/>
        </w:rPr>
      </w:pPr>
      <w:r/>
      <w:hyperlink w:tooltip="#_Toc78453734" w:anchor="_Toc78453734" w:history="1">
        <w:r>
          <w:rPr>
            <w:rStyle w:val="1172"/>
          </w:rPr>
          <w:t xml:space="preserve">16. Операции с драгоценными металлами</w:t>
        </w:r>
        <w:r>
          <w:tab/>
        </w:r>
        <w:r>
          <w:fldChar w:fldCharType="begin"/>
        </w:r>
        <w:r>
          <w:instrText xml:space="preserve"> PAGEREF _Toc78453734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82"/>
        <w:rPr>
          <w:rFonts w:ascii="Calibri" w:hAnsi="Calibri"/>
          <w:szCs w:val="22"/>
        </w:rPr>
      </w:pPr>
      <w:r/>
      <w:hyperlink w:tooltip="#_Toc78453735" w:anchor="_Toc78453735" w:history="1">
        <w:r>
          <w:rPr>
            <w:rStyle w:val="1172"/>
          </w:rPr>
          <w:t xml:space="preserve">17. Обслуживание с использованием Торговой системы РСХБ-Дилинг АО «Россельхозбанк», Торговой системы Р</w:t>
        </w:r>
        <w:bookmarkStart w:id="0" w:name="_Hlt78453744"/>
        <w:r>
          <w:rPr>
            <w:rStyle w:val="1172"/>
          </w:rPr>
          <w:t xml:space="preserve">С</w:t>
        </w:r>
        <w:bookmarkEnd w:id="0"/>
        <w:r>
          <w:rPr>
            <w:rStyle w:val="1172"/>
          </w:rPr>
          <w:t xml:space="preserve">ХБ-Дилинг 2.0</w:t>
        </w:r>
        <w:r>
          <w:tab/>
        </w:r>
        <w:r>
          <w:fldChar w:fldCharType="begin"/>
        </w:r>
        <w:r>
          <w:instrText xml:space="preserve"> PAGEREF _Toc78453735 \h </w:instrText>
        </w:r>
        <w:r>
          <w:fldChar w:fldCharType="separate"/>
        </w:r>
        <w:r>
          <w:t xml:space="preserve">52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  <w:fldChar w:fldCharType="end"/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pStyle w:val="1182"/>
        <w:rPr>
          <w:sz w:val="10"/>
          <w:szCs w:val="10"/>
        </w:rPr>
      </w:pPr>
      <w:r/>
      <w:bookmarkStart w:id="1" w:name="_Toc393441453"/>
      <w:r/>
      <w:bookmarkStart w:id="2" w:name="_Toc393441672"/>
      <w:r/>
      <w:bookmarkStart w:id="3" w:name="_Toc393441784"/>
      <w:r/>
      <w:bookmarkStart w:id="4" w:name="_Toc393441824"/>
      <w:r/>
      <w:bookmarkStart w:id="5" w:name="_Toc393441895"/>
      <w:r>
        <w:rPr>
          <w:bCs/>
          <w:caps/>
          <w:sz w:val="10"/>
          <w:szCs w:val="10"/>
        </w:rPr>
        <w:fldChar w:fldCharType="begin"/>
      </w:r>
      <w:r>
        <w:rPr>
          <w:bCs/>
          <w:caps/>
          <w:sz w:val="10"/>
          <w:szCs w:val="10"/>
        </w:rPr>
        <w:instrText xml:space="preserve"> TOC \o "1-4" \h \z \u </w:instrText>
      </w:r>
      <w:r>
        <w:rPr>
          <w:bCs/>
          <w:caps/>
          <w:sz w:val="10"/>
          <w:szCs w:val="10"/>
        </w:rPr>
        <w:fldChar w:fldCharType="separate"/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rPr>
          <w:sz w:val="10"/>
          <w:szCs w:val="10"/>
        </w:rPr>
      </w:pPr>
      <w:r>
        <w:rPr>
          <w:sz w:val="10"/>
          <w:szCs w:val="10"/>
        </w:rPr>
        <w:br w:type="page" w:clear="all"/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998"/>
      </w:pPr>
      <w:r>
        <w:rPr>
          <w:bCs w:val="0"/>
          <w:caps/>
          <w:sz w:val="10"/>
          <w:szCs w:val="10"/>
        </w:rPr>
        <w:fldChar w:fldCharType="end"/>
      </w:r>
      <w:bookmarkStart w:id="6" w:name="_Toc509304031"/>
      <w:r/>
      <w:bookmarkStart w:id="7" w:name="_Toc78453719"/>
      <w:r>
        <w:t xml:space="preserve">1.Открытие и ведение счетов</w:t>
      </w:r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/>
      <w:r/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70"/>
        <w:gridCol w:w="1986"/>
        <w:gridCol w:w="3544"/>
      </w:tblGrid>
      <w:tr>
        <w:tblPrEx/>
        <w:trPr>
          <w:tblHeader/>
        </w:trPr>
        <w:tc>
          <w:tcPr>
            <w:tcW w:w="84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ведение счетов в рублях Российской Федер</w:t>
            </w:r>
            <w:r>
              <w:rPr>
                <w:sz w:val="20"/>
                <w:szCs w:val="20"/>
              </w:rPr>
              <w:t xml:space="preserve">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10"/>
        </w:trPr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накопительного счета, счета с особым режимом, с</w:t>
            </w:r>
            <w:r>
              <w:rPr>
                <w:sz w:val="20"/>
                <w:szCs w:val="20"/>
              </w:rPr>
              <w:t xml:space="preserve">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</w:t>
            </w:r>
            <w:r>
              <w:rPr>
                <w:sz w:val="20"/>
                <w:szCs w:val="20"/>
              </w:rPr>
              <w:t xml:space="preserve">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</w:t>
            </w:r>
            <w:r>
              <w:rPr>
                <w:sz w:val="20"/>
                <w:szCs w:val="20"/>
              </w:rPr>
              <w:t xml:space="preserve">одействия реформированию жилищно-коммунального хозяйства» в рамках заключенных договоров специального банковского счета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</w:t>
            </w:r>
            <w:r>
              <w:rPr>
                <w:sz w:val="20"/>
                <w:szCs w:val="20"/>
              </w:rPr>
              <w:t xml:space="preserve">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№ 217</w:t>
            </w:r>
            <w:r>
              <w:rPr>
                <w:sz w:val="20"/>
                <w:szCs w:val="20"/>
              </w:rPr>
              <w:t xml:space="preserve">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</w:t>
            </w:r>
            <w:r>
              <w:rPr>
                <w:sz w:val="20"/>
                <w:szCs w:val="20"/>
              </w:rPr>
              <w:t xml:space="preserve">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4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ab/>
              <w:t xml:space="preserve">Наличие у клиент</w:t>
            </w:r>
            <w:r>
              <w:rPr>
                <w:sz w:val="20"/>
                <w:szCs w:val="20"/>
              </w:rPr>
              <w:t xml:space="preserve">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4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Подписание с клиентом договора эквайринга и договора о выпуске и обслуживании бизнес-карты к рас</w:t>
            </w:r>
            <w:r>
              <w:rPr>
                <w:sz w:val="20"/>
                <w:szCs w:val="20"/>
              </w:rPr>
              <w:t xml:space="preserve">четному счету в одном региональном филиале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заключенного 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</w:t>
            </w:r>
            <w:r>
              <w:rPr>
                <w:sz w:val="20"/>
                <w:szCs w:val="20"/>
              </w:rPr>
              <w:t xml:space="preserve">льхозбанк», сделанной сотрудником регионального филиала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-для клиентов, имеющих обязательства перед АО «Россельхозбанк» по кредитным сделкам***, в отношении которых введена любая из процедур, прим</w:t>
            </w:r>
            <w:r>
              <w:rPr>
                <w:sz w:val="20"/>
                <w:szCs w:val="20"/>
              </w:rPr>
              <w:t xml:space="preserve">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</w:t>
            </w:r>
            <w:r>
              <w:rPr>
                <w:sz w:val="20"/>
                <w:szCs w:val="20"/>
              </w:rPr>
              <w:t xml:space="preserve">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</w:t>
            </w:r>
            <w:r>
              <w:rPr>
                <w:sz w:val="20"/>
                <w:szCs w:val="20"/>
              </w:rPr>
              <w:t xml:space="preserve">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</w:t>
            </w:r>
            <w:r>
              <w:rPr>
                <w:sz w:val="20"/>
                <w:szCs w:val="20"/>
              </w:rPr>
              <w:t xml:space="preserve">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</w:t>
            </w:r>
            <w:r>
              <w:rPr>
                <w:sz w:val="20"/>
                <w:szCs w:val="20"/>
              </w:rPr>
              <w:t xml:space="preserve">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</w:t>
            </w:r>
            <w:r>
              <w:rPr>
                <w:sz w:val="20"/>
                <w:szCs w:val="20"/>
              </w:rPr>
              <w:t xml:space="preserve">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127-ФЗ «О несостоятельности (бан</w:t>
            </w:r>
            <w:r>
              <w:rPr>
                <w:sz w:val="20"/>
                <w:szCs w:val="20"/>
              </w:rPr>
              <w:t xml:space="preserve">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</w:t>
            </w:r>
            <w:r>
              <w:rPr>
                <w:sz w:val="20"/>
                <w:szCs w:val="20"/>
              </w:rPr>
              <w:t xml:space="preserve">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 xml:space="preserve">№ 217-ФЗ «О ведении гражданами садоводства и огородничества для собственных нужд и о внесении изме</w:t>
            </w:r>
            <w:r>
              <w:rPr>
                <w:sz w:val="20"/>
                <w:szCs w:val="20"/>
              </w:rPr>
              <w:t xml:space="preserve">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</w:t>
            </w:r>
            <w:r>
              <w:rPr>
                <w:sz w:val="20"/>
                <w:szCs w:val="20"/>
              </w:rPr>
              <w:t xml:space="preserve">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</w:t>
            </w:r>
            <w:r>
              <w:rPr>
                <w:sz w:val="20"/>
                <w:szCs w:val="20"/>
              </w:rPr>
              <w:t xml:space="preserve">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средств;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1.1.3, но не более остатка н</w:t>
            </w:r>
            <w:r>
              <w:rPr>
                <w:sz w:val="20"/>
                <w:szCs w:val="20"/>
              </w:rPr>
              <w:t xml:space="preserve">а счете при условии отсутствия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ограничении прав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</w:t>
            </w:r>
            <w:r>
              <w:rPr>
                <w:sz w:val="20"/>
                <w:szCs w:val="20"/>
              </w:rPr>
              <w:t xml:space="preserve">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с АО «Россельхозбанк», при испо</w:t>
            </w:r>
            <w:r>
              <w:rPr>
                <w:sz w:val="20"/>
                <w:szCs w:val="20"/>
              </w:rPr>
              <w:t xml:space="preserve">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ab/>
              <w:t xml:space="preserve">Наличие у клиен</w:t>
            </w:r>
            <w:r>
              <w:rPr>
                <w:sz w:val="20"/>
                <w:szCs w:val="20"/>
              </w:rPr>
              <w:t xml:space="preserve">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Наличие у клиента действующего договора эквайринга, заключенного с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  <w:tab/>
              <w:t xml:space="preserve">Использование клиентом системы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</w:t>
            </w:r>
            <w:r>
              <w:rPr>
                <w:sz w:val="20"/>
                <w:szCs w:val="20"/>
              </w:rPr>
              <w:t xml:space="preserve">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имеющих обязательства перед АО «Россельхозбанк» по кредитным сделкам***, в отношении которых введена любая из процедур, применяемых </w:t>
            </w:r>
            <w:r>
              <w:rPr>
                <w:sz w:val="20"/>
                <w:szCs w:val="20"/>
              </w:rPr>
              <w:t xml:space="preserve">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</w:t>
            </w:r>
            <w:r>
              <w:rPr>
                <w:sz w:val="20"/>
                <w:szCs w:val="20"/>
              </w:rPr>
              <w:t xml:space="preserve">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/>
            <w:bookmarkStart w:id="8" w:name="_Toc393441454"/>
            <w:r>
              <w:rPr>
                <w:sz w:val="20"/>
                <w:szCs w:val="20"/>
              </w:rPr>
              <w:t xml:space="preserve">Начисление процентов на остатки средств</w:t>
            </w:r>
            <w:bookmarkEnd w:id="8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установленном законода</w:t>
            </w:r>
            <w:r>
              <w:rPr>
                <w:sz w:val="20"/>
                <w:szCs w:val="20"/>
              </w:rPr>
              <w:t xml:space="preserve">тельством Российской Федерации порядке частной практикой, 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</w:t>
            </w:r>
            <w:r>
              <w:rPr>
                <w:sz w:val="20"/>
                <w:szCs w:val="20"/>
              </w:rPr>
              <w:t xml:space="preserve">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</w:t>
            </w:r>
            <w:r>
              <w:rPr>
                <w:sz w:val="20"/>
                <w:szCs w:val="20"/>
              </w:rPr>
              <w:t xml:space="preserve">ии с п. 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исполнении расчетных документов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оплате страховых взносов на счета Фонд</w:t>
            </w:r>
            <w:r>
              <w:rPr>
                <w:sz w:val="20"/>
                <w:szCs w:val="20"/>
              </w:rPr>
              <w:t xml:space="preserve">а пенсионного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счетам клиентов, имеющих обязательства перед АО «Россельхозбанк» по кредитным сделк</w:t>
            </w:r>
            <w:r>
              <w:rPr>
                <w:sz w:val="20"/>
                <w:szCs w:val="20"/>
              </w:rPr>
              <w:t xml:space="preserve">ам***,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платежей по исп</w:t>
            </w:r>
            <w:r>
              <w:rPr>
                <w:sz w:val="20"/>
                <w:szCs w:val="20"/>
              </w:rPr>
              <w:t xml:space="preserve">олнительному производству комиссия не взимается (под исполнительным производством понимается перечисление денежных средств на счета судебных приставов и на счета взыскателей на основании расчетного документа, созданного по распоряжению взыскателя).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</w:t>
            </w:r>
            <w:r>
              <w:rPr>
                <w:sz w:val="20"/>
                <w:szCs w:val="20"/>
              </w:rPr>
              <w:t xml:space="preserve">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ор</w:t>
            </w:r>
            <w:r>
              <w:rPr>
                <w:sz w:val="20"/>
                <w:szCs w:val="20"/>
              </w:rPr>
              <w:t xml:space="preserve">дером или полностью платежным поручением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Банк в электронном виде, взимается,</w:t>
            </w:r>
            <w:r>
              <w:rPr>
                <w:sz w:val="20"/>
                <w:szCs w:val="20"/>
              </w:rPr>
              <w:t xml:space="preserve">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из-за отсутствия денежных средст</w:t>
            </w:r>
            <w:r>
              <w:rPr>
                <w:sz w:val="20"/>
                <w:szCs w:val="20"/>
              </w:rPr>
              <w:t xml:space="preserve">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</w:t>
            </w:r>
            <w:r>
              <w:rPr>
                <w:sz w:val="20"/>
                <w:szCs w:val="20"/>
              </w:rPr>
              <w:t xml:space="preserve">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</w:t>
            </w:r>
            <w:r>
              <w:rPr>
                <w:sz w:val="20"/>
                <w:szCs w:val="20"/>
              </w:rPr>
              <w:t xml:space="preserve">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</w:t>
            </w:r>
            <w:r>
              <w:rPr>
                <w:sz w:val="20"/>
                <w:szCs w:val="20"/>
              </w:rPr>
              <w:t xml:space="preserve">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АО 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до 100 млн.руб.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свыше 100 млн.руб.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</w:t>
            </w:r>
            <w:r>
              <w:rPr>
                <w:sz w:val="20"/>
                <w:szCs w:val="20"/>
              </w:rPr>
              <w:t xml:space="preserve">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заключившим договор номинального банковского счета, открываемого организациям, на которые возлагается </w:t>
            </w:r>
            <w:r>
              <w:rPr>
                <w:sz w:val="20"/>
                <w:szCs w:val="20"/>
              </w:rPr>
              <w:t xml:space="preserve">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к</w:t>
            </w:r>
            <w:r>
              <w:rPr>
                <w:sz w:val="20"/>
                <w:szCs w:val="20"/>
              </w:rPr>
              <w:t xml:space="preserve">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</w:t>
            </w:r>
            <w:r>
              <w:rPr>
                <w:sz w:val="20"/>
                <w:szCs w:val="20"/>
              </w:rPr>
              <w:t xml:space="preserve">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</w:t>
            </w:r>
            <w:r>
              <w:rPr>
                <w:sz w:val="20"/>
                <w:szCs w:val="20"/>
              </w:rPr>
              <w:t xml:space="preserve">ых обязательных переводов денежных средств в бюджеты различных уровней и государственные внебюджетные фонды (в т.ч. переводов, возникающих в результате отношений, попадающих под действие Федерального закона «Об организации предоставления государственных и </w:t>
            </w:r>
            <w:r>
              <w:rPr>
                <w:sz w:val="20"/>
                <w:szCs w:val="20"/>
              </w:rPr>
              <w:t xml:space="preserve">муниципальных услуг» от 27.07.2010 № 210-ФЗ). Комиссионное вознаграждение взимается Банком дополнительно к комиссии, указанной в  п. 1.1.5 Тарифов»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1.1.7.1.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кредитных денежны</w:t>
            </w:r>
            <w:r>
              <w:rPr>
                <w:sz w:val="20"/>
                <w:szCs w:val="20"/>
              </w:rPr>
              <w:t xml:space="preserve">х средств на счета заемщиков Банка-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 «Россель</w:t>
            </w:r>
            <w:r>
              <w:rPr>
                <w:sz w:val="20"/>
                <w:szCs w:val="20"/>
              </w:rPr>
              <w:t xml:space="preserve">хозбанк» и/или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150 000,01 руб. до 300 000,00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2 000 000,00</w:t>
            </w:r>
            <w:r>
              <w:rPr>
                <w:sz w:val="20"/>
                <w:szCs w:val="20"/>
              </w:rPr>
              <w:t xml:space="preserve">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2 000 000,01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5 000 000,00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свыше 5 000 000,00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с использованием карт;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 кредитных организаций с балансовой позицией 30102, 30109, 30232, 30301, 30302, 47422 для последующего зачисления денежных средств на счета физических ли</w:t>
            </w:r>
            <w:r>
              <w:rPr>
                <w:sz w:val="20"/>
                <w:szCs w:val="20"/>
              </w:rPr>
              <w:t xml:space="preserve">ц.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 расчетного счета застройщика;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заработной платы и при</w:t>
            </w:r>
            <w:r>
              <w:rPr>
                <w:sz w:val="20"/>
                <w:szCs w:val="20"/>
              </w:rPr>
              <w:t xml:space="preserve">равненных к ней платежей (вне рамок отдельных договоров/дополнительных соглашений к договору банковского счета, заключенных клиентами с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дохода лицам</w:t>
            </w:r>
            <w:r>
              <w:rPr>
                <w:sz w:val="20"/>
                <w:szCs w:val="20"/>
              </w:rPr>
              <w:t xml:space="preserve">, занимающимся частной практикой;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исполнение инкассовых поручений, составле</w:t>
            </w:r>
            <w:r>
              <w:rPr>
                <w:sz w:val="20"/>
                <w:szCs w:val="20"/>
              </w:rPr>
              <w:t xml:space="preserve">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примечания применяется, если в поле «Назначение платежа» указывается четкая информация о цели осуществления перевода и данная информация соответств</w:t>
            </w:r>
            <w:r>
              <w:rPr>
                <w:sz w:val="20"/>
                <w:szCs w:val="20"/>
              </w:rPr>
              <w:t xml:space="preserve">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нескольких оснований для перевода денежных средств, комиссионное вознаграждение взимается соглас</w:t>
            </w:r>
            <w:r>
              <w:rPr>
                <w:sz w:val="20"/>
                <w:szCs w:val="20"/>
              </w:rPr>
              <w:t xml:space="preserve">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Комиссия не взимается за перевод денежных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номинального банковского счета,</w:t>
            </w:r>
            <w:r>
              <w:rPr>
                <w:sz w:val="20"/>
                <w:szCs w:val="20"/>
              </w:rPr>
              <w:t xml:space="preserve">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благотворительных целях (при наличии решения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</w:t>
            </w:r>
            <w:r>
              <w:rPr>
                <w:sz w:val="20"/>
                <w:szCs w:val="20"/>
              </w:rPr>
              <w:t xml:space="preserve">к» о приеме и перечислении переводов денежных средств в пользу конкретных физических лиц).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 счетов клиентов, имеющих обязательства перед АО «Россельхозбанк» по кредитным сделкам***, в отношении которых введена любая из процедур, применяемых в деле о ба</w:t>
            </w:r>
            <w:r>
              <w:rPr>
                <w:sz w:val="20"/>
                <w:szCs w:val="20"/>
              </w:rPr>
              <w:t xml:space="preserve">нкротстве в соответствии с Федеральным законом от 26.10.2002 № 127-ФЗ «О несостоятельности (банкротстве)» или находящихся в процессе ликвидации.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При переводе сумм заработной платы, пенсионных, страховых и иных выплат на счета физических лиц согласно усл</w:t>
            </w:r>
            <w:r>
              <w:rPr>
                <w:sz w:val="20"/>
                <w:szCs w:val="20"/>
              </w:rPr>
              <w:t xml:space="preserve">овиям отдельных договоров/дополнительных соглашений к договору банковского счета, заключенных клиентами с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«Россельхозбанк», комиссионное вознаграждение взимается в соответствии с п.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</w:t>
            </w:r>
            <w:r>
              <w:rPr>
                <w:sz w:val="20"/>
                <w:szCs w:val="20"/>
              </w:rPr>
              <w:t xml:space="preserve">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</w:t>
            </w:r>
            <w:r>
              <w:rPr>
                <w:sz w:val="20"/>
                <w:szCs w:val="20"/>
              </w:rPr>
              <w:t xml:space="preserve">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не учитываются о</w:t>
            </w:r>
            <w:r>
              <w:rPr>
                <w:sz w:val="20"/>
                <w:szCs w:val="20"/>
              </w:rPr>
              <w:t xml:space="preserve">перации, указанные в пунктах 2, 3, 4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</w:t>
            </w:r>
            <w:r>
              <w:rPr>
                <w:sz w:val="20"/>
                <w:szCs w:val="20"/>
              </w:rPr>
              <w:t xml:space="preserve">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производится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1.1.11.</w:t>
            </w:r>
            <w:r/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(за исключением расче</w:t>
            </w:r>
            <w:r>
              <w:rPr>
                <w:sz w:val="20"/>
                <w:szCs w:val="20"/>
              </w:rPr>
              <w:t xml:space="preserve">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</w:t>
            </w:r>
            <w:r>
              <w:rPr>
                <w:sz w:val="20"/>
                <w:szCs w:val="20"/>
              </w:rPr>
              <w:t xml:space="preserve">-нерезиденте,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</w:t>
            </w:r>
            <w:r>
              <w:rPr>
                <w:sz w:val="20"/>
                <w:szCs w:val="20"/>
              </w:rPr>
              <w:t xml:space="preserve">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</w:t>
            </w:r>
            <w:r>
              <w:rPr>
                <w:sz w:val="20"/>
                <w:szCs w:val="20"/>
              </w:rPr>
              <w:t xml:space="preserve">ных средств дополнительно к указанному тарифу взимается комиссионное вознаграждение, указанное в пунктах 1.1.5 или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</w:t>
            </w:r>
            <w:r>
              <w:rPr>
                <w:sz w:val="20"/>
                <w:szCs w:val="20"/>
              </w:rPr>
              <w:t xml:space="preserve">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(ООО «Мое дело» ИНН 770</w:t>
            </w:r>
            <w:r>
              <w:rPr>
                <w:sz w:val="20"/>
                <w:szCs w:val="20"/>
              </w:rPr>
              <w:t xml:space="preserve">1889831, ООО «Юридические решения» ИНН 9718083320)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</w:t>
            </w:r>
            <w:r>
              <w:rPr>
                <w:sz w:val="20"/>
                <w:szCs w:val="20"/>
              </w:rPr>
              <w:t xml:space="preserve">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</w:t>
            </w:r>
            <w:r>
              <w:rPr>
                <w:sz w:val="20"/>
                <w:szCs w:val="20"/>
              </w:rPr>
              <w:t xml:space="preserve">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</w:t>
            </w:r>
            <w:r>
              <w:rPr>
                <w:sz w:val="20"/>
                <w:szCs w:val="20"/>
              </w:rPr>
              <w:t xml:space="preserve">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</w:t>
            </w:r>
            <w:r>
              <w:rPr>
                <w:sz w:val="20"/>
                <w:szCs w:val="20"/>
              </w:rPr>
              <w:t xml:space="preserve">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</w:t>
            </w:r>
            <w:r>
              <w:rPr>
                <w:sz w:val="20"/>
                <w:szCs w:val="20"/>
              </w:rPr>
              <w:t xml:space="preserve">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</w:t>
            </w:r>
            <w:r>
              <w:rPr>
                <w:sz w:val="20"/>
                <w:szCs w:val="20"/>
              </w:rPr>
              <w:t xml:space="preserve">е счетов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счета, кроме счета в евро, долларах США, а также отдельных иностранных валютах, предусмотренных в п.1.2.3.3: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</w:t>
            </w:r>
            <w:r>
              <w:rPr>
                <w:sz w:val="20"/>
                <w:szCs w:val="20"/>
              </w:rPr>
              <w:t xml:space="preserve">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</w:t>
            </w:r>
            <w:r>
              <w:rPr>
                <w:sz w:val="20"/>
                <w:szCs w:val="20"/>
              </w:rPr>
              <w:t xml:space="preserve">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</w:t>
            </w:r>
            <w:r>
              <w:rPr>
                <w:sz w:val="20"/>
                <w:szCs w:val="20"/>
              </w:rPr>
              <w:t xml:space="preserve">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</w:t>
            </w:r>
            <w:r>
              <w:rPr>
                <w:sz w:val="20"/>
                <w:szCs w:val="20"/>
              </w:rPr>
              <w:t xml:space="preserve">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средств;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</w:t>
            </w:r>
            <w:r>
              <w:rPr>
                <w:sz w:val="20"/>
                <w:szCs w:val="20"/>
              </w:rPr>
              <w:t xml:space="preserve">вии операций по счету комиссия взимается в установленном размере согласно п. 1.2.3,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</w:t>
            </w:r>
            <w:r>
              <w:rPr>
                <w:sz w:val="20"/>
                <w:szCs w:val="20"/>
              </w:rPr>
              <w:t xml:space="preserve">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евро остатка, достаточног</w:t>
            </w:r>
            <w:r>
              <w:rPr>
                <w:sz w:val="20"/>
                <w:szCs w:val="20"/>
              </w:rPr>
              <w:t xml:space="preserve">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</w:t>
            </w:r>
            <w:r>
              <w:rPr>
                <w:sz w:val="20"/>
                <w:szCs w:val="20"/>
              </w:rPr>
              <w:t xml:space="preserve">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</w:t>
            </w:r>
            <w:r>
              <w:rPr>
                <w:sz w:val="20"/>
                <w:szCs w:val="20"/>
              </w:rPr>
              <w:t xml:space="preserve">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</w:t>
            </w:r>
            <w:r>
              <w:rPr>
                <w:sz w:val="20"/>
                <w:szCs w:val="20"/>
              </w:rPr>
              <w:t xml:space="preserve">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</w:t>
            </w:r>
            <w:r>
              <w:rPr>
                <w:sz w:val="20"/>
                <w:szCs w:val="20"/>
              </w:rPr>
              <w:t xml:space="preserve">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</w:t>
            </w:r>
            <w:r>
              <w:rPr>
                <w:sz w:val="20"/>
                <w:szCs w:val="20"/>
              </w:rPr>
              <w:t xml:space="preserve">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</w:t>
            </w:r>
            <w:r>
              <w:rPr>
                <w:sz w:val="20"/>
                <w:szCs w:val="20"/>
              </w:rPr>
              <w:t xml:space="preserve">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предусмотренно</w:t>
            </w:r>
            <w:r>
              <w:rPr>
                <w:sz w:val="20"/>
                <w:szCs w:val="20"/>
              </w:rPr>
              <w:t xml:space="preserve">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100 000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средств;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Начиная с 4 (</w:t>
            </w:r>
            <w:r>
              <w:rPr>
                <w:sz w:val="20"/>
                <w:szCs w:val="20"/>
                <w:lang w:eastAsia="en-US"/>
              </w:rPr>
              <w:t xml:space="preserve">четвертого) календарного месяца при отсутствии операций по счету комиссия взимается в установленном размере согласно п. 1.2.3.1 Тарифов, но не более остатка на счете при условии отсутствия в Банке на дату взимания комиссии предусмотренных законодательством</w:t>
            </w:r>
            <w:r>
              <w:rPr>
                <w:sz w:val="20"/>
                <w:szCs w:val="20"/>
                <w:lang w:eastAsia="en-US"/>
              </w:rPr>
              <w:t xml:space="preserve">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/>
          </w:p>
          <w:p>
            <w:pPr>
              <w:widowControl w:val="off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долларах США: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</w:t>
            </w:r>
            <w:r>
              <w:rPr>
                <w:sz w:val="20"/>
                <w:szCs w:val="20"/>
              </w:rPr>
              <w:t xml:space="preserve">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</w:t>
            </w:r>
            <w:r>
              <w:rPr>
                <w:sz w:val="20"/>
                <w:szCs w:val="20"/>
              </w:rPr>
              <w:t xml:space="preserve">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</w:t>
            </w:r>
            <w:r>
              <w:rPr>
                <w:sz w:val="20"/>
                <w:szCs w:val="20"/>
              </w:rPr>
              <w:t xml:space="preserve">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</w:t>
            </w:r>
            <w:r>
              <w:rPr>
                <w:sz w:val="20"/>
                <w:szCs w:val="20"/>
              </w:rPr>
              <w:t xml:space="preserve">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</w:t>
            </w:r>
            <w:r>
              <w:rPr>
                <w:sz w:val="20"/>
                <w:szCs w:val="20"/>
              </w:rPr>
              <w:t xml:space="preserve">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долларов США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</w:t>
            </w:r>
            <w:r>
              <w:rPr>
                <w:sz w:val="20"/>
                <w:szCs w:val="20"/>
              </w:rPr>
              <w:t xml:space="preserve">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</w:t>
            </w:r>
            <w:r>
              <w:rPr>
                <w:sz w:val="20"/>
                <w:szCs w:val="20"/>
              </w:rPr>
              <w:t xml:space="preserve">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</w:t>
            </w:r>
            <w:r>
              <w:rPr>
                <w:sz w:val="20"/>
                <w:szCs w:val="20"/>
              </w:rPr>
              <w:t xml:space="preserve">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предус</w:t>
            </w:r>
            <w:r>
              <w:rPr>
                <w:sz w:val="20"/>
                <w:szCs w:val="20"/>
              </w:rPr>
              <w:t xml:space="preserve">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100 000 долларов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средств;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Начиная с 4 (</w:t>
            </w:r>
            <w:r>
              <w:rPr>
                <w:sz w:val="20"/>
                <w:szCs w:val="20"/>
                <w:lang w:eastAsia="en-US"/>
              </w:rPr>
              <w:t xml:space="preserve">четвертого) календарного месяца при отсутствии операций по счету комиссия взимается в установленном размере согласно п. 1.2.3.2 Тарифов, но не более остатка на счете при условии отсутствия в Банке на дату взимания комиссии предусмотренных законодательством</w:t>
            </w:r>
            <w:r>
              <w:rPr>
                <w:sz w:val="20"/>
                <w:szCs w:val="20"/>
                <w:lang w:eastAsia="en-US"/>
              </w:rPr>
              <w:t xml:space="preserve">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</w:t>
            </w:r>
            <w:r>
              <w:rPr>
                <w:sz w:val="20"/>
                <w:szCs w:val="20"/>
              </w:rPr>
              <w:t xml:space="preserve">мается с расчетного счета в соответствующей иностранной валюте.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</w:t>
            </w:r>
            <w:r>
              <w:rPr>
                <w:sz w:val="20"/>
                <w:szCs w:val="20"/>
              </w:rPr>
              <w:t xml:space="preserve">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</w:t>
            </w:r>
            <w:r>
              <w:rPr>
                <w:sz w:val="20"/>
                <w:szCs w:val="20"/>
              </w:rPr>
              <w:t xml:space="preserve">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</w:t>
            </w:r>
            <w:r>
              <w:rPr>
                <w:sz w:val="20"/>
                <w:szCs w:val="20"/>
              </w:rPr>
              <w:t xml:space="preserve">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</w:t>
            </w:r>
            <w:r>
              <w:rPr>
                <w:sz w:val="20"/>
                <w:szCs w:val="20"/>
              </w:rPr>
              <w:t xml:space="preserve">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</w:t>
            </w:r>
            <w:r>
              <w:rPr>
                <w:sz w:val="20"/>
                <w:szCs w:val="20"/>
              </w:rPr>
              <w:t xml:space="preserve">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</w:t>
            </w:r>
            <w:r>
              <w:rPr>
                <w:sz w:val="20"/>
                <w:szCs w:val="20"/>
              </w:rPr>
              <w:t xml:space="preserve">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</w:t>
            </w:r>
            <w:r>
              <w:rPr>
                <w:sz w:val="20"/>
                <w:szCs w:val="20"/>
                <w:lang w:eastAsia="en-US"/>
              </w:rPr>
              <w:t xml:space="preserve">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средств;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1.2.3.3 Тарифов, но не более</w:t>
            </w:r>
            <w:r>
              <w:rPr>
                <w:sz w:val="20"/>
                <w:szCs w:val="20"/>
                <w:lang w:eastAsia="en-US"/>
              </w:rPr>
              <w:t xml:space="preserve">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1.2.4.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340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</w:t>
            </w:r>
            <w:r>
              <w:rPr>
                <w:sz w:val="20"/>
                <w:szCs w:val="20"/>
              </w:rPr>
              <w:t xml:space="preserve">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</w:t>
            </w:r>
            <w:r>
              <w:rPr>
                <w:sz w:val="20"/>
                <w:szCs w:val="20"/>
              </w:rPr>
              <w:t xml:space="preserve">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Валюта перевода – доллары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заявлению 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</w:t>
            </w:r>
            <w:r>
              <w:rPr>
                <w:sz w:val="20"/>
                <w:szCs w:val="20"/>
              </w:rPr>
              <w:t xml:space="preserve">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 возврат перевода по письменному заявлению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</w:t>
            </w:r>
            <w:r>
              <w:rPr>
                <w:sz w:val="20"/>
                <w:szCs w:val="20"/>
              </w:rPr>
              <w:t xml:space="preserve">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</w:t>
            </w:r>
            <w:r>
              <w:rPr>
                <w:sz w:val="20"/>
                <w:szCs w:val="20"/>
              </w:rPr>
              <w:t xml:space="preserve"> клиента при обращении в офис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</w:t>
            </w:r>
            <w:r>
              <w:rPr>
                <w:sz w:val="20"/>
                <w:szCs w:val="20"/>
              </w:rPr>
              <w:t xml:space="preserve"> 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/>
            <w:bookmarkStart w:id="9" w:name="_Toc393441458"/>
            <w:r/>
            <w:bookmarkStart w:id="10" w:name="_Toc393441676"/>
            <w:r>
              <w:rPr>
                <w:sz w:val="20"/>
                <w:szCs w:val="20"/>
              </w:rPr>
              <w:t xml:space="preserve">2000 руб.</w:t>
            </w:r>
            <w:bookmarkEnd w:id="9"/>
            <w:r/>
            <w:bookmarkEnd w:id="10"/>
            <w:r>
              <w:rPr>
                <w:sz w:val="20"/>
                <w:szCs w:val="20"/>
              </w:rPr>
              <w:t xml:space="preserve"> </w:t>
            </w:r>
            <w:bookmarkStart w:id="11" w:name="_Toc393441459"/>
            <w:r/>
            <w:bookmarkStart w:id="12" w:name="_Toc393441677"/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каждый запрос</w:t>
            </w:r>
            <w:bookmarkEnd w:id="11"/>
            <w:r/>
            <w:bookmarkEnd w:id="12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один лист</w:t>
            </w:r>
            <w:r>
              <w:rPr>
                <w:sz w:val="20"/>
                <w:szCs w:val="20"/>
              </w:rPr>
              <w:t xml:space="preserve">, но не более 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один лист, но не более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</w:t>
            </w:r>
            <w:r>
              <w:rPr>
                <w:sz w:val="20"/>
                <w:szCs w:val="20"/>
              </w:rPr>
              <w:t xml:space="preserve">ой копии электронного платежного документа, полученного Банком по системе дистанционного банковского обслуживания (по заявлению клиента)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</w:t>
            </w:r>
            <w:r>
              <w:rPr>
                <w:sz w:val="20"/>
                <w:szCs w:val="20"/>
              </w:rPr>
              <w:t xml:space="preserve">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</w:t>
            </w:r>
            <w:r>
              <w:rPr>
                <w:sz w:val="20"/>
                <w:szCs w:val="20"/>
              </w:rPr>
              <w:t xml:space="preserve">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документ.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</w:t>
            </w:r>
            <w:r>
              <w:rPr>
                <w:sz w:val="20"/>
                <w:szCs w:val="20"/>
              </w:rPr>
              <w:t xml:space="preserve">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</w:t>
            </w:r>
            <w:r>
              <w:rPr>
                <w:sz w:val="20"/>
                <w:szCs w:val="20"/>
              </w:rPr>
              <w:t xml:space="preserve">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</w:t>
            </w:r>
            <w:r>
              <w:rPr>
                <w:sz w:val="20"/>
                <w:szCs w:val="20"/>
              </w:rPr>
              <w:t xml:space="preserve">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</w:t>
            </w:r>
            <w:r>
              <w:rPr>
                <w:sz w:val="20"/>
                <w:szCs w:val="20"/>
              </w:rPr>
              <w:t xml:space="preserve">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</w:t>
            </w:r>
            <w:r>
              <w:rPr>
                <w:sz w:val="20"/>
                <w:szCs w:val="20"/>
                <w:lang w:val="en-US" w:eastAsia="en-US"/>
              </w:rPr>
              <w:t xml:space="preserve">4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 При предоставлени</w:t>
            </w:r>
            <w:r>
              <w:rPr>
                <w:sz w:val="20"/>
                <w:szCs w:val="20"/>
                <w:lang w:eastAsia="en-US"/>
              </w:rPr>
              <w:t xml:space="preserve">и данной услуги комиссионное вознаграждение по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пп. 1.3.1-1.3.3, 1.3.5-1.3.13 Тарифов не взимается.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1.3.15.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</w:t>
            </w:r>
            <w:r>
              <w:rPr>
                <w:sz w:val="20"/>
                <w:szCs w:val="20"/>
                <w:lang w:eastAsia="en-US"/>
              </w:rPr>
              <w:t xml:space="preserve">м к нему.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Срок действия – до 31 декабря 2025 года (включительно).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 Комиссия по п.1.2.3.3 взимается за ведение счетов в следующих иностранных валютах: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Австралийский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Багамский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Болгарский лев;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Венгерский форинт;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Вон Республики Корея;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Гонконгский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Датская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Исландская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Канадский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Албанский лек;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Македонский денар;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Новозеландский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Норвежская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Польский злотый;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Румынский 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Сингапурский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Украинская гривна;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Фунт стерлингов Соединенного королевства;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Хорватская куна;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Чешская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Шведская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Швейцарский франк;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Японская йена.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Под обязательствами перед АО «Россельхозбанк» по кредитным сделкам поним</w:t>
      </w:r>
      <w:r>
        <w:rPr>
          <w:i/>
          <w:sz w:val="16"/>
          <w:szCs w:val="16"/>
        </w:rPr>
        <w:t xml:space="preserve">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 «Россельхозбанк» по выш</w:t>
      </w:r>
      <w:r>
        <w:rPr>
          <w:i/>
          <w:sz w:val="16"/>
          <w:szCs w:val="16"/>
        </w:rPr>
        <w:t xml:space="preserve">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Без взимания комиссии в Банке открываются и обслуживаются: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бюджетные счета (счета, открываемые на балансовых позиция</w:t>
      </w:r>
      <w:r>
        <w:rPr>
          <w:i/>
          <w:sz w:val="16"/>
          <w:szCs w:val="16"/>
        </w:rPr>
        <w:t xml:space="preserve">х 401-404);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счета бюджетных учреждений/казенных учреждений/автономных учреждений;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депозитные счета нотариусов;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головного исполнителя;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</w:t>
      </w:r>
      <w:r>
        <w:rPr>
          <w:i/>
          <w:sz w:val="16"/>
          <w:szCs w:val="16"/>
        </w:rPr>
        <w:t xml:space="preserve"> размещения саморегулируемыми организациями средств компенсационного фонда;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</w:t>
      </w:r>
      <w:r>
        <w:rPr>
          <w:i/>
          <w:sz w:val="16"/>
          <w:szCs w:val="16"/>
        </w:rPr>
        <w:t xml:space="preserve">улируемыми организациями средств компенсационного фонда обеспечения договорных обязательств;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публичные депозитные счета;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счета эскроу для расчетов по договору участия в долевом строительстве.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Применяется при предоставлении услуг, указанных в разделе 1 </w:t>
      </w:r>
      <w:r>
        <w:rPr>
          <w:i/>
          <w:sz w:val="16"/>
          <w:szCs w:val="16"/>
        </w:rPr>
        <w:t xml:space="preserve">«Открытие и ведение счетов»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при совершении операции по счету клиента, в том числе</w:t>
      </w:r>
      <w:r>
        <w:rPr>
          <w:i/>
          <w:sz w:val="16"/>
          <w:szCs w:val="16"/>
        </w:rPr>
        <w:t xml:space="preserve">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Комиссии взимаются Банком в день оказания соотв</w:t>
      </w:r>
      <w:r>
        <w:rPr>
          <w:i/>
          <w:sz w:val="16"/>
          <w:szCs w:val="16"/>
        </w:rPr>
        <w:t xml:space="preserve">етствующих услуг, если иной порядок не указан в примечании к Тарифу.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</w:t>
      </w:r>
      <w:r>
        <w:rPr>
          <w:i/>
          <w:sz w:val="16"/>
          <w:szCs w:val="16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</w:t>
      </w:r>
      <w:r>
        <w:rPr>
          <w:i/>
          <w:sz w:val="16"/>
          <w:szCs w:val="16"/>
        </w:rPr>
        <w:t xml:space="preserve">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i/>
          <w:sz w:val="16"/>
          <w:szCs w:val="16"/>
        </w:rPr>
        <w:tab/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bookmarkStart w:id="13" w:name="_Toc393441460"/>
      <w:r/>
      <w:bookmarkStart w:id="14" w:name="_Toc393441678"/>
      <w:r/>
      <w:bookmarkStart w:id="15" w:name="_Toc393441787"/>
      <w:r/>
      <w:bookmarkStart w:id="16" w:name="_Toc393441827"/>
      <w:r/>
      <w:bookmarkStart w:id="17" w:name="_Toc393441896"/>
      <w:r/>
      <w:r/>
    </w:p>
    <w:p>
      <w:r/>
      <w:r/>
    </w:p>
    <w:p>
      <w:r/>
      <w:r/>
    </w:p>
    <w:p>
      <w:pPr>
        <w:pStyle w:val="998"/>
      </w:pPr>
      <w:r/>
      <w:bookmarkStart w:id="18" w:name="_Toc509304032"/>
      <w:r/>
      <w:bookmarkStart w:id="19" w:name="_Toc78453720"/>
      <w:r>
        <w:t xml:space="preserve">2.Кассовые операции*</w:t>
      </w:r>
      <w:bookmarkEnd w:id="13"/>
      <w:r/>
      <w:bookmarkEnd w:id="14"/>
      <w:r/>
      <w:bookmarkEnd w:id="15"/>
      <w:r/>
      <w:bookmarkEnd w:id="16"/>
      <w:r/>
      <w:bookmarkEnd w:id="17"/>
      <w:r/>
      <w:bookmarkEnd w:id="18"/>
      <w:r/>
      <w:bookmarkEnd w:id="19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200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листов –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(</w:t>
            </w:r>
            <w:r>
              <w:rPr>
                <w:sz w:val="20"/>
                <w:szCs w:val="20"/>
              </w:rPr>
              <w:t xml:space="preserve">в том числе при закрытии счета)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sz w:val="20"/>
                <w:szCs w:val="20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суммы,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Юридическим лицам и индивидуальным предпринимателям на другие цели, за исключением целей, связанных с </w:t>
            </w:r>
            <w:r>
              <w:rPr>
                <w:sz w:val="20"/>
                <w:szCs w:val="20"/>
              </w:rPr>
              <w:t xml:space="preserve">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300 000 руб. (вкл</w:t>
            </w:r>
            <w:r>
              <w:rPr>
                <w:sz w:val="20"/>
                <w:szCs w:val="20"/>
              </w:rPr>
              <w:t xml:space="preserve">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1 500 000,00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6,5%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1 500 000,01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4 000 000,00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</w:t>
            </w:r>
            <w:r>
              <w:rPr>
                <w:sz w:val="20"/>
                <w:szCs w:val="20"/>
              </w:rPr>
              <w:t xml:space="preserve">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4 000 000,01 руб.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выше в течение календарного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</w:t>
            </w:r>
            <w:r>
              <w:rPr>
                <w:sz w:val="20"/>
                <w:szCs w:val="20"/>
              </w:rPr>
              <w:t xml:space="preserve">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</w:t>
            </w:r>
            <w:r>
              <w:rPr>
                <w:sz w:val="20"/>
                <w:szCs w:val="20"/>
              </w:rPr>
              <w:t xml:space="preserve">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(в том числе при закрытии счета) крестьянским (фермерским) хозяйствам, независимо от правового статуса, сельскохозяйственным производственным кооперативам, сельскохозяйственным </w:t>
            </w:r>
            <w:r>
              <w:rPr>
                <w:sz w:val="20"/>
                <w:szCs w:val="20"/>
              </w:rPr>
              <w:t xml:space="preserve">потребительским кооперативам, индивидуальным предпринимателям, относящимся к 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</w:t>
            </w:r>
            <w:r>
              <w:rPr>
                <w:sz w:val="20"/>
                <w:szCs w:val="20"/>
              </w:rPr>
              <w:t xml:space="preserve">их лиц*****совокупно по всем счетам клиента в рамках подразделения Банка***</w:t>
            </w:r>
            <w:r>
              <w:rPr>
                <w:sz w:val="20"/>
                <w:szCs w:val="20"/>
              </w:rPr>
              <w:br w:type="page" w:clear="all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3 500 000,00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3 500 000,01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6 000 000,00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6 000 000,01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10 000 000,00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10 000 000,01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15 000 000,00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c 15 000 000,01 руб. и выше в течение календарного </w:t>
            </w:r>
            <w:r>
              <w:rPr>
                <w:sz w:val="20"/>
                <w:szCs w:val="20"/>
              </w:rPr>
              <w:t xml:space="preserve">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</w:t>
            </w:r>
            <w:r>
              <w:rPr>
                <w:sz w:val="20"/>
                <w:szCs w:val="20"/>
              </w:rPr>
              <w:t xml:space="preserve">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</w:t>
            </w:r>
            <w:r>
              <w:rPr>
                <w:sz w:val="20"/>
                <w:szCs w:val="20"/>
              </w:rPr>
              <w:t xml:space="preserve">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денежной наличности, поступившей по о</w:t>
            </w:r>
            <w:r>
              <w:rPr>
                <w:sz w:val="20"/>
                <w:szCs w:val="20"/>
              </w:rPr>
              <w:t xml:space="preserve">дному сопроводительному документу.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</w:t>
            </w:r>
            <w:r>
              <w:rPr>
                <w:sz w:val="20"/>
                <w:szCs w:val="20"/>
              </w:rPr>
              <w:t xml:space="preserve">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по объявлению на взнос наличными (банкноты);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 (банкноты)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</w:t>
            </w:r>
            <w:r>
              <w:rPr>
                <w:sz w:val="20"/>
                <w:szCs w:val="20"/>
              </w:rPr>
              <w:t xml:space="preserve">ересчет монет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</w:t>
            </w:r>
            <w:r>
              <w:rPr>
                <w:sz w:val="20"/>
                <w:szCs w:val="20"/>
              </w:rPr>
              <w:t xml:space="preserve">вления на экспертизу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 Размен банкнот/монет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</w:t>
            </w:r>
            <w:r>
              <w:rPr>
                <w:sz w:val="20"/>
                <w:szCs w:val="20"/>
              </w:rPr>
              <w:t xml:space="preserve">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 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заявке** за 3 рабочих дня до получения разменной монеты.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</w:t>
            </w:r>
            <w:r>
              <w:rPr>
                <w:sz w:val="20"/>
                <w:szCs w:val="20"/>
              </w:rPr>
              <w:t xml:space="preserve">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наличной иностранной валюты (за исключением монет)******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</w:t>
            </w:r>
            <w:r>
              <w:rPr>
                <w:sz w:val="20"/>
                <w:szCs w:val="20"/>
              </w:rPr>
              <w:t xml:space="preserve">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денежных средств для выд</w:t>
            </w:r>
            <w:r>
              <w:rPr>
                <w:sz w:val="20"/>
                <w:szCs w:val="20"/>
              </w:rPr>
              <w:t xml:space="preserve">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</w:t>
            </w:r>
            <w:r>
              <w:rPr>
                <w:sz w:val="20"/>
                <w:szCs w:val="20"/>
              </w:rPr>
              <w:t xml:space="preserve">но заказанных наличных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Операции по обслуживанию бюджетных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</w:t>
      </w:r>
      <w:r>
        <w:rPr>
          <w:i/>
          <w:sz w:val="16"/>
          <w:szCs w:val="16"/>
        </w:rPr>
        <w:t xml:space="preserve">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</w:t>
      </w:r>
      <w:r>
        <w:rPr>
          <w:i/>
          <w:sz w:val="16"/>
          <w:szCs w:val="16"/>
        </w:rPr>
        <w:t xml:space="preserve"> предоставлении услуг, указанных в разделе 2 «Кассовые операции»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**) 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</w:t>
      </w:r>
      <w:r>
        <w:rPr>
          <w:i/>
          <w:sz w:val="16"/>
          <w:szCs w:val="16"/>
        </w:rPr>
        <w:t xml:space="preserve">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</w:t>
      </w:r>
      <w:r>
        <w:rPr>
          <w:i/>
          <w:sz w:val="16"/>
          <w:szCs w:val="16"/>
        </w:rPr>
        <w:t xml:space="preserve">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***) Под подразделением Банка понимается региональный филиал, включая его дополнительные офисы, либо головной офис Банка, в</w:t>
      </w:r>
      <w:r>
        <w:rPr>
          <w:i/>
          <w:sz w:val="16"/>
          <w:szCs w:val="16"/>
        </w:rPr>
        <w:t xml:space="preserve">ключая его внутренние структурные подразделения.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«****)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</w:t>
      </w:r>
      <w:r>
        <w:rPr>
          <w:i/>
          <w:sz w:val="16"/>
          <w:szCs w:val="16"/>
        </w:rPr>
        <w:t xml:space="preserve">фикатор видов экономической деятельности):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10 - Производство пищевых продуктов (включая все подклассы, гру</w:t>
      </w:r>
      <w:r>
        <w:rPr>
          <w:i/>
          <w:sz w:val="16"/>
          <w:szCs w:val="16"/>
        </w:rPr>
        <w:t xml:space="preserve">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11 - Производство напитков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12 - Производство табачных изделий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46.2 - Торговля оптовая сельскохозяйственным сырьем и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46.21.1 - Торговля оптовая зерном, семенами и кормами для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46.21.11 - Торговля оптовая зерном.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46.21.12 - Торговля оптовая семенами, кр</w:t>
      </w:r>
      <w:r>
        <w:rPr>
          <w:i/>
          <w:sz w:val="16"/>
          <w:szCs w:val="16"/>
        </w:rPr>
        <w:t xml:space="preserve">оме семян масличных культур.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46.21.13 - Торговля оптовая масличными семенами и маслосодержащими плодами.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46.21.14 - Торговля оптовая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46.21.19 - Торговля оптовая сельскохозяйственным сырьем, не включенным в другие </w:t>
      </w:r>
      <w:r>
        <w:rPr>
          <w:i/>
          <w:sz w:val="16"/>
          <w:szCs w:val="16"/>
        </w:rPr>
        <w:t xml:space="preserve">группировки.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46.22 - Торговля оптовая цветами и растениями.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46.23 - Торговля оптовая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46.31 - Торговля оптовая фруктами 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46.31.1 - Торговля оптовая свежими овощами,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46.31.11 - Торговля оптовая свежим картофеле</w:t>
      </w:r>
      <w:r>
        <w:rPr>
          <w:i/>
          <w:sz w:val="16"/>
          <w:szCs w:val="16"/>
        </w:rPr>
        <w:t xml:space="preserve">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46.31.12 - Торговля оптовая прочими свежими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46.31.13 - Торговля оптовая свежими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46.32 - Торговля оптовая мясом и мясными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46.32.1 - Торговля оптовая мясом и мясом птицы, включая субпродукты.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46.32.2 - Торговля опт</w:t>
      </w:r>
      <w:r>
        <w:rPr>
          <w:i/>
          <w:sz w:val="16"/>
          <w:szCs w:val="16"/>
        </w:rPr>
        <w:t xml:space="preserve">овая продуктами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46.32.3 - Торговля оптовая консервами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46.33 - Торговля оптовая молочными продуктами, яйцами и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46.33.1 - Торговля оптовая молочными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46.33.2 - Торговля оптовая</w:t>
      </w:r>
      <w:r>
        <w:rPr>
          <w:i/>
          <w:sz w:val="16"/>
          <w:szCs w:val="16"/>
        </w:rPr>
        <w:t xml:space="preserve"> яйцами.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46.33.3 - Торговля оптовая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47.21 - Торговля розничная фруктами и овощами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47.22 - Торговля розничная мясом и мясными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47.22.1 - Торговля розничная мясом и мясом птицы, включая субп</w:t>
      </w:r>
      <w:r>
        <w:rPr>
          <w:i/>
          <w:sz w:val="16"/>
          <w:szCs w:val="16"/>
        </w:rPr>
        <w:t xml:space="preserve">родукты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47.22.2 - Торговля розничная продуктами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47.29.1 - Торговля розничная м</w:t>
      </w:r>
      <w:r>
        <w:rPr>
          <w:i/>
          <w:sz w:val="16"/>
          <w:szCs w:val="16"/>
        </w:rPr>
        <w:t xml:space="preserve">олочными продуктами и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47.29.11 - Торговля розничная молочными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47.29.12 - Торговля розничная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47.29.2 - Торговля розничная пищевыми масла</w:t>
      </w:r>
      <w:r>
        <w:rPr>
          <w:i/>
          <w:sz w:val="16"/>
          <w:szCs w:val="16"/>
        </w:rPr>
        <w:t xml:space="preserve">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47.29.21 - Торговля розничная животными маслами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47.29.22 - Торговля розничная растительными маслами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*****) В соответствии с Федеральным зак</w:t>
      </w:r>
      <w:r>
        <w:rPr>
          <w:i/>
          <w:sz w:val="16"/>
          <w:szCs w:val="16"/>
        </w:rPr>
        <w:t xml:space="preserve">оном от 10 июля 2023 года № 304-ФЗ "О внесении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</w:t>
      </w:r>
      <w:r>
        <w:rPr>
          <w:i/>
          <w:sz w:val="16"/>
          <w:szCs w:val="16"/>
        </w:rPr>
        <w:t xml:space="preserve">цветных и (или) черных металлов у физических лиц. При снятии наличных денежных средств на другие цели,  Клиент подтверждает, что выдача денежной наличности с банковского счета Клиента не связана с покупкой лома и отходов цветных и (или) черных металлов у ф</w:t>
      </w:r>
      <w:r>
        <w:rPr>
          <w:i/>
          <w:sz w:val="16"/>
          <w:szCs w:val="16"/>
        </w:rPr>
        <w:t xml:space="preserve">изических лиц.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******) Банк не принимает поврежденные банкноты иностранных государств.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998"/>
      </w:pPr>
      <w:r/>
      <w:bookmarkStart w:id="20" w:name="_Toc393441461"/>
      <w:r/>
      <w:bookmarkStart w:id="21" w:name="_Toc393441679"/>
      <w:r/>
      <w:bookmarkStart w:id="22" w:name="_Toc393441788"/>
      <w:r/>
      <w:bookmarkStart w:id="23" w:name="_Toc393441828"/>
      <w:r/>
      <w:bookmarkStart w:id="24" w:name="_Toc393441897"/>
      <w:r/>
      <w:bookmarkStart w:id="25" w:name="_Toc509304033"/>
      <w:r/>
      <w:bookmarkStart w:id="26" w:name="_Toc78453721"/>
      <w:r>
        <w:t xml:space="preserve">3. Выполнение функций агента валютного контроля</w:t>
      </w:r>
      <w:bookmarkEnd w:id="20"/>
      <w:r/>
      <w:bookmarkEnd w:id="21"/>
      <w:r>
        <w:t xml:space="preserve"> </w:t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(размер тарифов указан без учета НДС)*</w:t>
      </w:r>
      <w:bookmarkEnd w:id="22"/>
      <w:r/>
      <w:bookmarkEnd w:id="23"/>
      <w:r/>
      <w:bookmarkEnd w:id="24"/>
      <w:r/>
      <w:bookmarkEnd w:id="25"/>
      <w:r/>
      <w:bookmarkEnd w:id="26"/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/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0,15 %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300 руб. </w:t>
            </w:r>
            <w:r>
              <w:rPr>
                <w:sz w:val="20"/>
                <w:szCs w:val="20"/>
              </w:rPr>
              <w:br w:type="textWrapping" w:clear="all"/>
            </w:r>
            <w:r/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</w:t>
            </w:r>
            <w:r>
              <w:rPr>
                <w:sz w:val="20"/>
                <w:szCs w:val="20"/>
              </w:rPr>
              <w:t xml:space="preserve">ся в срок не позднее следующего 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right" w:pos="276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</w:t>
            </w:r>
            <w:r>
              <w:rPr>
                <w:sz w:val="20"/>
                <w:szCs w:val="20"/>
              </w:rPr>
              <w:t xml:space="preserve">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</w:t>
            </w:r>
            <w:r>
              <w:rPr>
                <w:sz w:val="20"/>
                <w:szCs w:val="20"/>
              </w:rPr>
              <w:t xml:space="preserve"> этого же резидента, открытый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</w:t>
            </w:r>
            <w:r>
              <w:rPr>
                <w:sz w:val="20"/>
                <w:szCs w:val="20"/>
              </w:rPr>
              <w:t xml:space="preserve">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</w:t>
            </w:r>
            <w:r>
              <w:rPr>
                <w:sz w:val="20"/>
                <w:szCs w:val="20"/>
              </w:rPr>
              <w:t xml:space="preserve">ибочно зачисленные (поступившие);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средств, связанных с упл</w:t>
            </w:r>
            <w:r>
              <w:rPr>
                <w:sz w:val="20"/>
                <w:szCs w:val="20"/>
              </w:rPr>
              <w:t xml:space="preserve">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</w:t>
            </w:r>
            <w:r>
              <w:rPr>
                <w:sz w:val="20"/>
                <w:szCs w:val="20"/>
              </w:rPr>
              <w:t xml:space="preserve">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</w:t>
            </w:r>
            <w:r>
              <w:rPr>
                <w:sz w:val="20"/>
                <w:szCs w:val="20"/>
              </w:rPr>
              <w:t xml:space="preserve">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</w:t>
            </w:r>
            <w:r>
              <w:rPr>
                <w:sz w:val="20"/>
                <w:szCs w:val="20"/>
              </w:rPr>
              <w:t xml:space="preserve">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</w:t>
            </w:r>
            <w:r>
              <w:rPr>
                <w:sz w:val="20"/>
                <w:szCs w:val="20"/>
              </w:rPr>
              <w:t xml:space="preserve">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 по пунктам</w:t>
            </w:r>
            <w:r>
              <w:rPr>
                <w:sz w:val="20"/>
                <w:szCs w:val="20"/>
              </w:rPr>
              <w:t xml:space="preserve">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условии предоставления в Банк до 15:00 ч. текущего рабочего дня (по местному времени) полного пакета надлежащ</w:t>
            </w:r>
            <w:r>
              <w:rPr>
                <w:sz w:val="20"/>
                <w:szCs w:val="20"/>
              </w:rPr>
              <w:t xml:space="preserve">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</w:t>
            </w:r>
            <w:r>
              <w:rPr>
                <w:sz w:val="20"/>
                <w:szCs w:val="20"/>
              </w:rPr>
              <w:t xml:space="preserve">контролю оказываются без учета условия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1 500 руб.</w:t>
            </w:r>
            <w:r>
              <w:t xml:space="preserve"> </w:t>
            </w:r>
            <w:r/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sz w:val="20"/>
                <w:szCs w:val="20"/>
              </w:rPr>
              <w:t xml:space="preserve">мплекта документов и информации для оформления Банком СПД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регионального филиала Банка в головн</w:t>
            </w:r>
            <w:r>
              <w:rPr>
                <w:sz w:val="20"/>
                <w:szCs w:val="20"/>
              </w:rPr>
              <w:t xml:space="preserve">ой офис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контракта (кредитного договора) на учет в другой уполномоченный банк либо при закрытии резидентом в</w:t>
            </w:r>
            <w:r>
              <w:rPr>
                <w:sz w:val="20"/>
                <w:szCs w:val="20"/>
              </w:rPr>
              <w:t xml:space="preserve">сех расчетных счетов в Банке****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300 руб., максимум 80 000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</w:t>
            </w:r>
            <w:r>
              <w:rPr>
                <w:sz w:val="20"/>
                <w:szCs w:val="20"/>
              </w:rPr>
              <w:t xml:space="preserve">нковского контроля.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</w:t>
            </w:r>
            <w:r>
              <w:rPr>
                <w:sz w:val="20"/>
                <w:szCs w:val="20"/>
              </w:rPr>
              <w:t xml:space="preserve">ин и иных обязательных платежей в соответствии с законодательством 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</w:t>
            </w:r>
            <w:r>
              <w:rPr>
                <w:sz w:val="20"/>
                <w:szCs w:val="20"/>
              </w:rPr>
              <w:t xml:space="preserve">и Российской Федерации, а также в банках-нерезидентах;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</w:t>
            </w:r>
            <w:r>
              <w:rPr>
                <w:sz w:val="20"/>
                <w:szCs w:val="20"/>
              </w:rPr>
              <w:t xml:space="preserve">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максимум 1 000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телефонный номер, подключенный к услуге.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днем подачи клиентом в Банк заявления о п</w:t>
            </w:r>
            <w:r>
              <w:rPr>
                <w:sz w:val="20"/>
                <w:szCs w:val="20"/>
              </w:rPr>
              <w:t xml:space="preserve">одключении услуги, далее ежемесячно в первый рабочий день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предоставляется только резидентам.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Понятия и термины применяются в значениях, определенных в Инструкции Центрального банка Российской Федераци</w:t>
      </w:r>
      <w:r>
        <w:rPr>
          <w:bCs/>
          <w:i/>
          <w:sz w:val="16"/>
          <w:szCs w:val="16"/>
        </w:rPr>
        <w:t xml:space="preserve">и от 16.08.2017 № 181-И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</w:t>
      </w:r>
      <w:r>
        <w:rPr>
          <w:bCs/>
          <w:i/>
          <w:sz w:val="16"/>
          <w:szCs w:val="16"/>
        </w:rPr>
        <w:t xml:space="preserve">дставления» (далее </w:t>
      </w:r>
      <w:r>
        <w:rPr>
          <w:i/>
          <w:sz w:val="16"/>
          <w:szCs w:val="16"/>
        </w:rPr>
        <w:t xml:space="preserve">–</w:t>
      </w:r>
      <w:r>
        <w:rPr>
          <w:bCs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Инструкция Банка России № 181-И)</w:t>
      </w:r>
      <w:r>
        <w:rPr>
          <w:bCs/>
          <w:i/>
          <w:sz w:val="16"/>
          <w:szCs w:val="16"/>
        </w:rPr>
        <w:t xml:space="preserve">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Порядок представления документов при выполнении Банком функций агента валютного контроля установлен Регламентом взаимодействия клиентов с АО «Россельхозбанк» при осуществлении операций, подлежащих валю</w:t>
      </w:r>
      <w:r>
        <w:rPr>
          <w:bCs/>
          <w:i/>
          <w:sz w:val="16"/>
          <w:szCs w:val="16"/>
        </w:rPr>
        <w:t xml:space="preserve">тному контролю.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</w:t>
      </w:r>
      <w:r>
        <w:rPr>
          <w:i/>
          <w:sz w:val="16"/>
          <w:szCs w:val="16"/>
        </w:rPr>
        <w:t xml:space="preserve">а день оказания услуги. При этом сумма НДС рассчитывается от полученного эквивалента в валюте РФ.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</w:t>
      </w:r>
      <w:r>
        <w:rPr>
          <w:i/>
          <w:sz w:val="16"/>
          <w:szCs w:val="16"/>
        </w:rPr>
        <w:t xml:space="preserve">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</w:t>
      </w:r>
      <w:r>
        <w:rPr>
          <w:i/>
          <w:sz w:val="16"/>
          <w:szCs w:val="16"/>
        </w:rPr>
        <w:t xml:space="preserve">вующему на день его списания.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 В случае перевода (зачисления) денежных средств общей суммой: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кодам вида операций, указанным в Приложении </w:t>
      </w:r>
      <w:r>
        <w:rPr>
          <w:bCs/>
          <w:i/>
          <w:sz w:val="16"/>
          <w:szCs w:val="16"/>
        </w:rPr>
        <w:t xml:space="preserve">1 к Инструкции Банка России № 181-И расчет комиссии производится по каждому коду вида операции.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Комиссионное вознаграждение взимается: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осуществляющего платеж в качестве третьего/другого лица, в случае одновременного</w:t>
      </w:r>
      <w:r>
        <w:rPr>
          <w:bCs/>
          <w:i/>
          <w:sz w:val="16"/>
          <w:szCs w:val="16"/>
        </w:rPr>
        <w:t xml:space="preserve">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являющегося резидентом-агентом (комиссионером) и действующего от имени и за сч</w:t>
      </w:r>
      <w:r>
        <w:rPr>
          <w:bCs/>
          <w:i/>
          <w:sz w:val="16"/>
          <w:szCs w:val="16"/>
        </w:rPr>
        <w:t xml:space="preserve">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</w:t>
      </w:r>
      <w:r>
        <w:rPr>
          <w:bCs/>
          <w:i/>
          <w:sz w:val="16"/>
          <w:szCs w:val="16"/>
        </w:rPr>
        <w:t xml:space="preserve">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 w:firstLine="56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</w:t>
      </w:r>
      <w:r>
        <w:rPr>
          <w:i/>
          <w:sz w:val="16"/>
          <w:szCs w:val="16"/>
        </w:rPr>
        <w:t xml:space="preserve">етьего лица, информация о которых подлежит отражению в ведомости банковского контроля.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Днем оказания услуги по валютному контролю является: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numPr>
          <w:ilvl w:val="0"/>
          <w:numId w:val="42"/>
        </w:numPr>
        <w:contextualSpacing/>
        <w:ind w:left="0" w:firstLine="567"/>
        <w:jc w:val="both"/>
        <w:tabs>
          <w:tab w:val="left" w:pos="851" w:leader="none"/>
        </w:tabs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По операциям резидентов, в том числе</w:t>
      </w:r>
      <w:r>
        <w:rPr>
          <w:bCs/>
          <w:i/>
          <w:sz w:val="16"/>
          <w:szCs w:val="16"/>
        </w:rPr>
        <w:t xml:space="preserve"> при переводе клиентом-резидентом денежных средств на счет этого же или на с</w:t>
      </w:r>
      <w:r>
        <w:rPr>
          <w:bCs/>
          <w:i/>
          <w:sz w:val="16"/>
          <w:szCs w:val="16"/>
        </w:rPr>
        <w:t xml:space="preserve">чет другого резидента, открытый в банке за пределами территории Российской Федерации: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</w:t>
      </w:r>
      <w:r>
        <w:rPr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день списания денежных средств с расчетного счета клиента-резидента;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 коде вида операции, соответствующем наименованию вида операции,</w:t>
      </w:r>
      <w:r>
        <w:rPr>
          <w:b/>
          <w:i/>
          <w:sz w:val="16"/>
          <w:szCs w:val="16"/>
        </w:rPr>
        <w:t xml:space="preserve"> указанному в приложении 1 к Инструкции Банка России № 181-И;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об уникальном номере контракта (кредитного договора);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документов, связанных с проведением валютной операции;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сведе</w:t>
      </w:r>
      <w:r>
        <w:rPr>
          <w:b/>
          <w:i/>
          <w:sz w:val="16"/>
          <w:szCs w:val="16"/>
        </w:rPr>
        <w:t xml:space="preserve">ний уполномоченного банка о проведенной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numPr>
          <w:ilvl w:val="0"/>
          <w:numId w:val="42"/>
        </w:numPr>
        <w:ind w:left="0"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резиденту информации о коде вида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При постановке экспортного контракта</w:t>
      </w:r>
      <w:r>
        <w:rPr>
          <w:i/>
          <w:sz w:val="16"/>
          <w:szCs w:val="16"/>
        </w:rPr>
        <w:t xml:space="preserve"> на учет на основании сведений об экспортном контракте, необходимых для постановки экспортного контракта на учет: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присвоения Банком экспортному контракту уникального номера.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firstLine="567"/>
        <w:jc w:val="both"/>
        <w:tabs>
          <w:tab w:val="left" w:pos="709" w:leader="none"/>
          <w:tab w:val="left" w:pos="851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4.</w:t>
      </w:r>
      <w:r>
        <w:rPr>
          <w:bCs/>
          <w:i/>
          <w:sz w:val="16"/>
          <w:szCs w:val="16"/>
        </w:rPr>
        <w:tab/>
        <w:t xml:space="preserve">При проверке СПД: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567"/>
        <w:jc w:val="both"/>
        <w:tabs>
          <w:tab w:val="left" w:pos="851" w:leader="none"/>
          <w:tab w:val="left" w:pos="1134" w:leader="none"/>
        </w:tabs>
        <w:rPr>
          <w:b/>
          <w:bCs/>
          <w:i/>
          <w:sz w:val="16"/>
          <w:szCs w:val="16"/>
        </w:rPr>
      </w:pPr>
      <w:r>
        <w:rPr>
          <w:b/>
          <w:bCs/>
          <w:i/>
          <w:sz w:val="16"/>
          <w:szCs w:val="16"/>
        </w:rPr>
        <w:t xml:space="preserve">- день принятия Банком СПД.</w:t>
      </w:r>
      <w:r>
        <w:rPr>
          <w:b/>
          <w:bCs/>
          <w:i/>
          <w:sz w:val="16"/>
          <w:szCs w:val="16"/>
        </w:rPr>
      </w:r>
      <w:r>
        <w:rPr>
          <w:b/>
          <w:bCs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i/>
          <w:sz w:val="16"/>
          <w:szCs w:val="16"/>
        </w:rPr>
        <w:tab/>
        <w:t xml:space="preserve">При оформлении Банком С</w:t>
      </w:r>
      <w:r>
        <w:rPr>
          <w:i/>
          <w:sz w:val="16"/>
          <w:szCs w:val="16"/>
        </w:rPr>
        <w:t xml:space="preserve">ПД за клиента: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оформления Банком СПД.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</w:t>
      </w:r>
      <w:r>
        <w:rPr>
          <w:i/>
          <w:sz w:val="16"/>
          <w:szCs w:val="16"/>
        </w:rPr>
        <w:tab/>
        <w:t xml:space="preserve">При снятии контракта (кредитного договора) с учета: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снятия Банком контракта (кредитного договора) с учета.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списания денежных средств с расчетного счета клиента-нерезидента.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8.</w:t>
      </w:r>
      <w:r>
        <w:rPr>
          <w:i/>
          <w:sz w:val="16"/>
          <w:szCs w:val="16"/>
        </w:rPr>
        <w:tab/>
        <w:t xml:space="preserve">При представлении клиенту копий документов из досье валютног</w:t>
      </w:r>
      <w:r>
        <w:rPr>
          <w:i/>
          <w:sz w:val="16"/>
          <w:szCs w:val="16"/>
        </w:rPr>
        <w:t xml:space="preserve">о контроля: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клиенту копий документов.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В случае перевода </w:t>
      </w:r>
      <w:r>
        <w:rPr>
          <w:bCs/>
          <w:i/>
          <w:sz w:val="16"/>
          <w:szCs w:val="16"/>
        </w:rPr>
        <w:t xml:space="preserve">контракта (кредитного договора) на учет </w:t>
      </w:r>
      <w:r>
        <w:rPr>
          <w:i/>
          <w:sz w:val="16"/>
          <w:szCs w:val="16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</w:t>
      </w:r>
      <w:r>
        <w:rPr>
          <w:i/>
          <w:sz w:val="16"/>
          <w:szCs w:val="16"/>
        </w:rPr>
        <w:t xml:space="preserve">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98"/>
      </w:pPr>
      <w:r/>
      <w:bookmarkStart w:id="27" w:name="_Toc393441462"/>
      <w:r/>
      <w:bookmarkStart w:id="28" w:name="_Toc393441680"/>
      <w:r/>
      <w:bookmarkStart w:id="29" w:name="_Toc393441789"/>
      <w:r/>
      <w:bookmarkStart w:id="30" w:name="_Toc393441829"/>
      <w:r/>
      <w:bookmarkStart w:id="31" w:name="_Toc393441898"/>
      <w:r/>
      <w:bookmarkStart w:id="32" w:name="_Toc509304034"/>
      <w:r/>
      <w:bookmarkStart w:id="33" w:name="_Toc78453722"/>
      <w:r>
        <w:t xml:space="preserve">4. Операции с ценными бумагами</w:t>
      </w:r>
      <w:bookmarkEnd w:id="27"/>
      <w:r/>
      <w:bookmarkEnd w:id="28"/>
      <w:r/>
      <w:bookmarkEnd w:id="29"/>
      <w:r/>
      <w:bookmarkEnd w:id="30"/>
      <w:r/>
      <w:bookmarkEnd w:id="31"/>
      <w:r/>
      <w:bookmarkEnd w:id="32"/>
      <w:r/>
      <w:bookmarkEnd w:id="33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</w:t>
            </w:r>
            <w:r>
              <w:rPr>
                <w:b/>
                <w:sz w:val="20"/>
                <w:szCs w:val="20"/>
              </w:rPr>
              <w:t xml:space="preserve">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головном офисе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региональных филиалах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«Россельхозбанк» серии «К». 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30 дней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30 дней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серии «К» головным офисом и региональным филиалом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АО «Россельхозбанк» в заклад Банку.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</w:t>
            </w:r>
            <w:r>
              <w:rPr>
                <w:sz w:val="20"/>
                <w:szCs w:val="20"/>
              </w:rPr>
              <w:t xml:space="preserve"> лицам по их требованию, составленному в произвольной письменной форме.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руб.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«Россельхозбанк» соответствую</w:t>
            </w:r>
            <w:r>
              <w:rPr>
                <w:sz w:val="20"/>
                <w:szCs w:val="20"/>
              </w:rPr>
              <w:t xml:space="preserve">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</w:t>
            </w:r>
            <w:r>
              <w:rPr>
                <w:sz w:val="20"/>
                <w:szCs w:val="20"/>
              </w:rPr>
              <w:t xml:space="preserve">с законодательством), представлены на сайте Банка сети Интернет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bookmarkStart w:id="34" w:name="_Toc393441463"/>
      <w:r/>
      <w:bookmarkStart w:id="35" w:name="_Toc393441681"/>
      <w:r/>
      <w:bookmarkStart w:id="36" w:name="_Toc393441790"/>
      <w:r/>
      <w:bookmarkStart w:id="37" w:name="_Toc393441830"/>
      <w:r/>
      <w:bookmarkStart w:id="38" w:name="_Toc393441899"/>
      <w:r/>
      <w:r/>
    </w:p>
    <w:p>
      <w:pPr>
        <w:pStyle w:val="998"/>
      </w:pPr>
      <w:r/>
      <w:bookmarkStart w:id="39" w:name="_Toc509304035"/>
      <w:r/>
      <w:bookmarkStart w:id="40" w:name="_Toc78453723"/>
      <w:r>
        <w:t xml:space="preserve">5. Документарные операции</w:t>
      </w:r>
      <w:bookmarkEnd w:id="34"/>
      <w:r/>
      <w:bookmarkEnd w:id="35"/>
      <w:r/>
      <w:bookmarkEnd w:id="36"/>
      <w:r/>
      <w:bookmarkEnd w:id="37"/>
      <w:r/>
      <w:bookmarkEnd w:id="38"/>
      <w:r/>
      <w:bookmarkEnd w:id="39"/>
      <w:r/>
      <w:bookmarkEnd w:id="40"/>
      <w:r/>
      <w:r/>
    </w:p>
    <w:p>
      <w:r/>
      <w:r/>
    </w:p>
    <w:tbl>
      <w:tblPr>
        <w:tblW w:w="5115" w:type="pct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Аккредитивы для расчетов на территории Российской Федерации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1 000 руб.,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</w:t>
            </w:r>
            <w:r>
              <w:rPr>
                <w:bCs/>
                <w:color w:val="000000"/>
                <w:sz w:val="20"/>
                <w:szCs w:val="20"/>
              </w:rPr>
              <w:t xml:space="preserve">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Merge w:val="restar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</w:t>
            </w:r>
            <w:r>
              <w:rPr>
                <w:iCs/>
                <w:sz w:val="20"/>
                <w:szCs w:val="20"/>
              </w:rPr>
              <w:t xml:space="preserve"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iCs/>
                <w:sz w:val="20"/>
                <w:szCs w:val="20"/>
              </w:rPr>
              <w:t xml:space="preserve"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</w:t>
            </w:r>
            <w:r>
              <w:rPr>
                <w:iCs/>
                <w:sz w:val="20"/>
                <w:szCs w:val="20"/>
              </w:rPr>
              <w:t xml:space="preserve">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</w:t>
            </w:r>
            <w:r>
              <w:rPr>
                <w:iCs/>
                <w:sz w:val="20"/>
                <w:szCs w:val="20"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</w:t>
            </w:r>
            <w:r>
              <w:rPr>
                <w:iCs/>
                <w:sz w:val="20"/>
                <w:szCs w:val="20"/>
              </w:rPr>
              <w:t xml:space="preserve">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рублях Российской Федерации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50 000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 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</w:t>
            </w:r>
            <w:r>
              <w:rPr>
                <w:iCs/>
                <w:sz w:val="20"/>
                <w:szCs w:val="20"/>
              </w:rPr>
              <w:t xml:space="preserve">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</w:t>
            </w:r>
            <w:r>
              <w:rPr>
                <w:iCs/>
                <w:sz w:val="20"/>
                <w:szCs w:val="20"/>
              </w:rPr>
              <w:t xml:space="preserve">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(если аккредитив исполняется с отсрочкой платежа). В расчет комиссионного во</w:t>
            </w:r>
            <w:r>
              <w:rPr>
                <w:iCs/>
                <w:sz w:val="20"/>
                <w:szCs w:val="20"/>
              </w:rPr>
              <w:t xml:space="preserve">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</w:t>
            </w:r>
            <w:r>
              <w:rPr>
                <w:iCs/>
                <w:sz w:val="20"/>
                <w:szCs w:val="20"/>
              </w:rPr>
              <w:t xml:space="preserve">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</w:t>
            </w:r>
            <w:r>
              <w:rPr>
                <w:iCs/>
                <w:sz w:val="20"/>
                <w:szCs w:val="20"/>
              </w:rPr>
              <w:t xml:space="preserve">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5.1.3.2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</w:t>
            </w:r>
            <w:r>
              <w:rPr>
                <w:bCs/>
                <w:color w:val="000000"/>
                <w:sz w:val="20"/>
                <w:szCs w:val="20"/>
              </w:rPr>
              <w:t xml:space="preserve">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 минимум 5000 руб., максимум 100 000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5.2.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</w:t>
            </w:r>
            <w:r>
              <w:rPr>
                <w:iCs/>
                <w:sz w:val="20"/>
                <w:szCs w:val="20"/>
              </w:rPr>
              <w:t xml:space="preserve">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комиссионный период на</w:t>
            </w:r>
            <w:r>
              <w:rPr>
                <w:iCs/>
                <w:sz w:val="20"/>
                <w:szCs w:val="20"/>
              </w:rPr>
              <w:t xml:space="preserve">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</w:t>
            </w:r>
            <w:r>
              <w:rPr>
                <w:iCs/>
                <w:sz w:val="20"/>
                <w:szCs w:val="20"/>
              </w:rPr>
              <w:t xml:space="preserve">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</w:t>
            </w:r>
            <w:r>
              <w:rPr>
                <w:iCs/>
                <w:sz w:val="20"/>
                <w:szCs w:val="20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</w:t>
            </w:r>
            <w:r>
              <w:rPr>
                <w:iCs/>
                <w:sz w:val="20"/>
                <w:szCs w:val="20"/>
              </w:rPr>
              <w:t xml:space="preserve">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</w:t>
            </w:r>
            <w:r>
              <w:rPr>
                <w:iCs/>
                <w:sz w:val="20"/>
                <w:szCs w:val="20"/>
              </w:rPr>
              <w:t xml:space="preserve">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 в рублях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 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</w:t>
            </w:r>
            <w:r>
              <w:rPr>
                <w:bCs/>
                <w:color w:val="000000"/>
                <w:sz w:val="20"/>
                <w:szCs w:val="20"/>
              </w:rPr>
              <w:t xml:space="preserve">ия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 ч. если документы не приняты к оплате), исходя из суммы, запроше</w:t>
            </w:r>
            <w:r>
              <w:rPr>
                <w:bCs/>
                <w:color w:val="000000"/>
                <w:sz w:val="20"/>
                <w:szCs w:val="20"/>
              </w:rPr>
              <w:t xml:space="preserve">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на основании требования Банка.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</w:t>
            </w:r>
            <w:r>
              <w:rPr>
                <w:bCs/>
                <w:color w:val="000000"/>
                <w:sz w:val="20"/>
                <w:szCs w:val="20"/>
              </w:rPr>
              <w:t xml:space="preserve">ьзу другого бенефициара (трансферация);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её увеличения,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100 000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</w:t>
            </w:r>
            <w:r>
              <w:rPr>
                <w:bCs/>
                <w:color w:val="000000"/>
                <w:sz w:val="20"/>
                <w:szCs w:val="20"/>
              </w:rPr>
              <w:t xml:space="preserve">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5.3.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589" w:type="pct"/>
            <w:vAlign w:val="center"/>
            <w:textDirection w:val="lrTb"/>
            <w:noWrap w:val="false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по внешнеторговым сделкам (экспортные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Предварительное авизование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75 000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</w:t>
            </w:r>
            <w:r>
              <w:rPr>
                <w:iCs/>
                <w:sz w:val="20"/>
                <w:szCs w:val="20"/>
              </w:rPr>
              <w:t xml:space="preserve">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</w:t>
            </w:r>
            <w:r>
              <w:rPr>
                <w:iCs/>
                <w:sz w:val="20"/>
                <w:szCs w:val="20"/>
              </w:rPr>
              <w:t xml:space="preserve">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</w:t>
            </w:r>
            <w:r>
              <w:rPr>
                <w:iCs/>
                <w:sz w:val="20"/>
                <w:szCs w:val="20"/>
              </w:rPr>
              <w:t xml:space="preserve">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</w:t>
            </w:r>
            <w:r>
              <w:rPr>
                <w:iCs/>
                <w:sz w:val="20"/>
                <w:szCs w:val="20"/>
              </w:rPr>
              <w:t xml:space="preserve">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</w:t>
            </w:r>
            <w:r>
              <w:rPr>
                <w:iCs/>
                <w:sz w:val="20"/>
                <w:szCs w:val="20"/>
              </w:rPr>
              <w:t xml:space="preserve">ва/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</w:t>
            </w:r>
            <w:r>
              <w:rPr>
                <w:iCs/>
                <w:sz w:val="20"/>
                <w:szCs w:val="20"/>
              </w:rPr>
              <w:t xml:space="preserve">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</w:t>
            </w:r>
            <w:r>
              <w:rPr>
                <w:iCs/>
                <w:sz w:val="20"/>
                <w:szCs w:val="20"/>
              </w:rPr>
              <w:t xml:space="preserve">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из суммы, запрош</w:t>
            </w:r>
            <w:r>
              <w:rPr>
                <w:bCs/>
                <w:color w:val="000000"/>
                <w:sz w:val="20"/>
                <w:szCs w:val="20"/>
              </w:rPr>
              <w:t xml:space="preserve">енной к оплате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(трансферация);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5.3.7.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</w:t>
            </w:r>
            <w:r>
              <w:rPr>
                <w:bCs/>
                <w:color w:val="000000"/>
                <w:sz w:val="20"/>
                <w:szCs w:val="20"/>
              </w:rPr>
              <w:t xml:space="preserve">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5.4.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Документарное инкассо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.4.5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rPr>
          <w:sz w:val="18"/>
        </w:rPr>
      </w:pPr>
      <w:r/>
      <w:bookmarkStart w:id="41" w:name="_Toc393441464"/>
      <w:r/>
      <w:bookmarkStart w:id="42" w:name="_Toc393441682"/>
      <w:r/>
      <w:bookmarkStart w:id="43" w:name="_Toc393441791"/>
      <w:r/>
      <w:bookmarkStart w:id="44" w:name="_Toc393441831"/>
      <w:r/>
      <w:bookmarkStart w:id="45" w:name="_Toc393441900"/>
      <w:r>
        <w:rPr>
          <w:sz w:val="18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Примечание:</w:t>
      </w:r>
      <w:r>
        <w:rPr>
          <w:sz w:val="18"/>
        </w:rPr>
      </w:r>
      <w:r>
        <w:rPr>
          <w:sz w:val="18"/>
        </w:rPr>
      </w:r>
    </w:p>
    <w:p>
      <w:pPr>
        <w:tabs>
          <w:tab w:val="left" w:pos="284" w:leader="none"/>
        </w:tabs>
        <w:rPr>
          <w:sz w:val="18"/>
        </w:rPr>
      </w:pPr>
      <w:r>
        <w:rPr>
          <w:sz w:val="18"/>
        </w:rPr>
        <w:t xml:space="preserve">1.</w:t>
      </w:r>
      <w:r>
        <w:rPr>
          <w:sz w:val="18"/>
        </w:rPr>
        <w:tab/>
        <w:t xml:space="preserve">При указании в наименовании услуги д</w:t>
      </w:r>
      <w:r>
        <w:rPr>
          <w:sz w:val="18"/>
        </w:rPr>
        <w:t xml:space="preserve">вух и более операций комиссионное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2. Комиссионное вознаграждение взимается Банком по мере оказания соответствующих услуг в дату оказания</w:t>
      </w:r>
      <w:r>
        <w:rPr>
          <w:sz w:val="18"/>
        </w:rPr>
        <w:t xml:space="preserve"> услуги, если иной порядок не указан в примечаниях к настоящим Тарифам и/или не установлен по соглашению сторон.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</w:t>
      </w:r>
      <w:r>
        <w:rPr>
          <w:sz w:val="18"/>
        </w:rPr>
        <w:t xml:space="preserve">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</w:t>
      </w:r>
      <w:r>
        <w:rPr>
          <w:sz w:val="18"/>
        </w:rPr>
        <w:t xml:space="preserve">зания услуги/на дату начала периода (для комиссий, уплачиваемых за период).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4. Комиссионное вознаграждение по Разделам 5.2 «Документарные аккредитивы, открытые АО «Россельхозбанк» для расчетов по внешнеторговым сделкам (импортные аккредитивы)»,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По аккредитивам и инкассо в иностранной валюте комиссионное </w:t>
      </w:r>
      <w:r>
        <w:rPr>
          <w:sz w:val="18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за период)</w:t>
      </w:r>
      <w:r>
        <w:rPr>
          <w:sz w:val="18"/>
        </w:rPr>
        <w:t xml:space="preserve">, если иное не предусмотрено соглашением сторон.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</w:t>
      </w:r>
      <w:r>
        <w:rPr>
          <w:sz w:val="18"/>
        </w:rPr>
        <w:t xml:space="preserve">у на дату уплаты комиссии.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и, если иное не предусмотрено отдельным соглашением, осуществляется Клиентом дополнительно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к комиссионному вознаграждению, указанн</w:t>
      </w:r>
      <w:r>
        <w:rPr>
          <w:sz w:val="18"/>
        </w:rPr>
        <w:t xml:space="preserve">ому в Тарифах.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7.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8. Комиссионное вознаграждение, уплаченное Банку за оказание услуг (кроме ошибочно удержанного), возврату н</w:t>
      </w:r>
      <w:r>
        <w:rPr>
          <w:sz w:val="18"/>
        </w:rPr>
        <w:t xml:space="preserve">е подлежит.».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998"/>
      </w:pPr>
      <w:r/>
      <w:bookmarkStart w:id="46" w:name="_Toc509304036"/>
      <w:r/>
      <w:bookmarkStart w:id="47" w:name="_Toc78453724"/>
      <w:r>
        <w:t xml:space="preserve">6. Гарантийные операции</w:t>
      </w:r>
      <w:bookmarkEnd w:id="41"/>
      <w:r/>
      <w:bookmarkEnd w:id="42"/>
      <w:r/>
      <w:bookmarkEnd w:id="43"/>
      <w:r/>
      <w:bookmarkEnd w:id="44"/>
      <w:r/>
      <w:bookmarkEnd w:id="45"/>
      <w:r/>
      <w:bookmarkEnd w:id="46"/>
      <w:r/>
      <w:bookmarkEnd w:id="47"/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cantSplit/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п/п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услуги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Тариф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Примечание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банковской гарантии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выдачи банковской гарантии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 xml:space="preserve">суммы и/или срока</w:t>
            </w:r>
            <w:r>
              <w:rPr>
                <w:bCs/>
                <w:sz w:val="20"/>
                <w:szCs w:val="20"/>
              </w:rPr>
              <w:t xml:space="preserve">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sz w:val="20"/>
                <w:szCs w:val="20"/>
              </w:rPr>
              <w:t xml:space="preserve">Генерального соглашения о выдаче банковских гарантий/Соглашения о порядке и условиях выдачи банковской гарантии, а также </w:t>
            </w:r>
            <w:r>
              <w:rPr>
                <w:bCs/>
                <w:sz w:val="20"/>
                <w:szCs w:val="20"/>
              </w:rPr>
              <w:t xml:space="preserve">условий гарантии,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не указанных в п. 6.2.1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</w:t>
            </w:r>
            <w:r>
              <w:rPr>
                <w:sz w:val="20"/>
                <w:szCs w:val="20"/>
              </w:rPr>
              <w:t xml:space="preserve">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гарантии, авизование изменения гарантии, связанного с увеличением ее суммы, без обязательств 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8"/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Требование платежа по гарантии, авизованной без обязательств 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8"/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</w:t>
            </w:r>
            <w:r>
              <w:rPr>
                <w:bCs/>
                <w:sz w:val="20"/>
                <w:szCs w:val="20"/>
              </w:rPr>
              <w:t xml:space="preserve"> сообщения по гарантии, инициированного клиентом/банком-гарантом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 к пунктам 6.3-6.7 Тарифов: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 Если уплата комиссионного вознаграж</w:t>
      </w:r>
      <w:r>
        <w:rPr>
          <w:i/>
          <w:sz w:val="16"/>
          <w:szCs w:val="16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Размер комисс</w:t>
      </w:r>
      <w:r>
        <w:rPr>
          <w:i/>
          <w:sz w:val="16"/>
          <w:szCs w:val="16"/>
        </w:rPr>
        <w:t xml:space="preserve">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Комиссионное вознаграждение, уплаченное Банку за оказание услуг (кроме ошибочно удержанного), возврату не подлежит.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998"/>
      </w:pPr>
      <w:r/>
      <w:bookmarkStart w:id="48" w:name="_Toc393441465"/>
      <w:r/>
      <w:bookmarkStart w:id="49" w:name="_Toc393441683"/>
      <w:r/>
      <w:bookmarkStart w:id="50" w:name="_Toc393441792"/>
      <w:r/>
      <w:bookmarkStart w:id="51" w:name="_Toc393441832"/>
      <w:r/>
      <w:bookmarkStart w:id="52" w:name="_Toc393441901"/>
      <w:r/>
      <w:bookmarkStart w:id="53" w:name="_Toc509304037"/>
      <w:r/>
      <w:bookmarkStart w:id="54" w:name="_Toc78453725"/>
      <w:r>
        <w:t xml:space="preserve">7. Дистанционное б</w:t>
      </w:r>
      <w:r>
        <w:t xml:space="preserve">анковское обслуживание (ДБО)</w:t>
      </w:r>
      <w:bookmarkEnd w:id="48"/>
      <w:r/>
      <w:bookmarkEnd w:id="49"/>
      <w:r/>
      <w:bookmarkEnd w:id="50"/>
      <w:r/>
      <w:bookmarkEnd w:id="51"/>
      <w:r/>
      <w:bookmarkEnd w:id="52"/>
      <w:r/>
      <w:bookmarkEnd w:id="53"/>
      <w:r/>
      <w:bookmarkEnd w:id="54"/>
      <w:r/>
      <w:r/>
    </w:p>
    <w:p>
      <w:r/>
      <w:r/>
    </w:p>
    <w:tbl>
      <w:tblPr>
        <w:tblW w:w="10359" w:type="dxa"/>
        <w:tblInd w:w="-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3969"/>
        <w:gridCol w:w="1985"/>
        <w:gridCol w:w="3543"/>
      </w:tblGrid>
      <w:tr>
        <w:tblPrEx/>
        <w:trPr>
          <w:tblHeader/>
        </w:trPr>
        <w:tc>
          <w:tcPr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г. Тамбову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</w:t>
            </w:r>
            <w:r>
              <w:rPr>
                <w:sz w:val="20"/>
                <w:szCs w:val="20"/>
              </w:rPr>
              <w:t xml:space="preserve">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«Банк-Клиент»/«Интернет-Клиент»/«Свой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Тамбовской области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системы ДБО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месяцем подключения клиента к системе ДБО.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</w:t>
            </w:r>
            <w:r>
              <w:rPr>
                <w:sz w:val="20"/>
                <w:szCs w:val="20"/>
              </w:rPr>
              <w:t xml:space="preserve">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счетов данного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</w:t>
            </w:r>
            <w:r>
              <w:rPr>
                <w:sz w:val="20"/>
                <w:szCs w:val="20"/>
              </w:rPr>
              <w:t xml:space="preserve">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п. 7.3.1 Банком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условии подключения «Свой Б</w:t>
            </w:r>
            <w:r>
              <w:rPr>
                <w:sz w:val="20"/>
                <w:szCs w:val="20"/>
              </w:rPr>
              <w:t xml:space="preserve">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Клиен</w:t>
            </w:r>
            <w:r>
              <w:rPr>
                <w:sz w:val="20"/>
                <w:szCs w:val="20"/>
              </w:rPr>
              <w:t xml:space="preserve">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</w:t>
            </w:r>
            <w:r>
              <w:rPr>
                <w:sz w:val="20"/>
                <w:szCs w:val="20"/>
              </w:rPr>
              <w:t xml:space="preserve">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«Мобильный 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46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num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«Банк-Клиент»/ «Интернет-Клиент»/«Мобильный банк»/«Свой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47"/>
              </w:numPr>
              <w:ind w:left="0" w:firstLine="0"/>
              <w:spacing w:before="40"/>
              <w:tabs>
                <w:tab w:val="left" w:pos="31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217-ФЗ «О ведении гражданами садоводства и огородничества для собственных нужд и</w:t>
            </w:r>
            <w:r>
              <w:rPr>
                <w:bCs/>
                <w:sz w:val="20"/>
                <w:szCs w:val="20"/>
              </w:rPr>
              <w:t xml:space="preserve">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66-ФЗ «О садоводческих, ого</w:t>
            </w:r>
            <w:r>
              <w:rPr>
                <w:bCs/>
                <w:sz w:val="20"/>
                <w:szCs w:val="20"/>
              </w:rPr>
              <w:t xml:space="preserve">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7"/>
              </w:numPr>
              <w:ind w:left="0" w:firstLine="0"/>
              <w:spacing w:before="40"/>
              <w:tabs>
                <w:tab w:val="left" w:pos="31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для клиентов, имеющих обязательства перед </w:t>
            </w:r>
            <w:r>
              <w:rPr>
                <w:bCs/>
                <w:sz w:val="20"/>
                <w:szCs w:val="20"/>
              </w:rPr>
              <w:t xml:space="preserve">АО 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ДБО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с каждого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каждое автоматизированное рабочее место, но не более 5000 руб. с одного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</w:t>
            </w:r>
            <w:r>
              <w:rPr>
                <w:sz w:val="20"/>
                <w:szCs w:val="20"/>
              </w:rPr>
              <w:t xml:space="preserve">остоверяющем центре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 при подключении к «Интернет-Клиент»/«Свой Бизнес»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</w:t>
            </w:r>
            <w:r>
              <w:rPr>
                <w:sz w:val="20"/>
                <w:szCs w:val="20"/>
              </w:rPr>
              <w:t xml:space="preserve">ганизациям, на которые возлагается исполнение обязанностей опекунов или попечителей.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</w:t>
            </w:r>
            <w:r>
              <w:rPr>
                <w:sz w:val="20"/>
                <w:szCs w:val="20"/>
              </w:rPr>
              <w:t xml:space="preserve">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к «Интернет-Клиент»/«Свой Бизнес» с использованием Личного к</w:t>
            </w:r>
            <w:r>
              <w:rPr>
                <w:sz w:val="20"/>
                <w:szCs w:val="20"/>
              </w:rPr>
              <w:t xml:space="preserve">абинета услуга предоставляется в соответствии с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п. 7.4.2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</w:t>
            </w:r>
            <w:r>
              <w:rPr>
                <w:sz w:val="20"/>
                <w:szCs w:val="20"/>
              </w:rPr>
              <w:t xml:space="preserve">редоставляется клиенту после выполнения условий п. 7.4.1,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</w:t>
            </w:r>
            <w:r>
              <w:rPr>
                <w:sz w:val="20"/>
                <w:szCs w:val="20"/>
              </w:rPr>
              <w:t xml:space="preserve">ной подписи.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</w:t>
            </w:r>
            <w:r>
              <w:rPr>
                <w:sz w:val="20"/>
                <w:szCs w:val="20"/>
              </w:rPr>
              <w:t xml:space="preserve">тся комиссия в соответствии с п. 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</w:t>
            </w:r>
            <w:r>
              <w:rPr>
                <w:sz w:val="20"/>
                <w:szCs w:val="20"/>
              </w:rPr>
              <w:t xml:space="preserve">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«Интернет-Клиент»/«Свой Бизнес» с использованием Личного кабинета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2 050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получения клиентом ключевого носителя.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«Интернет-Клиент»/«Свой Бизнес»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</w:t>
            </w:r>
            <w:r>
              <w:rPr>
                <w:bCs/>
                <w:sz w:val="20"/>
                <w:szCs w:val="20"/>
              </w:rPr>
              <w:t xml:space="preserve">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</w:t>
            </w:r>
            <w:r>
              <w:rPr>
                <w:sz w:val="20"/>
                <w:szCs w:val="20"/>
              </w:rPr>
              <w:t xml:space="preserve">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non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</w:t>
            </w:r>
            <w:r>
              <w:rPr>
                <w:sz w:val="20"/>
                <w:szCs w:val="20"/>
              </w:rPr>
              <w:t xml:space="preserve">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</w:t>
            </w:r>
            <w:r>
              <w:rPr>
                <w:bCs/>
                <w:sz w:val="20"/>
                <w:szCs w:val="20"/>
              </w:rPr>
              <w:t xml:space="preserve"> электронной подписи в одном электронном документе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 «Россельхозбанк»/заключения экспертной группы.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смена сертифи</w:t>
            </w:r>
            <w:r>
              <w:rPr>
                <w:sz w:val="20"/>
                <w:szCs w:val="20"/>
              </w:rPr>
              <w:t xml:space="preserve">ката ключа проверки электронной подписи 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12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7.6.1.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2 050 руб.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</w:r>
            <w:r>
              <w:rPr>
                <w:rFonts w:eastAsia="Calibri"/>
                <w:sz w:val="20"/>
                <w:szCs w:val="20"/>
                <w:lang w:val="en-US" w:eastAsia="en-US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</w:t>
            </w:r>
            <w:r>
              <w:rPr>
                <w:sz w:val="20"/>
                <w:szCs w:val="20"/>
              </w:rPr>
              <w:t xml:space="preserve">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</w:t>
            </w:r>
            <w:r>
              <w:rPr>
                <w:sz w:val="20"/>
                <w:szCs w:val="20"/>
              </w:rPr>
              <w:t xml:space="preserve">ко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</w:t>
            </w:r>
            <w:r>
              <w:rPr>
                <w:sz w:val="20"/>
                <w:szCs w:val="20"/>
              </w:rPr>
              <w:t xml:space="preserve">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услуга предоставляется в соответствии с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п. 7.6.1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време</w:t>
            </w:r>
            <w:r>
              <w:rPr>
                <w:sz w:val="20"/>
                <w:szCs w:val="20"/>
              </w:rPr>
              <w:t xml:space="preserve">нного/постоянного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</w:t>
            </w:r>
            <w:r>
              <w:rPr>
                <w:sz w:val="20"/>
                <w:szCs w:val="20"/>
              </w:rPr>
              <w:t xml:space="preserve"> подписи на ключевом носителе, выданном Банком, осуществляется клиентом только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предос</w:t>
            </w:r>
            <w:r>
              <w:rPr>
                <w:sz w:val="20"/>
                <w:szCs w:val="20"/>
              </w:rPr>
              <w:t xml:space="preserve">тавляется в соответствии с п. 7.6.2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доступна в «Интернет-Клиент», «Мобильный банк»,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</w:t>
            </w:r>
            <w:r>
              <w:rPr>
                <w:bCs/>
                <w:sz w:val="20"/>
                <w:szCs w:val="20"/>
              </w:rPr>
              <w:t xml:space="preserve">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SMS-сообщения для авторизации и/или формирования электронной подписи 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</w:t>
            </w:r>
            <w:r>
              <w:rPr>
                <w:bCs/>
                <w:sz w:val="20"/>
                <w:szCs w:val="20"/>
              </w:rPr>
              <w:t xml:space="preserve">едения тарифа указанная комиссия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 «SMS информирование»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сервис «SMS информирование» (далее – Сервис) в рамках операций по счетам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Сервису,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за каждый телефонный номер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авансом в первый рабочий день календарно</w:t>
            </w:r>
            <w:r>
              <w:rPr>
                <w:sz w:val="20"/>
                <w:szCs w:val="20"/>
              </w:rPr>
              <w:t xml:space="preserve">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Сервиса до 15-го числа календарного месяца комиссия за текущий месяц взим</w:t>
            </w:r>
            <w:r>
              <w:rPr>
                <w:sz w:val="20"/>
                <w:szCs w:val="20"/>
              </w:rPr>
              <w:t xml:space="preserve">ается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текущий месяц взимается в размере 50% от расчетной величины.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наличия операций по счету Клиента, подключенного к Серв</w:t>
            </w:r>
            <w:r>
              <w:rPr>
                <w:sz w:val="20"/>
                <w:szCs w:val="20"/>
              </w:rPr>
              <w:t xml:space="preserve">ису (не пересчитывается/ не возмещается при отсутствии операций по счету).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«Контроль за платежами.Акцепт»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1 000 руб.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месяц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  <w:lang w:eastAsia="ru-RU"/>
              </w:rPr>
              <w:t xml:space="preserve">Услуга предоставляется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  <w:lang w:eastAsia="ru-RU"/>
              </w:rPr>
              <w:t xml:space="preserve">Контролирующей организации.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Комиссия взимается за каждый банковский счет/ транзитный валютный счет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Контролируемой организации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по которому Контролирующей организации предоставляется услуга.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Расчетным периодом (месяцем) является календарный месяц.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лендарного месяца единой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банковских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. Комиссия за конкретный банковский счет/ транзитный валютный счет взимается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 начиная с календарного месяца, следующего за календарным месяцем подключения к услуге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такого банковского счета/ транзитного валютного счета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Контролируем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Комиссия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является абонентской платой 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взимается независимо от наличия операций по банковск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, подключенн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к услуге (не пересчитывается/ не возмещается при отсутствии операций по банковск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).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 случае отключения услуги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комиссия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за  календарный месяц, в котором отключается услуга,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взимается пропорционально количеству рабочих дней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предоставления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услуги в этом месяце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(включая день отключения услуги)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Предоставление услуги приостанавливается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в дату взимания комиссии, в которую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услуги Банка не были оплачены за все банковские счета и транзитные валютные счета Контролируемых организаций в полном объеме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Услуга приостанавливается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Услуга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возобновляется  в дату оплаты Контролирующей организацией  начисленной комиссии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в полном объеме за все банковские счета и транзитные валютные счета Контролируемых организаций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(оплата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расчетный месяц, в котором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оказание услуги было приостановлено в течение всего месяца.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платежами.Выписка»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Услуга предоставляется Контролирующей организации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 Комиссия взимается за 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лендарного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месяца единой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Комис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сия является абонентской платой и взимается независимо от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 предоставлении услуги в соответствии с п. 7.10 настоящих тарифов комиссия по п. 7.11 настоящих тарифов не взимается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Предоставление услуги приостанавливается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в дату взимания комиссии, в которую услуги Банка не были оплачены за все банковские 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чета 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ранзитные валютные счета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Контролируемых организаций в полном объеме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 Услуга приостанавливается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их счетов и транзитных вал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ютных счет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я.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bCs/>
          <w:i/>
          <w:sz w:val="16"/>
          <w:szCs w:val="16"/>
        </w:rPr>
      </w:pPr>
      <w:r>
        <w:rPr>
          <w:i/>
          <w:iCs/>
          <w:sz w:val="16"/>
          <w:szCs w:val="16"/>
        </w:rPr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* Под обязательствами перед АО «Россельхозбанк» по кредитным сделкам понимаются:</w:t>
      </w:r>
      <w:r>
        <w:rPr>
          <w:i/>
          <w:iCs/>
          <w:sz w:val="16"/>
          <w:szCs w:val="16"/>
        </w:rPr>
      </w:r>
      <w:r>
        <w:rPr>
          <w:i/>
          <w:iCs/>
          <w:sz w:val="16"/>
          <w:szCs w:val="16"/>
        </w:rPr>
      </w:r>
    </w:p>
    <w:p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</w:t>
      </w:r>
      <w:r>
        <w:rPr>
          <w:i/>
          <w:iCs/>
          <w:sz w:val="16"/>
          <w:szCs w:val="16"/>
        </w:rPr>
        <w:t xml:space="preserve"> числе прекратившим свое действие);</w:t>
      </w:r>
      <w:r>
        <w:rPr>
          <w:i/>
          <w:iCs/>
          <w:sz w:val="16"/>
          <w:szCs w:val="16"/>
        </w:rPr>
      </w:r>
      <w:r>
        <w:rPr>
          <w:i/>
          <w:iCs/>
          <w:sz w:val="16"/>
          <w:szCs w:val="16"/>
        </w:rPr>
      </w:r>
    </w:p>
    <w:p>
      <w:pPr>
        <w:rPr>
          <w:bCs/>
          <w:i/>
          <w:iCs/>
          <w:sz w:val="16"/>
          <w:szCs w:val="16"/>
          <w:highlight w:val="none"/>
        </w:rPr>
      </w:pPr>
      <w:r>
        <w:rPr>
          <w:i/>
          <w:iCs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 «Россельхозбанк» по вышеуказанным договорам, в том числе по договорам залога, договорам поручительства (в том числе прекратившим</w:t>
      </w:r>
      <w:r>
        <w:rPr>
          <w:i/>
          <w:iCs/>
          <w:sz w:val="16"/>
          <w:szCs w:val="16"/>
        </w:rPr>
        <w:t xml:space="preserve"> свое действие).</w:t>
      </w:r>
      <w:r>
        <w:rPr>
          <w:bCs/>
          <w:i/>
          <w:iCs/>
          <w:sz w:val="16"/>
          <w:szCs w:val="16"/>
          <w:highlight w:val="none"/>
        </w:rPr>
      </w:r>
      <w:r>
        <w:rPr>
          <w:bCs/>
          <w:i/>
          <w:iCs/>
          <w:sz w:val="16"/>
          <w:szCs w:val="16"/>
          <w:highlight w:val="none"/>
        </w:rPr>
      </w:r>
    </w:p>
    <w:p>
      <w:pPr>
        <w:ind w:left="0" w:right="0" w:firstLine="0"/>
        <w:jc w:val="left"/>
        <w:spacing w:before="0" w:beforeAutospacing="0" w:line="240" w:lineRule="auto"/>
        <w:tabs>
          <w:tab w:val="left" w:pos="1134" w:leader="none"/>
          <w:tab w:val="left" w:pos="5670" w:leader="none"/>
        </w:tabs>
        <w:rPr>
          <w:rFonts w:ascii="Times New Roman" w:hAnsi="Times New Roman" w:cs="Times New Roman"/>
          <w:bCs/>
          <w:i/>
          <w:color w:val="000000"/>
          <w:highlight w:val="none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none"/>
          <w:lang w:eastAsia="en-US"/>
        </w:rPr>
        <w:t xml:space="preserve">** </w:t>
      </w:r>
      <w:r>
        <w:rPr>
          <w:rFonts w:ascii="Times New Roman" w:hAnsi="Times New Roman" w:eastAsia="Times New Roman" w:cs="Times New Roman"/>
          <w:bCs/>
          <w:i/>
          <w:iCs/>
          <w:sz w:val="16"/>
          <w:szCs w:val="16"/>
          <w:highlight w:val="none"/>
          <w:lang w:eastAsia="ru-RU"/>
        </w:rPr>
        <w:t xml:space="preserve">Комиссия не взимается в случае если Контролирующая организация является специализированным депозитарием</w:t>
      </w:r>
      <w:r>
        <w:rPr>
          <w:rFonts w:ascii="Times New Roman" w:hAnsi="Times New Roman" w:eastAsia="Times New Roman" w:cs="Times New Roman"/>
          <w:bCs/>
          <w:i/>
          <w:iCs/>
          <w:sz w:val="16"/>
          <w:szCs w:val="16"/>
          <w:highlight w:val="none"/>
          <w:lang w:eastAsia="ru-RU"/>
        </w:rPr>
        <w:t xml:space="preserve">, осуществляющим контроль</w:t>
      </w:r>
      <w:r>
        <w:rPr>
          <w:rFonts w:ascii="Times New Roman" w:hAnsi="Times New Roman" w:eastAsia="Times New Roman" w:cs="Times New Roman"/>
          <w:bCs/>
          <w:i/>
          <w:iCs/>
          <w:sz w:val="16"/>
          <w:szCs w:val="16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sz w:val="16"/>
          <w:szCs w:val="16"/>
          <w:highlight w:val="none"/>
          <w:lang w:eastAsia="ru-RU"/>
        </w:rPr>
        <w:t xml:space="preserve">за платежами </w:t>
      </w:r>
      <w:r>
        <w:rPr>
          <w:rFonts w:ascii="Times New Roman" w:hAnsi="Times New Roman" w:eastAsia="Times New Roman" w:cs="Times New Roman"/>
          <w:bCs/>
          <w:i/>
          <w:iCs/>
          <w:sz w:val="16"/>
          <w:szCs w:val="16"/>
          <w:highlight w:val="none"/>
          <w:lang w:eastAsia="ru-RU"/>
        </w:rPr>
        <w:t xml:space="preserve">в соответствии с Федеральным законом от 29.11.2001 № 156-ФЗ </w:t>
      </w:r>
      <w:r>
        <w:rPr>
          <w:rFonts w:ascii="Times New Roman" w:hAnsi="Times New Roman" w:eastAsia="Times New Roman" w:cs="Times New Roman"/>
          <w:bCs/>
          <w:i/>
          <w:iCs/>
          <w:sz w:val="16"/>
          <w:szCs w:val="16"/>
          <w:highlight w:val="none"/>
          <w:lang w:eastAsia="ru-RU"/>
        </w:rPr>
        <w:t xml:space="preserve">«Об инвестиционных фондах»</w:t>
      </w: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none"/>
          <w:lang w:eastAsia="en-US"/>
        </w:rPr>
        <w:t xml:space="preserve"> или </w:t>
      </w: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lang w:eastAsia="en-US"/>
        </w:rPr>
        <w:t xml:space="preserve">Федеральным законом </w:t>
      </w:r>
      <w:r>
        <w:rPr>
          <w:rFonts w:ascii="Times New Roman" w:hAnsi="Times New Roman" w:eastAsia="Times New Roman" w:cs="Times New Roman"/>
          <w:i/>
          <w:iCs/>
          <w:sz w:val="16"/>
          <w:szCs w:val="16"/>
        </w:rPr>
        <w:t xml:space="preserve">от 07.05.1998 №</w:t>
      </w:r>
      <w:r>
        <w:rPr>
          <w:rFonts w:ascii="Times New Roman" w:hAnsi="Times New Roman" w:eastAsia="Times New Roman" w:cs="Times New Roman"/>
          <w:i/>
          <w:iCs/>
          <w:sz w:val="16"/>
          <w:szCs w:val="16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sz w:val="16"/>
          <w:szCs w:val="16"/>
        </w:rPr>
        <w:t xml:space="preserve">75-ФЗ «О негосударственных пенсионных фондах»,</w:t>
      </w: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none"/>
          <w:lang w:eastAsia="en-US"/>
        </w:rPr>
        <w:t xml:space="preserve">либо иным лицом, осуществляющим контроль за платежами в силу требований законодательства Российской Федерации</w:t>
      </w: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none"/>
          <w:lang w:eastAsia="en-US"/>
        </w:rPr>
        <w:t xml:space="preserve">.</w:t>
      </w:r>
      <w:r>
        <w:rPr>
          <w:rFonts w:ascii="Times New Roman" w:hAnsi="Times New Roman" w:cs="Times New Roman"/>
          <w:bCs/>
          <w:i/>
          <w:color w:val="000000"/>
          <w:highlight w:val="none"/>
        </w:rPr>
      </w:r>
      <w:r>
        <w:rPr>
          <w:rFonts w:ascii="Times New Roman" w:hAnsi="Times New Roman" w:cs="Times New Roman"/>
          <w:bCs/>
          <w:i/>
          <w:color w:val="000000"/>
          <w:highlight w:val="none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Без взимания комиссии в Банке обслуживаются: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головного исполнителя;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</w:t>
      </w:r>
      <w:r>
        <w:rPr>
          <w:i/>
          <w:sz w:val="16"/>
          <w:szCs w:val="16"/>
        </w:rPr>
        <w:t xml:space="preserve">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публичные депозитные счета.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Применяется при предоставлении услуг, указанных в разделе 7 «Дистанционное банковское обслуживание </w:t>
      </w:r>
      <w:r>
        <w:rPr>
          <w:i/>
          <w:sz w:val="16"/>
          <w:szCs w:val="16"/>
        </w:rPr>
        <w:t xml:space="preserve">(ДБО)»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Дистанционное банковское обслуживание бюджетных учреждений/казенных учреждений/автономных учреждений, унитарных</w:t>
      </w:r>
      <w:r>
        <w:rPr>
          <w:i/>
          <w:sz w:val="16"/>
          <w:szCs w:val="16"/>
        </w:rPr>
        <w:t xml:space="preserve">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банковское обслуживание (ДБ</w:t>
      </w:r>
      <w:r>
        <w:rPr>
          <w:i/>
          <w:sz w:val="16"/>
          <w:szCs w:val="16"/>
        </w:rPr>
        <w:t xml:space="preserve">О)»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В случае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</w:t>
      </w:r>
      <w:r>
        <w:rPr>
          <w:i/>
          <w:sz w:val="16"/>
          <w:szCs w:val="16"/>
        </w:rPr>
        <w:t xml:space="preserve">гих банках, в течение 5 рабочих дней с момента подачи в Банк соответствующего запроса/заявления.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По операциям, совершаемым через «Мобильный банк»/«Мобильное приложение «Свой Бизнес Мобайл», установлены следующие лимиты: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единовременную операци</w:t>
      </w:r>
      <w:r>
        <w:rPr>
          <w:i/>
          <w:sz w:val="16"/>
          <w:szCs w:val="16"/>
        </w:rPr>
        <w:t xml:space="preserve">ю – 5 000 000 (Пять миллионов) рублей;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совершение операций в течение суток - 10 000 000 (Десять миллионов) рублей. Сутки – с 0:00 до 24:00 по московскому времени.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проведении операций в иностранной валюте сумма операции определяется по курсу </w:t>
      </w:r>
      <w:r>
        <w:rPr>
          <w:i/>
          <w:sz w:val="16"/>
          <w:szCs w:val="16"/>
        </w:rPr>
        <w:t xml:space="preserve">Банка России на дату проведения операции.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bCs/>
          <w:i/>
          <w:sz w:val="16"/>
          <w:szCs w:val="16"/>
          <w:highlight w:val="none"/>
        </w:rPr>
      </w:pPr>
      <w:r>
        <w:rPr>
          <w:i/>
          <w:sz w:val="16"/>
          <w:szCs w:val="16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bCs/>
          <w:i/>
          <w:sz w:val="16"/>
          <w:szCs w:val="16"/>
          <w:highlight w:val="none"/>
        </w:rPr>
      </w:r>
      <w:r>
        <w:rPr>
          <w:bCs/>
          <w:i/>
          <w:sz w:val="16"/>
          <w:szCs w:val="16"/>
          <w:highlight w:val="none"/>
        </w:rPr>
      </w:r>
    </w:p>
    <w:p>
      <w:pPr>
        <w:ind w:left="0" w:right="0" w:firstLine="0"/>
        <w:jc w:val="left"/>
        <w:spacing w:before="0" w:beforeAutospacing="0" w:line="240" w:lineRule="auto"/>
        <w:tabs>
          <w:tab w:val="left" w:pos="1134" w:leader="none"/>
          <w:tab w:val="left" w:pos="5670" w:leader="none"/>
        </w:tabs>
        <w:rPr>
          <w:rFonts w:ascii="Times New Roman" w:hAnsi="Times New Roman" w:cs="Times New Roman"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none"/>
          <w:lang w:eastAsia="en-US"/>
        </w:rPr>
        <w:t xml:space="preserve">5. </w:t>
      </w: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none"/>
          <w:lang w:eastAsia="en-US"/>
        </w:rPr>
        <w:t xml:space="preserve">Термины «Контролирующая организация» и «Контролируемая организация» применяются в значениях, определенных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16"/>
          <w:szCs w:val="16"/>
          <w:highlight w:val="none"/>
        </w:rPr>
        <w:t xml:space="preserve">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16"/>
          <w:szCs w:val="16"/>
          <w:highlight w:val="none"/>
        </w:rPr>
        <w:t xml:space="preserve"> Условиями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16"/>
          <w:szCs w:val="16"/>
          <w:highlight w:val="none"/>
        </w:rPr>
        <w:t xml:space="preserve">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16"/>
          <w:szCs w:val="16"/>
          <w:highlight w:val="none"/>
        </w:rPr>
        <w:t xml:space="preserve">в рамках Единого сервисного договора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16"/>
          <w:szCs w:val="16"/>
          <w:highlight w:val="none"/>
        </w:rPr>
        <w:t xml:space="preserve"> (Приложение 2.2 к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16"/>
          <w:szCs w:val="16"/>
          <w:highlight w:val="none"/>
        </w:rPr>
        <w:t xml:space="preserve">к Единому сер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16"/>
          <w:szCs w:val="16"/>
          <w:highlight w:val="none"/>
        </w:rPr>
        <w:t xml:space="preserve">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16"/>
          <w:szCs w:val="16"/>
          <w:highlight w:val="none"/>
        </w:rPr>
        <w:t xml:space="preserve">ации частной практикой, в АО «Россельхозбанк»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16"/>
          <w:szCs w:val="16"/>
          <w:highlight w:val="none"/>
        </w:rPr>
        <w:t xml:space="preserve">).</w:t>
      </w:r>
      <w:r>
        <w:rPr>
          <w:rFonts w:ascii="Times New Roman" w:hAnsi="Times New Roman" w:eastAsia="Times New Roman" w:cs="Times New Roman"/>
          <w:bCs/>
          <w:i/>
          <w:iCs/>
          <w:sz w:val="16"/>
          <w:szCs w:val="16"/>
          <w:lang w:eastAsia="ru-RU"/>
        </w:rPr>
        <w:t xml:space="preserve">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</w:rPr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sz w:val="16"/>
          <w:szCs w:val="16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tabs>
          <w:tab w:val="left" w:pos="426" w:leader="none"/>
        </w:tabs>
      </w:pPr>
      <w:r/>
      <w:r/>
    </w:p>
    <w:p>
      <w:pPr>
        <w:pStyle w:val="998"/>
      </w:pPr>
      <w:r/>
      <w:bookmarkStart w:id="55" w:name="_Toc393441466"/>
      <w:r/>
      <w:bookmarkStart w:id="56" w:name="_Toc393441684"/>
      <w:r/>
      <w:bookmarkStart w:id="57" w:name="_Toc393441793"/>
      <w:r/>
      <w:bookmarkStart w:id="58" w:name="_Toc393441833"/>
      <w:r/>
      <w:bookmarkStart w:id="59" w:name="_Toc393441902"/>
      <w:r/>
      <w:bookmarkStart w:id="60" w:name="_Toc509304038"/>
      <w:r/>
      <w:bookmarkStart w:id="61" w:name="_Toc78453726"/>
      <w:r>
        <w:t xml:space="preserve">8. Хранени</w:t>
      </w:r>
      <w:r>
        <w:t xml:space="preserve">е ценностей клиентов в хранилище ценностей Банка</w:t>
      </w:r>
      <w:bookmarkEnd w:id="55"/>
      <w:r/>
      <w:bookmarkEnd w:id="56"/>
      <w:r/>
      <w:bookmarkEnd w:id="57"/>
      <w:r/>
      <w:bookmarkEnd w:id="58"/>
      <w:r/>
      <w:bookmarkEnd w:id="59"/>
      <w:r/>
      <w:bookmarkEnd w:id="60"/>
      <w:r/>
      <w:bookmarkEnd w:id="61"/>
      <w:r/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(с учетом НДС)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tbl>
      <w:tblPr>
        <w:tblW w:w="103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2"/>
        <w:gridCol w:w="3973"/>
        <w:gridCol w:w="1987"/>
        <w:gridCol w:w="3512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21 места до 30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места до 40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bookmarkStart w:id="62" w:name="_Toc393441467"/>
      <w:r/>
      <w:bookmarkStart w:id="63" w:name="_Toc393441685"/>
      <w:r/>
      <w:bookmarkStart w:id="64" w:name="_Toc393441794"/>
      <w:r/>
      <w:bookmarkStart w:id="65" w:name="_Toc393441834"/>
      <w:r/>
      <w:bookmarkStart w:id="66" w:name="_Toc393441903"/>
      <w:r/>
      <w:r/>
    </w:p>
    <w:p>
      <w:pPr>
        <w:pStyle w:val="998"/>
      </w:pPr>
      <w:r/>
      <w:bookmarkStart w:id="67" w:name="_Toc509304039"/>
      <w:r/>
      <w:bookmarkStart w:id="68" w:name="_Toc78453727"/>
      <w:r>
        <w:t xml:space="preserve">9. Аренда клиентами индивидуальных сейфовых ячеек</w:t>
      </w:r>
      <w:bookmarkEnd w:id="62"/>
      <w:r/>
      <w:bookmarkEnd w:id="63"/>
      <w:r/>
      <w:bookmarkEnd w:id="64"/>
      <w:r/>
      <w:bookmarkEnd w:id="65"/>
      <w:r/>
      <w:bookmarkEnd w:id="66"/>
      <w:r/>
      <w:bookmarkEnd w:id="67"/>
      <w:r/>
      <w:bookmarkEnd w:id="68"/>
      <w:r/>
      <w:r/>
    </w:p>
    <w:p>
      <w:r/>
      <w:r/>
    </w:p>
    <w:tbl>
      <w:tblPr>
        <w:tblW w:w="100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Предоставление в аренду индивидуальных сейфовых ячеек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50 до 74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330 руб.</w:t>
            </w:r>
            <w:r/>
          </w:p>
          <w:p>
            <w:pPr>
              <w:jc w:val="center"/>
            </w:pPr>
            <w:r>
              <w:t xml:space="preserve">530 руб.</w:t>
            </w:r>
            <w:r/>
          </w:p>
          <w:p>
            <w:pPr>
              <w:jc w:val="center"/>
            </w:pPr>
            <w:r>
              <w:t xml:space="preserve">880 руб.</w:t>
            </w:r>
            <w:r/>
          </w:p>
          <w:p>
            <w:pPr>
              <w:jc w:val="center"/>
            </w:pPr>
            <w:r>
              <w:t xml:space="preserve">32 руб. в день</w:t>
            </w:r>
            <w:r/>
          </w:p>
          <w:p>
            <w:pPr>
              <w:jc w:val="center"/>
            </w:pPr>
            <w:r>
              <w:t xml:space="preserve">28 руб. в день</w:t>
            </w:r>
            <w:r/>
          </w:p>
          <w:p>
            <w:pPr>
              <w:jc w:val="center"/>
            </w:pPr>
            <w:r>
              <w:t xml:space="preserve">22 руб. в день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75 до 124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350 руб.</w:t>
            </w:r>
            <w:r/>
          </w:p>
          <w:p>
            <w:pPr>
              <w:jc w:val="center"/>
            </w:pPr>
            <w:r>
              <w:t xml:space="preserve">600 руб.</w:t>
            </w:r>
            <w:r/>
          </w:p>
          <w:p>
            <w:pPr>
              <w:jc w:val="center"/>
            </w:pPr>
            <w:r>
              <w:t xml:space="preserve">950 руб.</w:t>
            </w:r>
            <w:r/>
          </w:p>
          <w:p>
            <w:pPr>
              <w:jc w:val="center"/>
            </w:pPr>
            <w:r>
              <w:t xml:space="preserve">36 руб. в день</w:t>
            </w:r>
            <w:r/>
          </w:p>
          <w:p>
            <w:pPr>
              <w:jc w:val="center"/>
            </w:pPr>
            <w:r>
              <w:t xml:space="preserve">32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24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125 до 169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370 руб.</w:t>
            </w:r>
            <w:r/>
          </w:p>
          <w:p>
            <w:pPr>
              <w:jc w:val="center"/>
            </w:pPr>
            <w:r>
              <w:t xml:space="preserve">680 руб.</w:t>
            </w:r>
            <w:r/>
          </w:p>
          <w:p>
            <w:pPr>
              <w:jc w:val="center"/>
            </w:pPr>
            <w:r>
              <w:t xml:space="preserve">1100 руб.</w:t>
            </w:r>
            <w:r/>
          </w:p>
          <w:p>
            <w:pPr>
              <w:jc w:val="center"/>
            </w:pPr>
            <w:r>
              <w:t xml:space="preserve">44 руб. в день</w:t>
            </w:r>
            <w:r/>
          </w:p>
          <w:p>
            <w:pPr>
              <w:jc w:val="center"/>
            </w:pPr>
            <w:r>
              <w:t xml:space="preserve">36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27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170 до 299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460 руб.</w:t>
            </w:r>
            <w:r/>
          </w:p>
          <w:p>
            <w:pPr>
              <w:jc w:val="center"/>
            </w:pPr>
            <w:r>
              <w:t xml:space="preserve">860 руб.</w:t>
            </w:r>
            <w:r/>
          </w:p>
          <w:p>
            <w:pPr>
              <w:jc w:val="center"/>
            </w:pPr>
            <w:r>
              <w:t xml:space="preserve">1600 руб.</w:t>
            </w:r>
            <w:r/>
          </w:p>
          <w:p>
            <w:pPr>
              <w:jc w:val="center"/>
            </w:pPr>
            <w:r>
              <w:t xml:space="preserve">54 руб. в день</w:t>
            </w:r>
            <w:r/>
          </w:p>
          <w:p>
            <w:pPr>
              <w:jc w:val="center"/>
            </w:pPr>
            <w:r>
              <w:t xml:space="preserve">47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33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9.1.5.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300 до 515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</w:pPr>
            <w:r>
              <w:t xml:space="preserve">- на срок от 181 до 365 дней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660 руб.</w:t>
            </w:r>
            <w:r/>
          </w:p>
          <w:p>
            <w:pPr>
              <w:jc w:val="center"/>
            </w:pPr>
            <w:r>
              <w:t xml:space="preserve">1100 руб.</w:t>
            </w:r>
            <w:r/>
          </w:p>
          <w:p>
            <w:pPr>
              <w:jc w:val="center"/>
            </w:pPr>
            <w:r>
              <w:t xml:space="preserve">2100 руб.</w:t>
            </w:r>
            <w:r/>
          </w:p>
          <w:p>
            <w:pPr>
              <w:jc w:val="center"/>
            </w:pPr>
            <w:r>
              <w:t xml:space="preserve">73 руб. в день</w:t>
            </w:r>
            <w:r/>
          </w:p>
          <w:p>
            <w:pPr>
              <w:jc w:val="center"/>
            </w:pPr>
            <w:r>
              <w:t xml:space="preserve">64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46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9.1.6.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516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730 руб.</w:t>
            </w:r>
            <w:r/>
          </w:p>
          <w:p>
            <w:pPr>
              <w:jc w:val="center"/>
            </w:pPr>
            <w:r>
              <w:t xml:space="preserve">1600 руб.</w:t>
            </w:r>
            <w:r/>
          </w:p>
          <w:p>
            <w:pPr>
              <w:jc w:val="center"/>
            </w:pPr>
            <w:r>
              <w:t xml:space="preserve">2600 руб.</w:t>
            </w:r>
            <w:r/>
          </w:p>
          <w:p>
            <w:pPr>
              <w:jc w:val="center"/>
            </w:pPr>
            <w:r>
              <w:t xml:space="preserve">90 руб. в день</w:t>
            </w:r>
            <w:r/>
          </w:p>
          <w:p>
            <w:pPr>
              <w:jc w:val="center"/>
            </w:pPr>
            <w:r>
              <w:t xml:space="preserve">80 руб. в день</w:t>
            </w:r>
            <w:r/>
          </w:p>
          <w:p>
            <w:pPr>
              <w:jc w:val="center"/>
            </w:pPr>
            <w:r>
              <w:t xml:space="preserve">67 руб. в день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Предоставление единовременного доступа к сейфовой ячейке одновременно с клиентом (его </w:t>
            </w:r>
            <w:r>
              <w:t xml:space="preserve">представителем) лица, его сопровождающего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color w:val="000000"/>
              </w:rPr>
              <w:t xml:space="preserve">210 руб.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 xml:space="preserve">за каждое посещение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Неустойка (штраф) за утрату/порчу ключей, порчу замка сейфовой ячейки и/или сейфовой ячейки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6000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Неустойка (штраф) за несвоевременный возврат ключей от сейфовой ячейки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500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9.5.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</w:t>
            </w:r>
            <w:r>
              <w:t xml:space="preserve">ти банкнот) в хранилище ценностей клиентов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color w:val="000000"/>
              </w:rPr>
              <w:t xml:space="preserve">155 руб.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 xml:space="preserve">за единицу банковской техники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r/>
      <w:r/>
    </w:p>
    <w:p>
      <w:pPr>
        <w:pStyle w:val="998"/>
      </w:pPr>
      <w:r/>
      <w:bookmarkStart w:id="69" w:name="_Toc393441468"/>
      <w:r/>
      <w:bookmarkStart w:id="70" w:name="_Toc393441686"/>
      <w:r/>
      <w:bookmarkStart w:id="71" w:name="_Toc393441795"/>
      <w:r/>
      <w:bookmarkStart w:id="72" w:name="_Toc393441835"/>
      <w:r/>
      <w:bookmarkStart w:id="73" w:name="_Toc393441904"/>
      <w:r/>
      <w:bookmarkStart w:id="74" w:name="_Toc509304040"/>
      <w:r/>
      <w:bookmarkStart w:id="75" w:name="_Toc78453728"/>
      <w:r>
        <w:t xml:space="preserve">10. Услуги инкассации</w:t>
      </w:r>
      <w:bookmarkEnd w:id="69"/>
      <w:r/>
      <w:bookmarkEnd w:id="70"/>
      <w:r>
        <w:t xml:space="preserve"> </w:t>
      </w:r>
      <w:bookmarkEnd w:id="71"/>
      <w:r/>
      <w:bookmarkEnd w:id="72"/>
      <w:r/>
      <w:bookmarkEnd w:id="73"/>
      <w:r/>
      <w:bookmarkEnd w:id="74"/>
      <w:r/>
      <w:bookmarkEnd w:id="75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по договору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600 000,00** руб. (включительно),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360 руб.;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600 000,01** руб. до 5 000 000,00* руб. (включительно);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с 5 000 000,01** руб. и выше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</w:t>
            </w:r>
            <w:r>
              <w:rPr>
                <w:sz w:val="20"/>
                <w:szCs w:val="20"/>
              </w:rPr>
              <w:t xml:space="preserve">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</w:t>
            </w:r>
            <w:r>
              <w:rPr>
                <w:sz w:val="20"/>
                <w:szCs w:val="20"/>
              </w:rPr>
              <w:t xml:space="preserve">е 0,2%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rPr>
          <w:bCs/>
          <w:i/>
          <w:sz w:val="16"/>
        </w:rPr>
      </w:pPr>
      <w:r>
        <w:rPr>
          <w:bCs/>
          <w:i/>
          <w:sz w:val="16"/>
        </w:rPr>
        <w:t xml:space="preserve">Примечание:</w:t>
      </w:r>
      <w:r>
        <w:rPr>
          <w:bCs/>
          <w:i/>
          <w:sz w:val="16"/>
        </w:rPr>
      </w:r>
      <w:r>
        <w:rPr>
          <w:bCs/>
          <w:i/>
          <w:sz w:val="16"/>
        </w:rPr>
      </w:r>
    </w:p>
    <w:p>
      <w:pPr>
        <w:jc w:val="both"/>
        <w:rPr>
          <w:bCs/>
          <w:i/>
          <w:sz w:val="16"/>
          <w:szCs w:val="20"/>
        </w:rPr>
      </w:pPr>
      <w:r>
        <w:rPr>
          <w:i/>
          <w:sz w:val="16"/>
          <w:szCs w:val="20"/>
        </w:rPr>
        <w:t xml:space="preserve">* </w:t>
      </w:r>
      <w:r>
        <w:rPr>
          <w:bCs/>
          <w:i/>
          <w:sz w:val="16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</w:t>
      </w:r>
      <w:r>
        <w:rPr>
          <w:bCs/>
          <w:i/>
          <w:sz w:val="16"/>
          <w:szCs w:val="20"/>
        </w:rPr>
        <w:t xml:space="preserve">ние структурные подразделения.</w:t>
      </w:r>
      <w:r>
        <w:rPr>
          <w:bCs/>
          <w:i/>
          <w:sz w:val="16"/>
          <w:szCs w:val="20"/>
        </w:rPr>
      </w:r>
      <w:r>
        <w:rPr>
          <w:bCs/>
          <w:i/>
          <w:sz w:val="16"/>
          <w:szCs w:val="20"/>
        </w:rPr>
      </w:r>
    </w:p>
    <w:p>
      <w:pPr>
        <w:jc w:val="both"/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i/>
          <w:sz w:val="16"/>
          <w:szCs w:val="20"/>
        </w:rPr>
      </w:r>
      <w:r>
        <w:rPr>
          <w:i/>
          <w:sz w:val="16"/>
          <w:szCs w:val="20"/>
        </w:rPr>
      </w:r>
    </w:p>
    <w:p>
      <w:pPr>
        <w:jc w:val="both"/>
        <w:tabs>
          <w:tab w:val="left" w:pos="1276" w:leader="none"/>
        </w:tabs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*** </w:t>
      </w:r>
      <w:r>
        <w:rPr>
          <w:b/>
          <w:i/>
          <w:sz w:val="16"/>
          <w:szCs w:val="20"/>
        </w:rPr>
        <w:t xml:space="preserve">Заезд</w:t>
      </w:r>
      <w:r>
        <w:rPr>
          <w:i/>
          <w:sz w:val="16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i/>
          <w:color w:val="000000"/>
          <w:sz w:val="16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</w:t>
      </w:r>
      <w:r>
        <w:rPr>
          <w:i/>
          <w:color w:val="000000"/>
          <w:sz w:val="16"/>
          <w:szCs w:val="20"/>
        </w:rPr>
        <w:t xml:space="preserve">но-платежного терминала.</w:t>
      </w:r>
      <w:r>
        <w:rPr>
          <w:i/>
          <w:sz w:val="16"/>
          <w:szCs w:val="20"/>
        </w:rPr>
      </w:r>
      <w:r>
        <w:rPr>
          <w:i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sz w:val="16"/>
          <w:szCs w:val="20"/>
        </w:rPr>
        <w:t xml:space="preserve">**** </w:t>
      </w:r>
      <w:r>
        <w:rPr>
          <w:b/>
          <w:i/>
          <w:sz w:val="16"/>
          <w:szCs w:val="20"/>
        </w:rPr>
        <w:t xml:space="preserve">Объект инкассации</w:t>
      </w:r>
      <w:r>
        <w:rPr>
          <w:i/>
          <w:sz w:val="16"/>
          <w:szCs w:val="20"/>
        </w:rPr>
        <w:t xml:space="preserve"> – </w:t>
      </w:r>
      <w:r>
        <w:rPr>
          <w:i/>
          <w:color w:val="000000"/>
          <w:sz w:val="16"/>
          <w:szCs w:val="20"/>
        </w:rPr>
        <w:t xml:space="preserve"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</w:t>
      </w:r>
      <w:r>
        <w:rPr>
          <w:i/>
          <w:color w:val="000000"/>
          <w:sz w:val="16"/>
          <w:szCs w:val="20"/>
        </w:rPr>
        <w:t xml:space="preserve">нал.</w:t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pStyle w:val="998"/>
      </w:pPr>
      <w:r/>
      <w:bookmarkStart w:id="76" w:name="_Toc509304041"/>
      <w:r/>
      <w:bookmarkStart w:id="77" w:name="_Toc78453729"/>
      <w:r>
        <w:t xml:space="preserve">11. Операции по покупке-продаже иностранной валюты</w:t>
      </w:r>
      <w:bookmarkEnd w:id="76"/>
      <w:r/>
      <w:bookmarkEnd w:id="77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842"/>
        <w:gridCol w:w="1701"/>
      </w:tblGrid>
      <w:tr>
        <w:tblPrEx/>
        <w:trPr>
          <w:cantSplit/>
          <w:trHeight w:val="227"/>
          <w:tblHeader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(в % от суммы 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  <w:tblHeader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иностранной валюты клиентом за российские рубли</w:t>
            </w:r>
            <w:r>
              <w:rPr>
                <w:sz w:val="20"/>
                <w:szCs w:val="20"/>
              </w:rPr>
              <w:footnoteReference w:id="2"/>
            </w:r>
            <w:r>
              <w:rPr>
                <w:rFonts w:ascii="Symbol" w:hAnsi="Symbol" w:eastAsia="Symbol" w:cs="Symbol"/>
                <w:sz w:val="20"/>
                <w:szCs w:val="20"/>
              </w:rPr>
              <w:t xml:space="preserve">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</w:t>
            </w:r>
            <w:r>
              <w:rPr>
                <w:sz w:val="20"/>
                <w:szCs w:val="20"/>
              </w:rPr>
              <w:t xml:space="preserve">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</w:t>
            </w:r>
            <w:r>
              <w:rPr>
                <w:sz w:val="20"/>
                <w:szCs w:val="20"/>
              </w:rPr>
              <w:t xml:space="preserve">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</w:t>
            </w:r>
            <w:r>
              <w:rPr>
                <w:sz w:val="20"/>
                <w:szCs w:val="20"/>
              </w:rPr>
              <w:t xml:space="preserve">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0"/>
                <w:szCs w:val="20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иностранной валюты клиентом за российские рубли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</w:t>
            </w:r>
            <w:r>
              <w:rPr>
                <w:sz w:val="20"/>
                <w:szCs w:val="20"/>
              </w:rPr>
              <w:t xml:space="preserve">анка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 Покупка и продажа вал</w:t>
      </w:r>
      <w:r>
        <w:rPr>
          <w:i/>
          <w:sz w:val="16"/>
          <w:szCs w:val="16"/>
        </w:rPr>
        <w:t xml:space="preserve">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 Банк имеет право изменять Курс(ы) Банка  и/или размер расчетной комиссии в течение дня.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 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center"/>
        <w:keepNext/>
        <w:spacing w:before="120" w:after="40"/>
        <w:rPr>
          <w:b/>
          <w:bCs/>
        </w:rPr>
        <w:outlineLvl w:val="4"/>
      </w:pPr>
      <w:r>
        <w:rPr>
          <w:b/>
          <w:bCs/>
        </w:rPr>
        <w:t xml:space="preserve">12. Кредитные операции</w:t>
      </w:r>
      <w:r>
        <w:rPr>
          <w:b/>
          <w:bCs/>
        </w:rPr>
      </w:r>
      <w:r>
        <w:rPr>
          <w:b/>
          <w:bCs/>
        </w:rPr>
      </w:r>
    </w:p>
    <w:tbl>
      <w:tblPr>
        <w:tblW w:w="9894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0,8%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</w:t>
            </w:r>
            <w:r>
              <w:rPr>
                <w:sz w:val="22"/>
                <w:szCs w:val="22"/>
              </w:rPr>
              <w:t xml:space="preserve">я в день заключения соответствующего дополнительного соглашения к договору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0,1%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АО «Россельхозбанк» кредитов на приобретение зерна из федеральног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 интервенционного фонда № 372-П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на период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банк» кредитов на цели приобретения залогового имущества с торгов/имущества Банка № 694-П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льготных программ в соответствии с Перечнем 1 раздела 12 «Кредитные операции» настоящих Тарифов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0,5% годовых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</w:t>
            </w:r>
            <w:r>
              <w:rPr>
                <w:sz w:val="22"/>
                <w:szCs w:val="22"/>
              </w:rPr>
              <w:t xml:space="preserve"> о кредитовании счета путем предоставления кредита в форме «овердрафт»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АО «Россельхозбанк» кредитов на приобретение зерна из федерального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интервенционного фонда № 372-П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с использованием связанного финансирования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на период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действия льготных условий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3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со дня, следующего за: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отсутствии отлагательных условий выдачи кредитных ср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едств: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ind w:left="0" w:firstLine="175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или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ind w:left="0" w:firstLine="175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заключения дополнительного соглашения к договору о выдаче транша (если выдача 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редитных средств осуществляется на основании дополнительного соглашения к договору);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наличии отлагательных условий выдачи кредитных средств: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contextualSpacing/>
              <w:ind w:left="0" w:firstLine="0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выполнения отлагательных условий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выдачи кредита/ транша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уплачивается в порядке, предусмотренном договором.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по договору об открытии кредитной лини</w:t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- в форме «овердрафт» 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2"/>
                <w:szCs w:val="22"/>
              </w:rPr>
              <w:br w:type="textWrapping" w:clear="all"/>
            </w:r>
            <w:r>
              <w:rPr>
                <w:bCs/>
                <w:sz w:val="22"/>
                <w:szCs w:val="22"/>
              </w:rPr>
              <w:t xml:space="preserve">АО «Россельхозбанк» № 738-П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с использованием связанного финансирования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highlight w:val="none"/>
                <w:vertAlign w:val="superscript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по </w:t>
            </w:r>
            <w:r>
              <w:rPr>
                <w:bCs/>
                <w:sz w:val="22"/>
                <w:szCs w:val="22"/>
              </w:rPr>
              <w:t xml:space="preserve">договору об открытии кредитной линии,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footnoteReference w:id="4"/>
            </w:r>
            <w:r>
              <w:rPr>
                <w:rFonts w:eastAsia="Calibri"/>
                <w:sz w:val="22"/>
                <w:szCs w:val="22"/>
                <w:highlight w:val="none"/>
                <w:vertAlign w:val="superscript"/>
                <w:lang w:eastAsia="en-US"/>
              </w:rPr>
            </w:r>
            <w:r>
              <w:rPr>
                <w:rFonts w:eastAsia="Calibri"/>
                <w:sz w:val="22"/>
                <w:szCs w:val="22"/>
                <w:highlight w:val="none"/>
                <w:vertAlign w:val="superscript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highlight w:val="none"/>
                <w:vertAlign w:val="superscript"/>
                <w:lang w:eastAsia="en-US"/>
              </w:rPr>
            </w:r>
            <w:r>
              <w:rPr>
                <w:rFonts w:ascii="Times New Roman" w:hAnsi="Times New Roman"/>
                <w:bCs/>
              </w:rPr>
              <w:t xml:space="preserve">-</w:t>
            </w:r>
            <w:r>
              <w:rPr>
                <w:rFonts w:ascii="Times New Roman" w:hAnsi="Times New Roman"/>
                <w:bCs/>
              </w:rPr>
              <w:t xml:space="preserve">при кредитовании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об </w:t>
            </w:r>
            <w:r>
              <w:rPr>
                <w:rFonts w:ascii="Times New Roman" w:hAnsi="Times New Roman"/>
                <w:bCs/>
              </w:rPr>
              <w:t xml:space="preserve">открытии кредитной линии,  заключенному </w:t>
            </w:r>
            <w:r>
              <w:rPr>
                <w:rFonts w:ascii="Times New Roman" w:hAnsi="Times New Roman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rFonts w:ascii="Times New Roman" w:hAnsi="Times New Roman"/>
                <w:bCs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</w: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994"/>
              <w:jc w:val="center"/>
              <w:spacing w:before="120"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1% годовых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изменении: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промежуточного (ых) срока(ов) возврата кредита: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до 5 календарных дней (включительно) – не менее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0,15%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6 до 30 календарных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0,35%;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31 до 60 кал</w:t>
            </w:r>
            <w:r>
              <w:rPr>
                <w:sz w:val="22"/>
                <w:szCs w:val="22"/>
              </w:rPr>
              <w:t xml:space="preserve">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0,7%;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60 календарных дней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</w:t>
            </w:r>
            <w:r>
              <w:rPr>
                <w:sz w:val="22"/>
                <w:szCs w:val="22"/>
              </w:rPr>
              <w:t xml:space="preserve">редитному договору/договору об открытии кредитной линии.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</w:t>
            </w:r>
            <w:r>
              <w:rPr>
                <w:bCs/>
                <w:sz w:val="22"/>
                <w:szCs w:val="22"/>
                <w:lang w:val="en-US"/>
              </w:rPr>
              <w:t xml:space="preserve">5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сумме, на которую начисляется комиссия: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1%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1 000 000,01 до 50 000 000,00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0,8%;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50 000 000,01 до 100 000 000,00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свыше 100 000 00</w:t>
            </w:r>
            <w:r>
              <w:rPr>
                <w:sz w:val="22"/>
                <w:szCs w:val="22"/>
                <w:lang w:eastAsia="en-US"/>
              </w:rPr>
              <w:t xml:space="preserve">0,01 руб. </w:t>
            </w:r>
            <w:r>
              <w:rPr>
                <w:bCs/>
                <w:sz w:val="22"/>
                <w:szCs w:val="22"/>
                <w:lang w:eastAsia="en-US"/>
              </w:rPr>
              <w:t xml:space="preserve">– не менее</w:t>
            </w:r>
            <w:r>
              <w:rPr>
                <w:bCs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0,15%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</w:t>
            </w:r>
            <w:r>
              <w:rPr>
                <w:bCs/>
                <w:sz w:val="22"/>
                <w:szCs w:val="22"/>
              </w:rPr>
              <w:t xml:space="preserve">щего кредитного договора (договора об открытии кредитной линии)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данного раздела 12 «Кредитные операции» настоящих Тарифов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rFonts w:eastAsia="Calibri"/>
                <w:spacing w:val="-2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 xml:space="preserve">с графиком погаш</w:t>
            </w:r>
            <w:r>
              <w:rPr>
                <w:sz w:val="22"/>
                <w:szCs w:val="22"/>
              </w:rPr>
              <w:t xml:space="preserve">ения (возврата) кредита (основного долга)/ окончательной даты возврата кредита 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2"/>
                <w:szCs w:val="22"/>
              </w:rPr>
              <w:t xml:space="preserve">)):</w:t>
            </w:r>
            <w:r>
              <w:rPr>
                <w:rFonts w:eastAsia="Calibri"/>
                <w:spacing w:val="-20"/>
                <w:sz w:val="22"/>
                <w:szCs w:val="22"/>
                <w:lang w:eastAsia="en-US"/>
              </w:rPr>
            </w:r>
            <w:r>
              <w:rPr>
                <w:rFonts w:eastAsia="Calibri"/>
                <w:spacing w:val="-20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в течение 30 календарных дней до плановой даты погашения по кредитному договору/траншу (включительно)</w:t>
            </w:r>
            <w:r>
              <w:rPr>
                <w:bCs/>
                <w:sz w:val="22"/>
                <w:szCs w:val="22"/>
              </w:rPr>
              <w:t xml:space="preserve"> комиссия – не взимается;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до 180</w:t>
            </w:r>
            <w:r>
              <w:rPr>
                <w:sz w:val="22"/>
                <w:szCs w:val="22"/>
              </w:rPr>
              <w:t xml:space="preserve"> календарных дней (включительно) – </w:t>
            </w: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1,0%;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от 181 до 365 календарных дней (включительно) – </w:t>
            </w: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3,5%;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свыше 365 календарных дней –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7,0%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вновь заключаемым кредитным сделкам данная комиссия не взимается (комиссия действует только в отношении кредитных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12.7.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Досрочный возврат кредита (основного долга) по инициативе заемщика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5"/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,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6"/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об открытии кредитной линии с лимитом вы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дачи и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</w:r>
            <w:r>
              <w:rPr>
                <w:bCs/>
                <w:sz w:val="22"/>
                <w:szCs w:val="22"/>
                <w:highlight w:val="yellow"/>
              </w:rPr>
            </w:r>
            <w:r>
              <w:rPr>
                <w:bCs/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выдачи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форме «овердрафт»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с использованием связанного финансирования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взимается,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за исключением комиссий, возмещаемых финансирующему банку за досрочное погашение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«Россельхозбанк» кр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едитов, предоставленных сторонними кредитными организациями № 376-П в рамках кредитных продуктов «Сезонный Рефинанс»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2"/>
                <w:szCs w:val="22"/>
                <w:lang w:eastAsia="en-US"/>
              </w:rPr>
              <w:br w:type="textWrapping" w:clear="all"/>
            </w:r>
            <w:r>
              <w:rPr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в рамках Порядка кредитования АО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 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настоящих Тарифов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r>
              <w:t xml:space="preserve">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bCs/>
              </w:rPr>
              <w:t xml:space="preserve">-</w:t>
            </w:r>
            <w:r>
              <w:rPr>
                <w:rFonts w:ascii="Times New Roman" w:hAnsi="Times New Roman"/>
                <w:bCs/>
              </w:rPr>
              <w:t xml:space="preserve">при кредитовании в рамках решен</w:t>
            </w:r>
            <w:r>
              <w:rPr>
                <w:rFonts w:ascii="Times New Roman" w:hAnsi="Times New Roman"/>
                <w:bCs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pStyle w:val="994"/>
              <w:jc w:val="center"/>
              <w:spacing w:before="120"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94"/>
              <w:jc w:val="center"/>
              <w:spacing w:after="12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1,5%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bCs/>
              </w:rPr>
              <w:t xml:space="preserve">Комиссия исчисляется от досрочно возвращ</w:t>
            </w:r>
            <w:r>
              <w:rPr>
                <w:rFonts w:ascii="Times New Roman" w:hAnsi="Times New Roman"/>
                <w:bCs/>
              </w:rPr>
              <w:t xml:space="preserve">аемой</w:t>
            </w:r>
            <w:r>
              <w:rPr>
                <w:rFonts w:ascii="Times New Roman" w:hAnsi="Times New Roman"/>
                <w:bCs/>
              </w:rPr>
              <w:t xml:space="preserve"> суммы кредита или его части </w:t>
            </w:r>
            <w:r>
              <w:rPr>
                <w:bCs/>
              </w:rPr>
              <w:t xml:space="preserve">на </w:t>
            </w:r>
            <w:r>
              <w:rPr>
                <w:rFonts w:ascii="Times New Roman" w:hAnsi="Times New Roman" w:eastAsia="Times New Roman"/>
                <w:bCs/>
              </w:rPr>
              <w:t xml:space="preserve">срок от даты досрочного погашения до плановой даты погашения</w:t>
            </w:r>
            <w:r>
              <w:rPr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и уплачивается в дату досрочного возврата кредита либо его части.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12.8.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 случаях, предусмотренных договором о залоге/ ипотеке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0,2% от суммы,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минимум - 30 000 руб.,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максимум - 150 000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Услуга облагается НДС, сумма которого взимается дополнительно.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залога, является сам заемщик.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after="40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уплачивается единовременно в день заключения соответствующего(их) дополнительного(ых) соглашения(ий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sz w:val="22"/>
                <w:szCs w:val="22"/>
                <w:lang w:eastAsia="en-US"/>
              </w:rPr>
              <w:t xml:space="preserve">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реализации Программы стимулирования кредитования субъектов</w:t>
            </w:r>
            <w:r>
              <w:rPr>
                <w:sz w:val="22"/>
                <w:szCs w:val="22"/>
                <w:lang w:eastAsia="en-US"/>
              </w:rPr>
              <w:t xml:space="preserve"> малого и среднего предпринимательства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</w:t>
      </w:r>
      <w:r>
        <w:rPr>
          <w:bCs/>
          <w:sz w:val="20"/>
          <w:szCs w:val="20"/>
        </w:rPr>
        <w:t xml:space="preserve">рмин: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rFonts w:eastAsia="Calibri"/>
          <w:bCs/>
          <w:sz w:val="20"/>
          <w:szCs w:val="20"/>
          <w:u w:val="single"/>
          <w:lang w:eastAsia="en-US"/>
        </w:rPr>
        <w:t xml:space="preserve">Лимит кредитования</w:t>
      </w:r>
      <w:r>
        <w:rPr>
          <w:rFonts w:eastAsia="Calibri"/>
          <w:bCs/>
          <w:sz w:val="20"/>
          <w:szCs w:val="20"/>
          <w:lang w:eastAsia="en-US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rFonts w:eastAsia="Calibri"/>
          <w:bCs/>
          <w:sz w:val="20"/>
          <w:szCs w:val="20"/>
          <w:lang w:eastAsia="en-US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Calibri"/>
          <w:sz w:val="20"/>
          <w:szCs w:val="22"/>
          <w:lang w:eastAsia="en-US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размера(ов) ком</w:t>
      </w:r>
      <w:r>
        <w:rPr>
          <w:bCs/>
          <w:iCs/>
          <w:sz w:val="20"/>
          <w:szCs w:val="20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bCs/>
          <w:iCs/>
          <w:sz w:val="20"/>
          <w:szCs w:val="20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rFonts w:eastAsia="Calibri"/>
          <w:sz w:val="20"/>
          <w:szCs w:val="22"/>
          <w:lang w:eastAsia="en-US"/>
        </w:rPr>
      </w:r>
      <w:r>
        <w:rPr>
          <w:rFonts w:eastAsia="Calibri"/>
          <w:sz w:val="20"/>
          <w:szCs w:val="22"/>
          <w:lang w:eastAsia="en-US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Перечнями 1-2:</w:t>
      </w:r>
      <w:r>
        <w:rPr>
          <w:b/>
          <w:bCs/>
          <w:iCs/>
          <w:sz w:val="20"/>
          <w:szCs w:val="20"/>
          <w:u w:val="single"/>
        </w:rPr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</w:t>
      </w:r>
      <w:r>
        <w:rPr>
          <w:bCs/>
          <w:iCs/>
          <w:sz w:val="20"/>
          <w:szCs w:val="20"/>
        </w:rPr>
        <w:t xml:space="preserve">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</w:t>
      </w:r>
      <w:r>
        <w:rPr>
          <w:bCs/>
          <w:iCs/>
          <w:sz w:val="20"/>
          <w:szCs w:val="20"/>
        </w:rPr>
        <w:t xml:space="preserve">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</w:t>
      </w:r>
      <w:r>
        <w:rPr>
          <w:bCs/>
          <w:iCs/>
          <w:sz w:val="20"/>
          <w:szCs w:val="20"/>
        </w:rPr>
        <w:t xml:space="preserve">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  <w:t xml:space="preserve">от 05.12.2019 № 1598) (далее – ППРФ от 05.12.2019 № 1598);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</w:t>
      </w:r>
      <w:r>
        <w:rPr>
          <w:bCs/>
          <w:iCs/>
          <w:sz w:val="20"/>
          <w:szCs w:val="20"/>
        </w:rPr>
        <w:t xml:space="preserve">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</w:t>
      </w:r>
      <w:r>
        <w:rPr>
          <w:bCs/>
          <w:iCs/>
          <w:sz w:val="20"/>
          <w:szCs w:val="20"/>
        </w:rPr>
        <w:t xml:space="preserve">е – ППРФ от 30.12.2017 № 1706);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2017 году субъектам малого и среднего пре</w:t>
      </w:r>
      <w:r>
        <w:rPr>
          <w:bCs/>
          <w:iCs/>
          <w:sz w:val="20"/>
          <w:szCs w:val="20"/>
        </w:rPr>
        <w:t xml:space="preserve">дпринимательства по льготной ставке (утв. постановлением Правительства Российской Федерации от 03.06.2017 № 674) (далее – ППРФ от 03.06.2017 № 674);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</w:t>
      </w:r>
      <w:r>
        <w:rPr>
          <w:rFonts w:eastAsia="Calibri"/>
          <w:sz w:val="20"/>
          <w:szCs w:val="22"/>
          <w:lang w:eastAsia="en-US"/>
        </w:rPr>
        <w:t xml:space="preserve">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</w:t>
      </w:r>
      <w:r>
        <w:rPr>
          <w:rFonts w:eastAsia="Calibri"/>
          <w:sz w:val="20"/>
          <w:szCs w:val="22"/>
          <w:lang w:eastAsia="en-US"/>
        </w:rPr>
        <w:t xml:space="preserve">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</w:t>
      </w:r>
      <w:r>
        <w:rPr>
          <w:bCs/>
          <w:iCs/>
          <w:sz w:val="20"/>
          <w:szCs w:val="20"/>
        </w:rPr>
        <w:t xml:space="preserve">26.04.2019 № 512);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</w:t>
      </w:r>
      <w:r>
        <w:rPr>
          <w:rFonts w:eastAsia="Calibri"/>
          <w:sz w:val="20"/>
          <w:szCs w:val="22"/>
          <w:lang w:eastAsia="en-US"/>
        </w:rPr>
        <w:t xml:space="preserve">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</w:t>
      </w:r>
      <w:r>
        <w:rPr>
          <w:rFonts w:eastAsia="Calibri"/>
          <w:sz w:val="20"/>
          <w:szCs w:val="22"/>
          <w:lang w:eastAsia="en-US"/>
        </w:rPr>
        <w:t xml:space="preserve">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</w:t>
      </w:r>
      <w:r>
        <w:rPr>
          <w:rFonts w:eastAsia="Calibri"/>
          <w:sz w:val="20"/>
          <w:szCs w:val="22"/>
          <w:lang w:eastAsia="en-US"/>
        </w:rPr>
        <w:t xml:space="preserve">ым обществам 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</w:t>
      </w:r>
      <w:r>
        <w:rPr>
          <w:rFonts w:eastAsia="Calibri"/>
          <w:sz w:val="20"/>
          <w:szCs w:val="22"/>
          <w:lang w:eastAsia="en-US"/>
        </w:rPr>
        <w:t xml:space="preserve">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№ 1764);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</w:t>
      </w:r>
      <w:r>
        <w:rPr>
          <w:bCs/>
          <w:iCs/>
          <w:sz w:val="20"/>
          <w:szCs w:val="20"/>
        </w:rPr>
        <w:t xml:space="preserve">дополученных ими доходов по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</w:t>
      </w:r>
      <w:r>
        <w:rPr>
          <w:bCs/>
          <w:iCs/>
          <w:sz w:val="20"/>
          <w:szCs w:val="20"/>
        </w:rPr>
        <w:t xml:space="preserve">сти (утв. постановлением Правительства Российской Федерации от 06.09.2022 № 1570) (далее – ППРФ от 06.09.2022 № 1570);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</w:t>
      </w:r>
      <w:r>
        <w:rPr>
          <w:bCs/>
          <w:iCs/>
          <w:sz w:val="20"/>
          <w:szCs w:val="20"/>
        </w:rPr>
        <w:t xml:space="preserve"> № 22-68850-00258-Р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</w:t>
      </w:r>
      <w:r>
        <w:rPr>
          <w:bCs/>
          <w:iCs/>
          <w:sz w:val="20"/>
          <w:szCs w:val="20"/>
        </w:rPr>
        <w:t xml:space="preserve">ением сельскохозяйственных кредитных потребительских кооперативов), организациям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</w:t>
      </w:r>
      <w:r>
        <w:rPr>
          <w:bCs/>
          <w:iCs/>
          <w:sz w:val="20"/>
          <w:szCs w:val="20"/>
        </w:rPr>
        <w:t xml:space="preserve">отной ставке (далее – Решение № 258-Р), принятого в соответствии с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</w:t>
      </w:r>
      <w:r>
        <w:rPr>
          <w:bCs/>
          <w:iCs/>
          <w:sz w:val="20"/>
          <w:szCs w:val="20"/>
        </w:rPr>
        <w:t xml:space="preserve">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организациями, международными финансовыми организ</w:t>
      </w:r>
      <w:r>
        <w:rPr>
          <w:bCs/>
          <w:iCs/>
          <w:sz w:val="20"/>
          <w:szCs w:val="20"/>
        </w:rPr>
        <w:t xml:space="preserve">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и индивидуальным предпринимателям, осу</w:t>
      </w:r>
      <w:r>
        <w:rPr>
          <w:bCs/>
          <w:iCs/>
          <w:sz w:val="20"/>
          <w:szCs w:val="20"/>
        </w:rPr>
        <w:t xml:space="preserve">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 – Решение № 358-Р), принятого в соответствии с ППРФ от 25.10.2023 № 1780;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</w:t>
      </w:r>
      <w:r>
        <w:rPr>
          <w:bCs/>
          <w:iCs/>
          <w:sz w:val="20"/>
          <w:szCs w:val="20"/>
        </w:rPr>
        <w:t xml:space="preserve">ах решения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</w:t>
      </w:r>
      <w:r>
        <w:rPr>
          <w:bCs/>
          <w:iCs/>
          <w:sz w:val="20"/>
          <w:szCs w:val="20"/>
        </w:rPr>
        <w:t xml:space="preserve"> льготного кредитования (далее – Решение № 1201-Р), принятого в соответствии с ППРФ от 25.10.2023 № 1780;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24-68701-0</w:t>
      </w:r>
      <w:r>
        <w:rPr>
          <w:bCs/>
          <w:iCs/>
          <w:sz w:val="20"/>
          <w:szCs w:val="20"/>
        </w:rPr>
        <w:t xml:space="preserve">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доходов по кредитам и (или) по иным инстру</w:t>
      </w:r>
      <w:r>
        <w:rPr>
          <w:bCs/>
          <w:iCs/>
          <w:sz w:val="20"/>
          <w:szCs w:val="20"/>
        </w:rPr>
        <w:t xml:space="preserve">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1780;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  <w:highlight w:val="none"/>
        </w:rPr>
        <w:outlineLvl w:val="5"/>
      </w:pPr>
      <w:r>
        <w:rPr>
          <w:bCs/>
          <w:iCs/>
          <w:sz w:val="20"/>
          <w:szCs w:val="20"/>
        </w:rPr>
      </w: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0"/>
          <w:szCs w:val="20"/>
        </w:rPr>
        <w:t xml:space="preserve"> при кредитовании в рамках решения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</w:t>
      </w:r>
      <w:r>
        <w:rPr>
          <w:rFonts w:ascii="Times New Roman" w:hAnsi="Times New Roman"/>
          <w:sz w:val="20"/>
          <w:szCs w:val="20"/>
        </w:rPr>
        <w:t xml:space="preserve">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</w:t>
      </w:r>
      <w:r>
        <w:rPr>
          <w:rFonts w:ascii="Times New Roman" w:hAnsi="Times New Roman"/>
          <w:sz w:val="20"/>
          <w:szCs w:val="20"/>
        </w:rPr>
        <w:t xml:space="preserve">-Р</w:t>
      </w:r>
      <w:r>
        <w:rPr>
          <w:rFonts w:ascii="Times New Roman" w:hAnsi="Times New Roman"/>
          <w:sz w:val="20"/>
          <w:szCs w:val="20"/>
        </w:rPr>
        <w:t xml:space="preserve">), принятого в соответствии с ППРФ от 25.10.2023 № 1780;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40" w:after="120"/>
        <w:rPr>
          <w:rFonts w:ascii="Times New Roman" w:hAnsi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</w:t>
      </w:r>
      <w:r>
        <w:rPr>
          <w:rFonts w:ascii="Times New Roman" w:hAnsi="Times New Roman"/>
          <w:sz w:val="20"/>
          <w:szCs w:val="20"/>
        </w:rPr>
        <w:t xml:space="preserve">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</w:t>
      </w:r>
      <w:r>
        <w:rPr>
          <w:rFonts w:ascii="Times New Roman" w:hAnsi="Times New Roman"/>
          <w:sz w:val="20"/>
          <w:szCs w:val="20"/>
        </w:rPr>
        <w:t xml:space="preserve">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rFonts w:ascii="Times New Roman" w:hAnsi="Times New Roman"/>
          <w:sz w:val="20"/>
          <w:szCs w:val="20"/>
        </w:rPr>
        <w:t xml:space="preserve">№ 1780;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contextualSpacing w:val="0"/>
        <w:ind w:left="0" w:right="0" w:firstLine="0"/>
        <w:jc w:val="both"/>
        <w:spacing w:before="40" w:after="0" w:line="240" w:lineRule="auto"/>
        <w:rPr>
          <w:sz w:val="20"/>
          <w:szCs w:val="20"/>
          <w:highlight w:val="none"/>
        </w:rPr>
        <w:outlineLvl w:val="5"/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при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кредитовании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№ </w:t>
      </w:r>
      <w:hyperlink w:history="1">
        <w:r>
          <w:rPr>
            <w:rFonts w:ascii="Times New Roman" w:hAnsi="Times New Roman" w:eastAsia="Times New Roman" w:cs="Times New Roman"/>
            <w:sz w:val="20"/>
            <w:szCs w:val="20"/>
            <w:highlight w:val="none"/>
          </w:rPr>
          <w:t xml:space="preserve">25-66428-01969-Р</w:t>
        </w:r>
      </w:hyperlink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Возмещение недополученных российскими кредитными организациями, международными финансовыми организациями и государстве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ство, первичную и (или) последующую (промышленную) переработку сельскохозяйственной продукции и ее реализацию, по льготной ставке» (далее – Решение № 1969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-Р), принятого в соответствии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с ППРФ от 25.10.2023 № 1780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;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contextualSpacing w:val="0"/>
        <w:ind w:left="0" w:right="0" w:firstLine="0"/>
        <w:jc w:val="both"/>
        <w:spacing w:before="40"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  <w:suppressLineNumbers w:val="0"/>
      </w:pPr>
      <w:r>
        <w:rPr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 при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кредитовании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№ 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25-68850-01698-Р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«Возмещение недополученных российскими кредитными организациями, междунаро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ие № 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169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8-Р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), принятого в соответствии с ППРФ от 25.10.2023 № 1780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;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rFonts w:ascii="Times New Roman" w:hAnsi="Times New Roman"/>
          <w:sz w:val="20"/>
          <w:szCs w:val="20"/>
        </w:rPr>
        <w:t xml:space="preserve">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соответствии с ППРФ от 25.10.2023 № 1780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0" w:type="auto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8"/>
        <w:gridCol w:w="3828"/>
      </w:tblGrid>
      <w:tr>
        <w:tblPrEx/>
        <w:trPr/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№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п/п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2"/>
                <w:szCs w:val="22"/>
                <w:lang w:eastAsia="en-US"/>
              </w:rPr>
              <w:outlineLvl w:val="5"/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 xml:space="preserve">Перечень льготных программ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pStyle w:val="994"/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pStyle w:val="994"/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9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 »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94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</w:tbl>
    <w:p>
      <w:pPr>
        <w:jc w:val="both"/>
        <w:spacing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left="-142" w:firstLine="851"/>
        <w:jc w:val="both"/>
        <w:rPr>
          <w:bCs/>
          <w:iCs/>
          <w:sz w:val="6"/>
        </w:rPr>
      </w:pPr>
      <w:r>
        <w:rPr>
          <w:bCs/>
          <w:iCs/>
          <w:sz w:val="6"/>
        </w:rPr>
      </w:r>
      <w:r>
        <w:rPr>
          <w:bCs/>
          <w:iCs/>
          <w:sz w:val="6"/>
        </w:rPr>
      </w:r>
      <w:r>
        <w:rPr>
          <w:bCs/>
          <w:iCs/>
          <w:sz w:val="6"/>
        </w:rPr>
      </w:r>
    </w:p>
    <w:p>
      <w:pPr>
        <w:pStyle w:val="998"/>
      </w:pPr>
      <w:r/>
      <w:bookmarkStart w:id="78" w:name="_Toc393441471"/>
      <w:r/>
      <w:bookmarkStart w:id="79" w:name="_Toc393441689"/>
      <w:r>
        <w:t xml:space="preserve">13. </w:t>
      </w:r>
      <w:bookmarkEnd w:id="78"/>
      <w:r/>
      <w:bookmarkEnd w:id="79"/>
      <w:r>
        <w:t xml:space="preserve">Обслуживание торгово-сервисных предприятий</w:t>
      </w:r>
      <w:r>
        <w:rPr>
          <w:rStyle w:val="1190"/>
        </w:rPr>
        <w:footnoteReference w:id="7"/>
      </w:r>
      <w:r>
        <w:rPr>
          <w:rStyle w:val="1190"/>
        </w:rPr>
        <w:t xml:space="preserve">*</w:t>
      </w:r>
      <w:r>
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</w:r>
      <w:r/>
    </w:p>
    <w:p>
      <w:r/>
      <w:r/>
    </w:p>
    <w:tbl>
      <w:tblPr>
        <w:tblW w:w="10499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72"/>
        <w:gridCol w:w="1987"/>
        <w:gridCol w:w="3547"/>
      </w:tblGrid>
      <w:tr>
        <w:tblPrEx/>
        <w:trPr>
          <w:tblHeader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after="60"/>
              <w:rPr>
                <w:bCs/>
              </w:rPr>
            </w:pPr>
            <w: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</w:t>
            </w:r>
            <w:r>
              <w:t xml:space="preserve">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color w:val="ff0000"/>
              </w:rPr>
              <w:t xml:space="preserve">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Приложению 1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94"/>
              <w:ind w:left="7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Комиссия за совершение операции в сети Интернет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с использованием карты JCB International, UnionPay Int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e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rnational, национальной платежной системы «Мир» и иных международных платежных систем (В) (М), осуществление операций по картам которых обеспечивается </w:t>
              <w:br/>
              <w:t xml:space="preserve">АО «Национальная система платежных карт» и производится исключительно на территории Российской Федерации</w:t>
            </w:r>
            <w:r>
              <w:rPr>
                <w:rStyle w:val="1175"/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footnoteReference w:id="8"/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Приложению 2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beforeAutospacing="0" w:after="40" w:afterAutospacing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Комиссия за технологическое взаимодействие в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рамках услуги «Интернет-эквайринг»</w:t>
            </w:r>
            <w:r>
              <w:rPr>
                <w:rStyle w:val="1175"/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footnoteReference w:id="9"/>
            </w: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Приложению 2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</w:t>
            </w:r>
            <w:r>
              <w:rPr>
                <w:sz w:val="20"/>
                <w:szCs w:val="20"/>
              </w:rPr>
              <w:t xml:space="preserve">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самозанятых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</w:t>
            </w:r>
            <w:r>
              <w:rPr>
                <w:sz w:val="20"/>
                <w:szCs w:val="20"/>
              </w:rPr>
              <w:t xml:space="preserve">, платежи в пользу благотворительных организаций,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</w:t>
            </w:r>
            <w:r>
              <w:rPr>
                <w:sz w:val="20"/>
                <w:szCs w:val="20"/>
              </w:rPr>
              <w:t xml:space="preserve">добавок и иных товаров медицинского назначения,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</w:t>
            </w:r>
            <w:r>
              <w:rPr>
                <w:sz w:val="20"/>
                <w:szCs w:val="20"/>
              </w:rPr>
              <w:t xml:space="preserve">в и негосударственных пенсионных фондов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более 10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п.п.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</w:t>
            </w:r>
            <w:r>
              <w:rPr>
                <w:sz w:val="20"/>
                <w:szCs w:val="20"/>
              </w:rPr>
              <w:t xml:space="preserve">счет оплаты товаров (работ, услуг)»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лимит одного перевода –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999 999,99 руб.</w:t>
            </w: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</w:t>
      </w:r>
      <w:r>
        <w:rPr>
          <w:i/>
          <w:iCs/>
          <w:sz w:val="16"/>
          <w:szCs w:val="16"/>
        </w:rPr>
        <w:t xml:space="preserve">Обслуживание бюджетных учреждений, принимающих к оплате платежные карты, осуществляется без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98"/>
      </w:pPr>
      <w:r>
        <w:t xml:space="preserve">14. </w:t>
      </w:r>
      <w:bookmarkStart w:id="80" w:name="_GoBack"/>
      <w:r/>
      <w:bookmarkEnd w:id="80"/>
      <w:r>
        <w:t xml:space="preserve">Депозитарные услуги**</w:t>
      </w:r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3697"/>
        <w:gridCol w:w="992"/>
        <w:gridCol w:w="993"/>
        <w:gridCol w:w="3543"/>
      </w:tblGrid>
      <w:tr>
        <w:tblPrEx/>
        <w:trPr>
          <w:tblHeader/>
        </w:trPr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Административные операции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2 000 руб.,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АО «Россельхозбанк» в НКО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АО НРД и в других депозитариях по поручению клиента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1 000 руб. за каждый раздел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20 000 руб.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</w:t>
            </w:r>
            <w:r>
              <w:rPr>
                <w:sz w:val="20"/>
                <w:szCs w:val="20"/>
              </w:rPr>
              <w:t xml:space="preserve">уб. в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</w:t>
            </w:r>
            <w:r>
              <w:rPr>
                <w:sz w:val="20"/>
                <w:szCs w:val="20"/>
              </w:rPr>
              <w:t xml:space="preserve">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</w:t>
            </w:r>
            <w:r>
              <w:rPr>
                <w:sz w:val="20"/>
                <w:szCs w:val="20"/>
              </w:rPr>
              <w:t xml:space="preserve">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</w:t>
            </w:r>
            <w:r>
              <w:rPr>
                <w:sz w:val="20"/>
                <w:szCs w:val="20"/>
              </w:rPr>
              <w:t xml:space="preserve">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55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</w:t>
            </w:r>
            <w:r>
              <w:rPr>
                <w:sz w:val="20"/>
                <w:szCs w:val="20"/>
              </w:rPr>
              <w:t xml:space="preserve"> от номинальной стоимости ежедневного остатка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</w:t>
            </w:r>
            <w:r>
              <w:rPr>
                <w:sz w:val="20"/>
                <w:szCs w:val="20"/>
              </w:rPr>
              <w:t xml:space="preserve">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</w:t>
            </w:r>
            <w:r>
              <w:rPr>
                <w:sz w:val="20"/>
                <w:szCs w:val="20"/>
              </w:rPr>
              <w:t xml:space="preserve">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бумаг, являющихся обеспечением по кредитам, выданным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</w:t>
            </w:r>
            <w:r>
              <w:rPr>
                <w:sz w:val="20"/>
                <w:szCs w:val="20"/>
              </w:rPr>
              <w:t xml:space="preserve">инальной стоимости по облигациям и акциям,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6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на счете ДЕПО ценных бумаг Депонентов*, принятых АО «Россельхозбанк» на брокерское обслуживание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15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right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Средневзвешенная стоимость</w:t>
            </w:r>
            <w:r>
              <w:rPr>
                <w:sz w:val="20"/>
                <w:szCs w:val="20"/>
                <w:vertAlign w:val="superscript"/>
              </w:rPr>
              <w:footnoteReference w:id="10"/>
            </w:r>
            <w:r>
              <w:rPr>
                <w:sz w:val="20"/>
                <w:szCs w:val="20"/>
              </w:rPr>
              <w:t xml:space="preserve"> ценных бумаг (млрд. 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28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vMerge w:val="restar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20 до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0,0172%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</w:t>
            </w:r>
            <w:r>
              <w:rPr>
                <w:sz w:val="20"/>
                <w:szCs w:val="20"/>
              </w:rPr>
              <w:t xml:space="preserve">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Прием/выдача сертификатов </w:t>
            </w:r>
            <w:r>
              <w:rPr>
                <w:sz w:val="20"/>
                <w:szCs w:val="20"/>
              </w:rPr>
              <w:t xml:space="preserve">ценных бумаг на/с хранение(я)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эмисcионных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 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 против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ценных бумаг на счета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в реестрах/на междепозитарные счета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ffffff"/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</w:t>
            </w:r>
            <w:r>
              <w:rPr>
                <w:sz w:val="20"/>
                <w:szCs w:val="20"/>
              </w:rPr>
              <w:t xml:space="preserve">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счетам АО 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купли-продажи ценных бумаг, совершенным   через брокера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</w:t>
            </w:r>
            <w:r>
              <w:rPr>
                <w:sz w:val="20"/>
                <w:szCs w:val="20"/>
              </w:rPr>
              <w:t xml:space="preserve">тупления денежных средств на счет Депонента-поставщика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по блокировке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</w:t>
            </w:r>
            <w:r>
              <w:rPr>
                <w:sz w:val="20"/>
                <w:szCs w:val="20"/>
              </w:rPr>
              <w:t xml:space="preserve">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Корпоративные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</w:t>
            </w:r>
            <w:r>
              <w:rPr>
                <w:sz w:val="20"/>
                <w:szCs w:val="20"/>
              </w:rPr>
              <w:t xml:space="preserve">рование выпуска, объединение выпуска, дробление/консолидация выпуска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 перевод дохода не производится, сумма зачисляется в доход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Ответы на запросы клиентов, связанные с </w:t>
            </w:r>
            <w:r>
              <w:rPr>
                <w:sz w:val="20"/>
                <w:szCs w:val="20"/>
              </w:rPr>
              <w:t xml:space="preserve">проведением операций, с выдачей исторических справок, подтверждений и пр.: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Ответ формируется </w:t>
            </w:r>
            <w:r>
              <w:rPr>
                <w:sz w:val="20"/>
                <w:szCs w:val="20"/>
              </w:rPr>
              <w:t xml:space="preserve">на бумажном носителе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период с начальной даты, указанной в запросе Депонента до даты получения Банком запроса</w:t>
            </w:r>
            <w:r>
              <w:rPr>
                <w:sz w:val="20"/>
                <w:szCs w:val="20"/>
              </w:rPr>
            </w:r>
            <w:r/>
          </w:p>
          <w:p>
            <w:r/>
            <w:r/>
          </w:p>
          <w:p>
            <w:r>
              <w:rPr>
                <w:sz w:val="20"/>
                <w:szCs w:val="20"/>
              </w:rPr>
              <w:t xml:space="preserve">В случае отсутствия в запросе Депонента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>
              <w:rPr>
                <w:sz w:val="20"/>
                <w:szCs w:val="20"/>
              </w:rPr>
            </w:r>
            <w:r/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за период от 1 года (включительно) до 3-х лет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Предоставление копий поручений,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приложений, договоров и других документов (за исключением документов, указанных в п. 14.8.7 Тарифов) по запросу Депонента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На бумажном носителе -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100 руб. за лист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14.8.7.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Предоставление отчетов и выписок со счета депо по запросу Депонента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(за исключением документов, указанных в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п.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 14.8.1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, 14.8.4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 Тарифов)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На бумажном носителе - 15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0 руб.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за документ (без учета количества листов)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p>
      <w:pPr>
        <w:pStyle w:val="998"/>
      </w:pPr>
      <w:r>
        <w:t xml:space="preserve">15. Операции с монетами из драгоценных металлов</w:t>
      </w:r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176"/>
              <w:tabs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«анциркулейтед», 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«анциркулейтед», 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 w:firstLine="283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руб./шт.»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tabs>
          <w:tab w:val="left" w:pos="1080" w:leader="none"/>
        </w:tabs>
        <w:rPr>
          <w:i/>
          <w:sz w:val="20"/>
          <w:szCs w:val="20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720" w:right="720" w:bottom="720" w:left="1287" w:header="570" w:footer="567" w:gutter="0"/>
          <w:cols w:num="1" w:sep="0" w:space="708" w:equalWidth="1"/>
          <w:docGrid w:linePitch="360"/>
          <w:titlePg/>
        </w:sect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998"/>
      </w:pPr>
      <w:r>
        <w:t xml:space="preserve">16. Операции с драгоценными металлами</w:t>
      </w:r>
      <w:r/>
    </w:p>
    <w:tbl>
      <w:tblPr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3556"/>
        <w:gridCol w:w="3119"/>
        <w:gridCol w:w="2268"/>
      </w:tblGrid>
      <w:tr>
        <w:tblPrEx/>
        <w:trPr>
          <w:tblHeader/>
        </w:trPr>
        <w:tc>
          <w:tcP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blHeader/>
        </w:trPr>
        <w:tc>
          <w:tcPr>
            <w:tcW w:w="126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8943" w:type="dxa"/>
            <w:textDirection w:val="lrTb"/>
            <w:noWrap w:val="false"/>
          </w:tcPr>
          <w:p>
            <w:pPr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Ведение банковского счета в драгоценных металлах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банковскому счету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16.2.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8943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Операции по банковским счетам в драгоценных металлах</w:t>
            </w:r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sz w:val="20"/>
                <w:szCs w:val="20"/>
                <w:vertAlign w:val="superscript"/>
              </w:rPr>
              <w:footnoteReference w:id="11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175"/>
                <w:rFonts w:eastAsia="Arial"/>
                <w:sz w:val="22"/>
                <w:szCs w:val="22"/>
              </w:rPr>
              <w:footnoteReference w:id="12"/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Тариф за слиток (руб.)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7 000,00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175"/>
                <w:rFonts w:eastAsia="Arial"/>
                <w:sz w:val="22"/>
                <w:szCs w:val="22"/>
              </w:rPr>
              <w:footnoteReference w:id="13"/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1 100,00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9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9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19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998"/>
      </w:pPr>
      <w:r/>
      <w:r/>
    </w:p>
    <w:p>
      <w:pPr>
        <w:pStyle w:val="998"/>
      </w:pPr>
      <w:r/>
      <w:r/>
    </w:p>
    <w:p>
      <w:pPr>
        <w:pStyle w:val="998"/>
      </w:pPr>
      <w:r>
        <w:t xml:space="preserve">17. Обслуживание с использованием Торговой системы РСХБ-Дилинг АО «Россельхозбанк», Торговой системы РСХБ-Дилинг 2.0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24"/>
        <w:gridCol w:w="2950"/>
        <w:gridCol w:w="1827"/>
        <w:gridCol w:w="4214"/>
      </w:tblGrid>
      <w:tr>
        <w:tblPrEx/>
        <w:trPr>
          <w:trHeight w:val="70"/>
        </w:trPr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Смена логина</w:t>
            </w:r>
            <w:r>
              <w:rPr>
                <w:sz w:val="20"/>
                <w:szCs w:val="20"/>
                <w:vertAlign w:val="superscript"/>
              </w:rPr>
              <w:footnoteReference w:id="14"/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и/или пароля для доступа к Торговой системе РСХБ-Дилинг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</w:t>
            </w:r>
            <w:r>
              <w:rPr>
                <w:sz w:val="20"/>
                <w:szCs w:val="20"/>
              </w:rPr>
              <w:t xml:space="preserve">па в Торговую систему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для новых уполномоченных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HTML-формы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</w:t>
            </w:r>
            <w:r>
              <w:rPr>
                <w:sz w:val="20"/>
                <w:szCs w:val="20"/>
              </w:rPr>
              <w:t xml:space="preserve">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</w:t>
            </w:r>
            <w:r>
              <w:rPr>
                <w:sz w:val="20"/>
                <w:szCs w:val="20"/>
              </w:rPr>
              <w:t xml:space="preserve">ертификата ключа проверки электронной подписи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  <w:tab w:val="left" w:pos="12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утратой функционального ключевого носителя или его технических повреждений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</w:t>
            </w:r>
            <w:r>
              <w:rPr>
                <w:sz w:val="20"/>
                <w:szCs w:val="20"/>
              </w:rPr>
              <w:t xml:space="preserve">а ключа проверки электронной подписи.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компрометацией ключа  электронной подписи на новом функциональном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</w:t>
            </w:r>
            <w:r>
              <w:rPr>
                <w:sz w:val="20"/>
                <w:szCs w:val="20"/>
              </w:rPr>
              <w:t xml:space="preserve">иентом функционального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</w:t>
            </w:r>
            <w:r>
              <w:rPr>
                <w:sz w:val="20"/>
                <w:szCs w:val="20"/>
              </w:rPr>
              <w:t xml:space="preserve">вого функционального ключевого носителя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</w:t>
            </w:r>
            <w:r>
              <w:rPr>
                <w:sz w:val="20"/>
                <w:szCs w:val="20"/>
              </w:rPr>
              <w:t xml:space="preserve">ловий по п. 17.1.5.2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 2.0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2.0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17.2.2.3.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Смена логина</w:t>
            </w:r>
            <w:r>
              <w:rPr>
                <w:sz w:val="20"/>
                <w:szCs w:val="20"/>
                <w:vertAlign w:val="superscript"/>
              </w:rPr>
              <w:footnoteReference w:id="15"/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и/или пароля для доступа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17.2.2.5.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rPr>
          <w:b/>
          <w:bCs/>
        </w:rPr>
      </w:pPr>
      <w: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</w:pPr>
      <w:r>
        <w:rPr>
          <w:b/>
          <w:bCs/>
        </w:rPr>
        <w:t xml:space="preserve">18.</w:t>
      </w:r>
      <w:r>
        <w:rPr>
          <w:b/>
          <w:bCs/>
        </w:rPr>
        <w:t xml:space="preserve">Операции с использованием цифрового рубля.</w:t>
      </w:r>
      <w:r/>
    </w:p>
    <w:tbl>
      <w:tblPr>
        <w:tblW w:w="10336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2976"/>
        <w:gridCol w:w="1843"/>
        <w:gridCol w:w="4252"/>
      </w:tblGrid>
      <w:tr>
        <w:tblPrEx/>
        <w:trPr/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№</w:t>
            </w:r>
            <w:r/>
          </w:p>
          <w:p>
            <w:pPr>
              <w:jc w:val="center"/>
            </w:pPr>
            <w:r>
              <w:t xml:space="preserve">п/п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услуги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Тариф </w:t>
            </w:r>
            <w:r/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Примечание</w:t>
            </w:r>
            <w:r/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</w:t>
            </w:r>
            <w:r/>
          </w:p>
        </w:tc>
        <w:tc>
          <w:tcPr>
            <w:gridSpan w:val="3"/>
            <w:tcW w:w="9071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/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18.1.1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40"/>
            </w:pPr>
            <w: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tab/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18.1.2.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40"/>
            </w:pPr>
            <w:r>
              <w:t xml:space="preserve">Перевод (зачисление) денежных средств в рублях Российс</w:t>
            </w:r>
            <w:r>
              <w:t xml:space="preserve">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В случае если на момент оказания услуги клиент не имеет счетов, открытых в АО «Россельхозбанк», с которых Банком может быть удержана комисси</w:t>
      </w:r>
      <w:r>
        <w:rPr>
          <w:i/>
          <w:sz w:val="16"/>
          <w:szCs w:val="16"/>
        </w:rPr>
        <w:t xml:space="preserve">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vanish/>
        </w:rPr>
      </w:pPr>
      <w:r>
        <w:rPr>
          <w:vanish/>
        </w:rPr>
      </w:r>
      <w:r>
        <w:rPr>
          <w:vanish/>
        </w:rPr>
      </w:r>
      <w:r>
        <w:rPr>
          <w:vanish/>
        </w:rPr>
      </w:r>
    </w:p>
    <w:sectPr>
      <w:footnotePr/>
      <w:endnotePr/>
      <w:type w:val="continuous"/>
      <w:pgSz w:w="11906" w:h="16838" w:orient="portrait"/>
      <w:pgMar w:top="0" w:right="720" w:bottom="720" w:left="1287" w:header="570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00000000000000000"/>
  </w:font>
  <w:font w:name="Tahoma">
    <w:panose1 w:val="020B0604030504040204"/>
  </w:font>
  <w:font w:name="TimesET">
    <w:panose1 w:val="02000603000000000000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91"/>
        <w:jc w:val="both"/>
        <w:rPr>
          <w:i/>
          <w:sz w:val="16"/>
          <w:szCs w:val="16"/>
        </w:rPr>
      </w:pPr>
      <w:r>
        <w:rPr>
          <w:rStyle w:val="1190"/>
          <w:i/>
          <w:sz w:val="16"/>
          <w:szCs w:val="16"/>
        </w:rPr>
        <w:footnoteRef/>
      </w:r>
      <w:r>
        <w:rPr>
          <w:rStyle w:val="1190"/>
          <w:rFonts w:ascii="Symbol" w:hAnsi="Symbol" w:eastAsia="Symbol" w:cs="Symbol"/>
          <w:i/>
          <w:sz w:val="16"/>
          <w:szCs w:val="16"/>
        </w:rPr>
        <w:t xml:space="preserve"></w:t>
      </w:r>
      <w:r>
        <w:rPr>
          <w:i/>
          <w:sz w:val="16"/>
          <w:szCs w:val="16"/>
        </w:rPr>
        <w:t xml:space="preserve"> </w:t>
      </w:r>
      <w:r>
        <w:rPr>
          <w:bCs/>
          <w:i/>
          <w:sz w:val="16"/>
          <w:szCs w:val="16"/>
        </w:rPr>
        <w:t xml:space="preserve">Операции по обязательной продаже части валютной выручки на вн</w:t>
      </w:r>
      <w:r>
        <w:rPr>
          <w:bCs/>
          <w:i/>
          <w:sz w:val="16"/>
          <w:szCs w:val="16"/>
        </w:rPr>
        <w:t xml:space="preserve">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3">
    <w:p>
      <w:pPr>
        <w:pStyle w:val="1191"/>
        <w:rPr>
          <w:i/>
          <w:sz w:val="16"/>
          <w:szCs w:val="16"/>
        </w:rPr>
      </w:pPr>
      <w:r>
        <w:rPr>
          <w:rStyle w:val="1190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При наличии графика изменения лимита кредитования – комиссия начисляется по формуле прос</w:t>
      </w:r>
      <w:r>
        <w:rPr>
          <w:i/>
          <w:sz w:val="16"/>
          <w:szCs w:val="16"/>
        </w:rPr>
        <w:t xml:space="preserve">тых процентов на сумму неиспользованного остатка лимита кредитования, действующего согласно графика изменения лимита кредитования.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4">
    <w:p>
      <w:pPr>
        <w:pStyle w:val="1191"/>
        <w:rPr>
          <w:i/>
          <w:sz w:val="16"/>
          <w:szCs w:val="16"/>
        </w:rPr>
      </w:pPr>
      <w:r>
        <w:rPr>
          <w:rStyle w:val="1190"/>
        </w:rPr>
        <w:footnoteRef/>
      </w:r>
      <w:r>
        <w:t xml:space="preserve"> </w:t>
      </w:r>
      <w:r>
        <w:rPr>
          <w:bCs/>
          <w:i/>
          <w:sz w:val="16"/>
          <w:szCs w:val="16"/>
        </w:rPr>
        <w:t xml:space="preserve">В том числе при установлении коммерческой ставки по кредиту (части кредита) в рамках льготных программ.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91"/>
      </w:pPr>
      <w:r/>
      <w:r/>
    </w:p>
  </w:footnote>
  <w:footnote w:id="5">
    <w:p>
      <w:pPr>
        <w:pStyle w:val="1191"/>
        <w:jc w:val="both"/>
        <w:rPr>
          <w:i/>
          <w:sz w:val="16"/>
          <w:szCs w:val="16"/>
        </w:rPr>
      </w:pPr>
      <w:r>
        <w:rPr>
          <w:rStyle w:val="1190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Срок, оставшийся</w:t>
      </w:r>
      <w:r>
        <w:rPr>
          <w:i/>
          <w:sz w:val="16"/>
          <w:szCs w:val="16"/>
        </w:rPr>
        <w:t xml:space="preserve">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6">
    <w:p>
      <w:pPr>
        <w:pStyle w:val="1191"/>
        <w:rPr>
          <w:i/>
          <w:sz w:val="16"/>
          <w:szCs w:val="16"/>
        </w:rPr>
      </w:pPr>
      <w:r>
        <w:rPr>
          <w:rStyle w:val="1190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 В соответствии с пунктом </w:t>
      </w:r>
      <w:r>
        <w:rPr>
          <w:i/>
          <w:sz w:val="16"/>
          <w:szCs w:val="16"/>
        </w:rPr>
        <w:t xml:space="preserve">10.2 приказа АО «Россельхозбанк» от 01.08.2013 № 386-ОД.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7">
    <w:p>
      <w:pPr>
        <w:pStyle w:val="1191"/>
        <w:rPr>
          <w:i/>
          <w:sz w:val="16"/>
          <w:szCs w:val="16"/>
        </w:rPr>
      </w:pPr>
      <w:r>
        <w:rPr>
          <w:rStyle w:val="1190"/>
        </w:rPr>
        <w:t xml:space="preserve">*</w:t>
      </w:r>
      <w:r>
        <w:footnoteRef/>
      </w:r>
      <w:r>
        <w:t xml:space="preserve"> </w:t>
      </w:r>
      <w:r>
        <w:rPr>
          <w:i/>
          <w:sz w:val="16"/>
          <w:szCs w:val="16"/>
        </w:rPr>
        <w:t xml:space="preserve">Под </w:t>
      </w:r>
      <w:r>
        <w:rPr>
          <w:i/>
          <w:sz w:val="16"/>
          <w:szCs w:val="16"/>
          <w:u w:val="single"/>
        </w:rPr>
        <w:t xml:space="preserve">торгово-сервисным предприятием</w:t>
      </w:r>
      <w:r>
        <w:rPr>
          <w:i/>
          <w:sz w:val="16"/>
          <w:szCs w:val="16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</w:t>
      </w:r>
      <w:r>
        <w:rPr>
          <w:i/>
          <w:sz w:val="16"/>
          <w:szCs w:val="16"/>
        </w:rPr>
        <w:t xml:space="preserve">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России.</w:t>
      </w:r>
      <w:r>
        <w:t xml:space="preserve">                    </w:t>
      </w:r>
      <w:r>
        <w:t xml:space="preserve">                                                                          </w:t>
      </w:r>
      <w:r>
        <w:rPr>
          <w:i/>
          <w:sz w:val="16"/>
          <w:szCs w:val="16"/>
        </w:rPr>
        <w:t xml:space="preserve">* Тарифы, установленные пунктом 13.1.2, применяются при предоставлении услуг новым Клиентам Банка. Новым Клиентом является Клиент, у которого на момент подключения услуги отсутствует</w:t>
      </w:r>
      <w:r>
        <w:rPr>
          <w:i/>
          <w:sz w:val="16"/>
          <w:szCs w:val="16"/>
        </w:rPr>
        <w:t xml:space="preserve"> действующий Договор эквайринга в рамках одного регионального филиала Банка/внутреннего структурного подразделения Банка и ранее действующие Договоры эквайринга были расторгнуты Клиентом/Банком более 3 месяцев назад.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8">
    <w:p>
      <w:pPr>
        <w:pStyle w:val="1173"/>
        <w:jc w:val="both"/>
        <w:rPr>
          <w:rFonts w:ascii="Times New Roman" w:hAnsi="Times New Roman" w:cs="Times New Roman"/>
        </w:rPr>
      </w:pPr>
      <w:r>
        <w:rPr>
          <w:rStyle w:val="1175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Пункты 13.3 и 13.4 п</w:t>
      </w:r>
      <w:r>
        <w:rPr>
          <w:rFonts w:ascii="Times New Roman" w:hAnsi="Times New Roman" w:eastAsia="Times New Roman" w:cs="Times New Roman"/>
        </w:rPr>
        <w:t xml:space="preserve">р</w:t>
      </w:r>
      <w:r>
        <w:rPr>
          <w:rFonts w:ascii="Times New Roman" w:hAnsi="Times New Roman" w:eastAsia="Times New Roman" w:cs="Times New Roman"/>
        </w:rPr>
        <w:t xml:space="preserve">именяются для клиентов, заключивших договор </w:t>
      </w:r>
      <w:r>
        <w:rPr>
          <w:rFonts w:ascii="Times New Roman" w:hAnsi="Times New Roman" w:eastAsia="Times New Roman" w:cs="Times New Roman"/>
          <w:color w:val="000000"/>
        </w:rPr>
        <w:t xml:space="preserve">и</w:t>
      </w:r>
      <w:r>
        <w:rPr>
          <w:rFonts w:ascii="Times New Roman" w:hAnsi="Times New Roman" w:eastAsia="Times New Roman" w:cs="Times New Roman"/>
          <w:color w:val="000000"/>
        </w:rPr>
        <w:t xml:space="preserve">нтернет-эквайрингового обслуживания </w:t>
      </w:r>
      <w:r>
        <w:rPr>
          <w:rFonts w:ascii="Times New Roman" w:hAnsi="Times New Roman" w:eastAsia="Times New Roman" w:cs="Times New Roman"/>
          <w:color w:val="000000"/>
        </w:rPr>
        <w:t xml:space="preserve">после </w:t>
        <w:br/>
        <w:t xml:space="preserve">19 декабря 2025 года, а также для клиентов, заключивших договор интернет-эквайрингового обслуживания до указанной даты в случае заключения с такими клиентами соглашения о переходе на обслуживание в соответствии с Тарифами.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9">
    <w:p>
      <w:pPr>
        <w:pStyle w:val="1173"/>
        <w:rPr>
          <w:rFonts w:ascii="Times New Roman" w:hAnsi="Times New Roman" w:cs="Times New Roman"/>
          <w:sz w:val="2"/>
          <w:szCs w:val="2"/>
        </w:rPr>
      </w:pPr>
      <w:r>
        <w:rPr>
          <w:rStyle w:val="1175"/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</w:footnote>
  <w:footnote w:id="10">
    <w:p>
      <w:pPr>
        <w:ind w:left="-2" w:right="-18"/>
        <w:jc w:val="both"/>
        <w:spacing w:before="40" w:after="40"/>
        <w:tabs>
          <w:tab w:val="left" w:pos="4464" w:leader="none"/>
          <w:tab w:val="left" w:pos="5760" w:leader="none"/>
        </w:tabs>
        <w:rPr>
          <w:bCs/>
          <w:i/>
          <w:sz w:val="16"/>
          <w:szCs w:val="16"/>
          <w:highlight w:val="none"/>
        </w:rPr>
      </w:pPr>
      <w:r>
        <w:rPr>
          <w:rStyle w:val="1190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i/>
          <w:sz w:val="16"/>
          <w:szCs w:val="16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</w:t>
      </w:r>
      <w:r>
        <w:rPr>
          <w:bCs/>
          <w:i/>
          <w:sz w:val="16"/>
          <w:szCs w:val="16"/>
        </w:rPr>
        <w:t xml:space="preserve">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bCs/>
          <w:i/>
          <w:sz w:val="16"/>
          <w:szCs w:val="16"/>
          <w:highlight w:val="none"/>
        </w:rPr>
      </w:r>
      <w:r>
        <w:rPr>
          <w:bCs/>
          <w:i/>
          <w:sz w:val="16"/>
          <w:szCs w:val="16"/>
          <w:highlight w:val="none"/>
        </w:rPr>
      </w:r>
    </w:p>
    <w:p>
      <w:pPr>
        <w:ind w:left="0" w:right="-18" w:firstLine="0"/>
        <w:jc w:val="both"/>
        <w:spacing w:before="40" w:after="40"/>
        <w:tabs>
          <w:tab w:val="left" w:pos="4464" w:leader="none"/>
          <w:tab w:val="left" w:pos="5760" w:leader="none"/>
        </w:tabs>
        <w:rPr>
          <w:bCs/>
          <w:i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*</w:t>
      </w:r>
      <w:r>
        <w:rPr>
          <w:bCs/>
          <w:i/>
          <w:iCs/>
          <w:sz w:val="16"/>
          <w:szCs w:val="16"/>
        </w:rPr>
        <w:t xml:space="preserve">В настоящем разделе термин «Депонент» используется в значении, определенном ст. 7 Федерального закона от 22.04.1996 № 39-ФЗ «О рынке ценных бумаг».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</w:footnote>
  <w:footnote w:id="11">
    <w:p>
      <w:pPr>
        <w:pStyle w:val="1191"/>
        <w:rPr>
          <w:i/>
          <w:sz w:val="16"/>
          <w:szCs w:val="16"/>
        </w:rPr>
      </w:pPr>
      <w:r>
        <w:rPr>
          <w:rStyle w:val="1190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sz w:val="16"/>
          <w:szCs w:val="16"/>
        </w:rPr>
        <w:t xml:space="preserve">Комиссионное вознаграждение по операциям приема/выдачи слитков драгоценных металлов НДС не облагается</w:t>
      </w:r>
      <w:r>
        <w:rPr>
          <w:i/>
          <w:sz w:val="16"/>
          <w:szCs w:val="16"/>
        </w:rPr>
        <w:t xml:space="preserve">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12">
    <w:p>
      <w:pPr>
        <w:pStyle w:val="1173"/>
        <w:jc w:val="both"/>
      </w:pPr>
      <w:r>
        <w:rPr>
          <w:rStyle w:val="1175"/>
          <w:rFonts w:eastAsia="Arial"/>
        </w:rPr>
        <w:footnoteRef/>
      </w:r>
      <w:r>
        <w:t xml:space="preserve"> </w:t>
      </w:r>
      <w:r>
        <w:rPr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3">
    <w:p>
      <w:pPr>
        <w:pStyle w:val="1173"/>
        <w:jc w:val="both"/>
      </w:pPr>
      <w:r>
        <w:rPr>
          <w:rStyle w:val="1175"/>
          <w:rFonts w:eastAsia="Arial"/>
        </w:rPr>
        <w:footnoteRef/>
      </w:r>
      <w:r>
        <w:rPr>
          <w:szCs w:val="18"/>
        </w:rPr>
        <w:t xml:space="preserve"> Стоимость д</w:t>
      </w:r>
      <w:r>
        <w:rPr>
          <w:szCs w:val="18"/>
        </w:rPr>
        <w:t xml:space="preserve">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4">
    <w:p>
      <w:pPr>
        <w:jc w:val="both"/>
        <w:rPr>
          <w:bCs/>
          <w:i/>
          <w:sz w:val="16"/>
          <w:szCs w:val="18"/>
        </w:rPr>
      </w:pPr>
      <w:r>
        <w:rPr>
          <w:rStyle w:val="1190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i/>
          <w:sz w:val="16"/>
          <w:szCs w:val="18"/>
        </w:rPr>
        <w:t xml:space="preserve">Логин для доступа к Торгово</w:t>
      </w:r>
      <w:r>
        <w:rPr>
          <w:bCs/>
          <w:i/>
          <w:sz w:val="16"/>
          <w:szCs w:val="18"/>
        </w:rPr>
        <w:t xml:space="preserve">й системе РСХБ-Дилинг АО «Россельхозбанк»– уникальное имя Клиента в Торговой системе РСХБ-Дилинг</w:t>
      </w:r>
      <w:r>
        <w:rPr>
          <w:bCs/>
          <w:i/>
          <w:sz w:val="16"/>
          <w:szCs w:val="18"/>
        </w:rPr>
        <w:br w:type="textWrapping" w:clear="all"/>
      </w:r>
      <w:r>
        <w:rPr>
          <w:bCs/>
          <w:i/>
          <w:sz w:val="16"/>
          <w:szCs w:val="18"/>
        </w:rPr>
        <w:t xml:space="preserve">АО «Россельхозбанк», обеспечивающее в сочетании с паролем однозначную аутентификацию Клиента в Торговой системе РСХБ-Дилинг </w:t>
      </w:r>
      <w:r>
        <w:rPr>
          <w:bCs/>
          <w:i/>
          <w:sz w:val="16"/>
          <w:szCs w:val="18"/>
        </w:rPr>
        <w:br w:type="textWrapping" w:clear="all"/>
      </w:r>
      <w:r>
        <w:rPr>
          <w:bCs/>
          <w:i/>
          <w:sz w:val="16"/>
          <w:szCs w:val="18"/>
        </w:rPr>
        <w:t xml:space="preserve">АО «Россельхозбанк».</w:t>
      </w:r>
      <w:r>
        <w:rPr>
          <w:bCs/>
          <w:i/>
          <w:sz w:val="16"/>
          <w:szCs w:val="18"/>
        </w:rPr>
      </w:r>
      <w:r>
        <w:rPr>
          <w:bCs/>
          <w:i/>
          <w:sz w:val="16"/>
          <w:szCs w:val="18"/>
        </w:rPr>
      </w:r>
    </w:p>
  </w:footnote>
  <w:footnote w:id="15">
    <w:p>
      <w:pPr>
        <w:jc w:val="both"/>
        <w:rPr>
          <w:i/>
          <w:sz w:val="16"/>
          <w:szCs w:val="16"/>
        </w:rPr>
      </w:pPr>
      <w:r>
        <w:rPr>
          <w:rStyle w:val="1190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i/>
          <w:sz w:val="16"/>
          <w:szCs w:val="16"/>
        </w:rPr>
        <w:t xml:space="preserve">Логин для д</w:t>
      </w:r>
      <w:r>
        <w:rPr>
          <w:bCs/>
          <w:i/>
          <w:sz w:val="16"/>
          <w:szCs w:val="16"/>
        </w:rPr>
        <w:t xml:space="preserve">оступа к Торговой системе РСХБ –Дилинг 2.0–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Дилинг 2.0.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  <w:szCs w:val="20"/>
      </w:rPr>
      <w:framePr w:wrap="auto" w:vAnchor="text" w:hAnchor="margin" w:xAlign="center" w:y="1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60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95"/>
      <w:rPr>
        <w:color w:val="ffffff"/>
        <w:lang w:val="ru-RU"/>
      </w:rPr>
    </w:pPr>
    <w:r>
      <w:rPr>
        <w:color w:val="ffffff"/>
        <w:lang w:val="ru-RU"/>
      </w:rPr>
      <w:t xml:space="preserve">2013.11.06</w:t>
    </w:r>
    <w:r>
      <w:rPr>
        <w:color w:val="ffffff"/>
        <w:lang w:val="ru-RU"/>
      </w:rPr>
    </w:r>
    <w:r>
      <w:rPr>
        <w:color w:val="ffffff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ascii="Wingdings" w:hAnsi="Wingdings"/>
        <w:i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3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7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7" w:hanging="525"/>
        <w:tabs>
          <w:tab w:val="num" w:pos="597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  <w:tabs>
          <w:tab w:val="num" w:pos="1152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  <w:tabs>
          <w:tab w:val="num" w:pos="1872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  <w:tabs>
          <w:tab w:val="num" w:pos="2592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  <w:tabs>
          <w:tab w:val="num" w:pos="3312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  <w:tabs>
          <w:tab w:val="num" w:pos="4032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  <w:tabs>
          <w:tab w:val="num" w:pos="4752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  <w:tabs>
          <w:tab w:val="num" w:pos="5472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  <w:tabs>
          <w:tab w:val="num" w:pos="6192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i/>
        <w:color w:val="000000"/>
        <w:sz w:val="16"/>
        <w:szCs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4">
    <w:multiLevelType w:val="hybridMultilevel"/>
    <w:lvl w:ilvl="0">
      <w:start w:val="1500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2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ascii="Wingdings" w:hAnsi="Wingdings"/>
      </w:rPr>
    </w:lvl>
  </w:abstractNum>
  <w:num w:numId="1">
    <w:abstractNumId w:val="7"/>
  </w:num>
  <w:num w:numId="2">
    <w:abstractNumId w:val="2"/>
  </w:num>
  <w:num w:numId="3">
    <w:abstractNumId w:val="30"/>
  </w:num>
  <w:num w:numId="4">
    <w:abstractNumId w:val="10"/>
  </w:num>
  <w:num w:numId="5">
    <w:abstractNumId w:val="42"/>
  </w:num>
  <w:num w:numId="6">
    <w:abstractNumId w:val="3"/>
  </w:num>
  <w:num w:numId="7">
    <w:abstractNumId w:val="8"/>
  </w:num>
  <w:num w:numId="8">
    <w:abstractNumId w:val="6"/>
  </w:num>
  <w:num w:numId="9">
    <w:abstractNumId w:val="5"/>
  </w:num>
  <w:num w:numId="10">
    <w:abstractNumId w:val="43"/>
  </w:num>
  <w:num w:numId="11">
    <w:abstractNumId w:val="38"/>
  </w:num>
  <w:num w:numId="12">
    <w:abstractNumId w:val="9"/>
  </w:num>
  <w:num w:numId="13">
    <w:abstractNumId w:val="14"/>
  </w:num>
  <w:num w:numId="14">
    <w:abstractNumId w:val="17"/>
  </w:num>
  <w:num w:numId="15">
    <w:abstractNumId w:val="1"/>
  </w:num>
  <w:num w:numId="16">
    <w:abstractNumId w:val="31"/>
  </w:num>
  <w:num w:numId="17">
    <w:abstractNumId w:val="22"/>
  </w:num>
  <w:num w:numId="18">
    <w:abstractNumId w:val="0"/>
  </w:num>
  <w:num w:numId="19">
    <w:abstractNumId w:val="36"/>
  </w:num>
  <w:num w:numId="20">
    <w:abstractNumId w:val="23"/>
  </w:num>
  <w:num w:numId="21">
    <w:abstractNumId w:val="35"/>
  </w:num>
  <w:num w:numId="22">
    <w:abstractNumId w:val="34"/>
  </w:num>
  <w:num w:numId="23">
    <w:abstractNumId w:val="32"/>
  </w:num>
  <w:num w:numId="24">
    <w:abstractNumId w:val="26"/>
  </w:num>
  <w:num w:numId="25">
    <w:abstractNumId w:val="15"/>
  </w:num>
  <w:num w:numId="26">
    <w:abstractNumId w:val="39"/>
  </w:num>
  <w:num w:numId="27">
    <w:abstractNumId w:val="18"/>
  </w:num>
  <w:num w:numId="28">
    <w:abstractNumId w:val="33"/>
  </w:num>
  <w:num w:numId="29">
    <w:abstractNumId w:val="45"/>
  </w:num>
  <w:num w:numId="30">
    <w:abstractNumId w:val="41"/>
  </w:num>
  <w:num w:numId="31">
    <w:abstractNumId w:val="4"/>
  </w:num>
  <w:num w:numId="32">
    <w:abstractNumId w:val="19"/>
  </w:num>
  <w:num w:numId="33">
    <w:abstractNumId w:val="24"/>
  </w:num>
  <w:num w:numId="34">
    <w:abstractNumId w:val="11"/>
  </w:num>
  <w:num w:numId="35">
    <w:abstractNumId w:val="27"/>
  </w:num>
  <w:num w:numId="36">
    <w:abstractNumId w:val="44"/>
  </w:num>
  <w:num w:numId="37">
    <w:abstractNumId w:val="20"/>
  </w:num>
  <w:num w:numId="38">
    <w:abstractNumId w:val="28"/>
  </w:num>
  <w:num w:numId="39">
    <w:abstractNumId w:val="21"/>
  </w:num>
  <w:num w:numId="40">
    <w:abstractNumId w:val="46"/>
  </w:num>
  <w:num w:numId="41">
    <w:abstractNumId w:val="25"/>
  </w:num>
  <w:num w:numId="42">
    <w:abstractNumId w:val="16"/>
  </w:num>
  <w:num w:numId="43">
    <w:abstractNumId w:val="47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</w:num>
  <w:num w:numId="46">
    <w:abstractNumId w:val="40"/>
  </w:num>
  <w:num w:numId="47">
    <w:abstractNumId w:val="12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94" w:default="1">
    <w:name w:val="Normal"/>
    <w:qFormat/>
    <w:rPr>
      <w:sz w:val="24"/>
      <w:szCs w:val="24"/>
      <w:lang w:eastAsia="ru-RU"/>
    </w:rPr>
  </w:style>
  <w:style w:type="paragraph" w:styleId="995">
    <w:name w:val="Heading 1"/>
    <w:basedOn w:val="994"/>
    <w:next w:val="994"/>
    <w:link w:val="1021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996">
    <w:name w:val="Heading 2"/>
    <w:basedOn w:val="994"/>
    <w:next w:val="994"/>
    <w:link w:val="1022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997">
    <w:name w:val="Heading 3"/>
    <w:basedOn w:val="994"/>
    <w:next w:val="994"/>
    <w:link w:val="1023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998">
    <w:name w:val="Heading 4"/>
    <w:basedOn w:val="994"/>
    <w:next w:val="994"/>
    <w:link w:val="1211"/>
    <w:qFormat/>
    <w:pPr>
      <w:jc w:val="center"/>
      <w:keepNext/>
      <w:outlineLvl w:val="3"/>
    </w:pPr>
    <w:rPr>
      <w:b/>
      <w:bCs/>
      <w:sz w:val="22"/>
      <w:szCs w:val="22"/>
    </w:rPr>
  </w:style>
  <w:style w:type="paragraph" w:styleId="999">
    <w:name w:val="Heading 5"/>
    <w:basedOn w:val="994"/>
    <w:next w:val="994"/>
    <w:link w:val="1025"/>
    <w:qFormat/>
    <w:pPr>
      <w:keepNext/>
      <w:outlineLvl w:val="4"/>
    </w:pPr>
    <w:rPr>
      <w:b/>
      <w:bCs/>
      <w:sz w:val="28"/>
      <w:szCs w:val="28"/>
    </w:rPr>
  </w:style>
  <w:style w:type="paragraph" w:styleId="1000">
    <w:name w:val="Heading 6"/>
    <w:basedOn w:val="994"/>
    <w:next w:val="994"/>
    <w:link w:val="1026"/>
    <w:qFormat/>
    <w:pPr>
      <w:jc w:val="center"/>
      <w:keepNext/>
      <w:outlineLvl w:val="5"/>
    </w:pPr>
    <w:rPr>
      <w:b/>
      <w:bCs/>
    </w:rPr>
  </w:style>
  <w:style w:type="paragraph" w:styleId="1001">
    <w:name w:val="Heading 7"/>
    <w:basedOn w:val="994"/>
    <w:next w:val="994"/>
    <w:link w:val="1027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1002">
    <w:name w:val="Heading 8"/>
    <w:basedOn w:val="994"/>
    <w:next w:val="994"/>
    <w:link w:val="1028"/>
    <w:qFormat/>
    <w:pPr>
      <w:keepNext/>
      <w:outlineLvl w:val="7"/>
    </w:pPr>
    <w:rPr>
      <w:b/>
      <w:bCs/>
    </w:rPr>
  </w:style>
  <w:style w:type="paragraph" w:styleId="1003">
    <w:name w:val="Heading 9"/>
    <w:basedOn w:val="994"/>
    <w:next w:val="994"/>
    <w:link w:val="1029"/>
    <w:qFormat/>
    <w:pPr>
      <w:keepNext/>
      <w:outlineLvl w:val="8"/>
    </w:pPr>
    <w:rPr>
      <w:b/>
      <w:bCs/>
      <w:sz w:val="20"/>
      <w:szCs w:val="20"/>
    </w:rPr>
  </w:style>
  <w:style w:type="character" w:styleId="1004" w:default="1">
    <w:name w:val="Default Paragraph Font"/>
    <w:uiPriority w:val="1"/>
    <w:semiHidden/>
    <w:unhideWhenUsed/>
  </w:style>
  <w:style w:type="table" w:styleId="10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06" w:default="1">
    <w:name w:val="No List"/>
    <w:uiPriority w:val="99"/>
    <w:semiHidden/>
    <w:unhideWhenUsed/>
  </w:style>
  <w:style w:type="character" w:styleId="1007" w:customStyle="1">
    <w:name w:val="Heading 1 Char"/>
    <w:basedOn w:val="1004"/>
    <w:uiPriority w:val="9"/>
    <w:rPr>
      <w:rFonts w:ascii="Arial" w:hAnsi="Arial" w:eastAsia="Arial" w:cs="Arial"/>
      <w:sz w:val="40"/>
      <w:szCs w:val="40"/>
    </w:rPr>
  </w:style>
  <w:style w:type="character" w:styleId="1008" w:customStyle="1">
    <w:name w:val="Heading 2 Char"/>
    <w:basedOn w:val="1004"/>
    <w:uiPriority w:val="9"/>
    <w:rPr>
      <w:rFonts w:ascii="Arial" w:hAnsi="Arial" w:eastAsia="Arial" w:cs="Arial"/>
      <w:sz w:val="34"/>
    </w:rPr>
  </w:style>
  <w:style w:type="character" w:styleId="1009" w:customStyle="1">
    <w:name w:val="Heading 3 Char"/>
    <w:basedOn w:val="1004"/>
    <w:uiPriority w:val="9"/>
    <w:rPr>
      <w:rFonts w:ascii="Arial" w:hAnsi="Arial" w:eastAsia="Arial" w:cs="Arial"/>
      <w:sz w:val="30"/>
      <w:szCs w:val="30"/>
    </w:rPr>
  </w:style>
  <w:style w:type="character" w:styleId="1010" w:customStyle="1">
    <w:name w:val="Heading 5 Char"/>
    <w:basedOn w:val="1004"/>
    <w:uiPriority w:val="9"/>
    <w:rPr>
      <w:rFonts w:ascii="Arial" w:hAnsi="Arial" w:eastAsia="Arial" w:cs="Arial"/>
      <w:b/>
      <w:bCs/>
      <w:sz w:val="24"/>
      <w:szCs w:val="24"/>
    </w:rPr>
  </w:style>
  <w:style w:type="character" w:styleId="1011" w:customStyle="1">
    <w:name w:val="Heading 6 Char"/>
    <w:basedOn w:val="1004"/>
    <w:uiPriority w:val="9"/>
    <w:rPr>
      <w:rFonts w:ascii="Arial" w:hAnsi="Arial" w:eastAsia="Arial" w:cs="Arial"/>
      <w:b/>
      <w:bCs/>
      <w:sz w:val="22"/>
      <w:szCs w:val="22"/>
    </w:rPr>
  </w:style>
  <w:style w:type="character" w:styleId="1012" w:customStyle="1">
    <w:name w:val="Heading 7 Char"/>
    <w:basedOn w:val="10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13" w:customStyle="1">
    <w:name w:val="Heading 8 Char"/>
    <w:basedOn w:val="1004"/>
    <w:uiPriority w:val="9"/>
    <w:rPr>
      <w:rFonts w:ascii="Arial" w:hAnsi="Arial" w:eastAsia="Arial" w:cs="Arial"/>
      <w:i/>
      <w:iCs/>
      <w:sz w:val="22"/>
      <w:szCs w:val="22"/>
    </w:rPr>
  </w:style>
  <w:style w:type="character" w:styleId="1014" w:customStyle="1">
    <w:name w:val="Heading 9 Char"/>
    <w:basedOn w:val="1004"/>
    <w:uiPriority w:val="9"/>
    <w:rPr>
      <w:rFonts w:ascii="Arial" w:hAnsi="Arial" w:eastAsia="Arial" w:cs="Arial"/>
      <w:i/>
      <w:iCs/>
      <w:sz w:val="21"/>
      <w:szCs w:val="21"/>
    </w:rPr>
  </w:style>
  <w:style w:type="character" w:styleId="1015" w:customStyle="1">
    <w:name w:val="Title Char"/>
    <w:basedOn w:val="1004"/>
    <w:uiPriority w:val="10"/>
    <w:rPr>
      <w:sz w:val="48"/>
      <w:szCs w:val="48"/>
    </w:rPr>
  </w:style>
  <w:style w:type="character" w:styleId="1016" w:customStyle="1">
    <w:name w:val="Subtitle Char"/>
    <w:basedOn w:val="1004"/>
    <w:uiPriority w:val="11"/>
    <w:rPr>
      <w:sz w:val="24"/>
      <w:szCs w:val="24"/>
    </w:rPr>
  </w:style>
  <w:style w:type="character" w:styleId="1017" w:customStyle="1">
    <w:name w:val="Quote Char"/>
    <w:uiPriority w:val="29"/>
    <w:rPr>
      <w:i/>
    </w:rPr>
  </w:style>
  <w:style w:type="character" w:styleId="1018" w:customStyle="1">
    <w:name w:val="Intense Quote Char"/>
    <w:uiPriority w:val="30"/>
    <w:rPr>
      <w:i/>
    </w:rPr>
  </w:style>
  <w:style w:type="character" w:styleId="1019" w:customStyle="1">
    <w:name w:val="Header Char"/>
    <w:basedOn w:val="1004"/>
    <w:uiPriority w:val="99"/>
  </w:style>
  <w:style w:type="character" w:styleId="1020" w:customStyle="1">
    <w:name w:val="Footnote Text Char"/>
    <w:uiPriority w:val="99"/>
    <w:rPr>
      <w:sz w:val="18"/>
    </w:rPr>
  </w:style>
  <w:style w:type="character" w:styleId="1021" w:customStyle="1">
    <w:name w:val="Заголовок 1 Знак"/>
    <w:link w:val="995"/>
    <w:uiPriority w:val="9"/>
    <w:rPr>
      <w:rFonts w:ascii="Arial" w:hAnsi="Arial" w:eastAsia="Arial" w:cs="Arial"/>
      <w:sz w:val="40"/>
      <w:szCs w:val="40"/>
    </w:rPr>
  </w:style>
  <w:style w:type="character" w:styleId="1022" w:customStyle="1">
    <w:name w:val="Заголовок 2 Знак"/>
    <w:link w:val="996"/>
    <w:uiPriority w:val="9"/>
    <w:rPr>
      <w:rFonts w:ascii="Arial" w:hAnsi="Arial" w:eastAsia="Arial" w:cs="Arial"/>
      <w:sz w:val="34"/>
    </w:rPr>
  </w:style>
  <w:style w:type="character" w:styleId="1023" w:customStyle="1">
    <w:name w:val="Заголовок 3 Знак"/>
    <w:link w:val="997"/>
    <w:uiPriority w:val="9"/>
    <w:rPr>
      <w:rFonts w:ascii="Arial" w:hAnsi="Arial" w:eastAsia="Arial" w:cs="Arial"/>
      <w:sz w:val="30"/>
      <w:szCs w:val="30"/>
    </w:rPr>
  </w:style>
  <w:style w:type="character" w:styleId="1024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1025" w:customStyle="1">
    <w:name w:val="Заголовок 5 Знак"/>
    <w:link w:val="999"/>
    <w:uiPriority w:val="9"/>
    <w:rPr>
      <w:rFonts w:ascii="Arial" w:hAnsi="Arial" w:eastAsia="Arial" w:cs="Arial"/>
      <w:b/>
      <w:bCs/>
      <w:sz w:val="24"/>
      <w:szCs w:val="24"/>
    </w:rPr>
  </w:style>
  <w:style w:type="character" w:styleId="1026" w:customStyle="1">
    <w:name w:val="Заголовок 6 Знак"/>
    <w:link w:val="1000"/>
    <w:uiPriority w:val="9"/>
    <w:rPr>
      <w:rFonts w:ascii="Arial" w:hAnsi="Arial" w:eastAsia="Arial" w:cs="Arial"/>
      <w:b/>
      <w:bCs/>
      <w:sz w:val="22"/>
      <w:szCs w:val="22"/>
    </w:rPr>
  </w:style>
  <w:style w:type="character" w:styleId="1027" w:customStyle="1">
    <w:name w:val="Заголовок 7 Знак"/>
    <w:link w:val="10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28" w:customStyle="1">
    <w:name w:val="Заголовок 8 Знак"/>
    <w:link w:val="1002"/>
    <w:uiPriority w:val="9"/>
    <w:rPr>
      <w:rFonts w:ascii="Arial" w:hAnsi="Arial" w:eastAsia="Arial" w:cs="Arial"/>
      <w:i/>
      <w:iCs/>
      <w:sz w:val="22"/>
      <w:szCs w:val="22"/>
    </w:rPr>
  </w:style>
  <w:style w:type="character" w:styleId="1029" w:customStyle="1">
    <w:name w:val="Заголовок 9 Знак"/>
    <w:link w:val="1003"/>
    <w:uiPriority w:val="9"/>
    <w:rPr>
      <w:rFonts w:ascii="Arial" w:hAnsi="Arial" w:eastAsia="Arial" w:cs="Arial"/>
      <w:i/>
      <w:iCs/>
      <w:sz w:val="21"/>
      <w:szCs w:val="21"/>
    </w:rPr>
  </w:style>
  <w:style w:type="paragraph" w:styleId="1030">
    <w:name w:val="List Paragraph"/>
    <w:basedOn w:val="99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1031">
    <w:name w:val="No Spacing"/>
    <w:link w:val="1193"/>
    <w:uiPriority w:val="1"/>
    <w:qFormat/>
    <w:rPr>
      <w:rFonts w:ascii="Calibri" w:hAnsi="Calibri"/>
      <w:sz w:val="22"/>
      <w:szCs w:val="22"/>
      <w:lang w:eastAsia="en-US"/>
    </w:rPr>
  </w:style>
  <w:style w:type="paragraph" w:styleId="1032">
    <w:name w:val="Title"/>
    <w:basedOn w:val="994"/>
    <w:next w:val="994"/>
    <w:link w:val="10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33" w:customStyle="1">
    <w:name w:val="Заголовок Знак"/>
    <w:link w:val="1032"/>
    <w:uiPriority w:val="10"/>
    <w:rPr>
      <w:sz w:val="48"/>
      <w:szCs w:val="48"/>
    </w:rPr>
  </w:style>
  <w:style w:type="paragraph" w:styleId="1034">
    <w:name w:val="Subtitle"/>
    <w:basedOn w:val="994"/>
    <w:next w:val="994"/>
    <w:link w:val="1035"/>
    <w:uiPriority w:val="11"/>
    <w:qFormat/>
    <w:pPr>
      <w:spacing w:before="200" w:after="200"/>
    </w:pPr>
  </w:style>
  <w:style w:type="character" w:styleId="1035" w:customStyle="1">
    <w:name w:val="Подзаголовок Знак"/>
    <w:link w:val="1034"/>
    <w:uiPriority w:val="11"/>
    <w:rPr>
      <w:sz w:val="24"/>
      <w:szCs w:val="24"/>
    </w:rPr>
  </w:style>
  <w:style w:type="paragraph" w:styleId="1036">
    <w:name w:val="Quote"/>
    <w:basedOn w:val="994"/>
    <w:next w:val="994"/>
    <w:link w:val="1037"/>
    <w:uiPriority w:val="29"/>
    <w:qFormat/>
    <w:pPr>
      <w:ind w:left="720" w:right="720"/>
    </w:pPr>
    <w:rPr>
      <w:i/>
    </w:rPr>
  </w:style>
  <w:style w:type="character" w:styleId="1037" w:customStyle="1">
    <w:name w:val="Цитата 2 Знак"/>
    <w:link w:val="1036"/>
    <w:uiPriority w:val="29"/>
    <w:rPr>
      <w:i/>
    </w:rPr>
  </w:style>
  <w:style w:type="paragraph" w:styleId="1038">
    <w:name w:val="Intense Quote"/>
    <w:basedOn w:val="994"/>
    <w:next w:val="994"/>
    <w:link w:val="10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39" w:customStyle="1">
    <w:name w:val="Выделенная цитата Знак"/>
    <w:link w:val="1038"/>
    <w:uiPriority w:val="30"/>
    <w:rPr>
      <w:i/>
    </w:rPr>
  </w:style>
  <w:style w:type="paragraph" w:styleId="1040">
    <w:name w:val="Header"/>
    <w:basedOn w:val="994"/>
    <w:link w:val="104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1041" w:customStyle="1">
    <w:name w:val="Верхний колонтитул Знак"/>
    <w:link w:val="1040"/>
    <w:uiPriority w:val="99"/>
  </w:style>
  <w:style w:type="paragraph" w:styleId="1042">
    <w:name w:val="Footer"/>
    <w:basedOn w:val="994"/>
    <w:link w:val="1197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43" w:customStyle="1">
    <w:name w:val="Footer Char"/>
    <w:uiPriority w:val="99"/>
  </w:style>
  <w:style w:type="paragraph" w:styleId="1044">
    <w:name w:val="Caption"/>
    <w:basedOn w:val="994"/>
    <w:next w:val="994"/>
    <w:link w:val="10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45" w:customStyle="1">
    <w:name w:val="Caption Char"/>
    <w:uiPriority w:val="99"/>
  </w:style>
  <w:style w:type="table" w:styleId="1046">
    <w:name w:val="Table Grid"/>
    <w:basedOn w:val="1005"/>
    <w:uiPriority w:val="59"/>
    <w:tblPr/>
  </w:style>
  <w:style w:type="table" w:styleId="104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8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49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50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5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53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7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07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07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07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07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8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8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8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08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08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08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08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08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088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8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9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9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9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9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9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95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9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9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9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9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2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11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11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11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11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11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11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116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7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13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3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14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14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14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14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144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4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4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4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4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4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5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5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5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5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5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5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5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5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5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5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6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6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6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6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6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6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6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6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16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16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17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17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172">
    <w:name w:val="Hyperlink"/>
    <w:uiPriority w:val="99"/>
    <w:unhideWhenUsed/>
    <w:rPr>
      <w:color w:val="0000ff"/>
      <w:u w:val="single"/>
    </w:rPr>
  </w:style>
  <w:style w:type="paragraph" w:styleId="1173">
    <w:name w:val="footnote text"/>
    <w:basedOn w:val="994"/>
    <w:link w:val="1174"/>
    <w:unhideWhenUsed/>
    <w:qFormat/>
    <w:pPr>
      <w:spacing w:after="40"/>
    </w:pPr>
    <w:rPr>
      <w:sz w:val="18"/>
    </w:rPr>
  </w:style>
  <w:style w:type="character" w:styleId="1174" w:customStyle="1">
    <w:name w:val="Текст сноски Знак"/>
    <w:link w:val="1173"/>
    <w:rPr>
      <w:sz w:val="18"/>
    </w:rPr>
  </w:style>
  <w:style w:type="character" w:styleId="1175">
    <w:name w:val="footnote reference"/>
    <w:unhideWhenUsed/>
    <w:qFormat/>
    <w:rPr>
      <w:vertAlign w:val="superscript"/>
    </w:rPr>
  </w:style>
  <w:style w:type="paragraph" w:styleId="1176">
    <w:name w:val="endnote text"/>
    <w:basedOn w:val="994"/>
    <w:link w:val="1208"/>
    <w:uiPriority w:val="99"/>
    <w:semiHidden/>
    <w:unhideWhenUsed/>
    <w:rPr>
      <w:sz w:val="20"/>
      <w:szCs w:val="20"/>
    </w:rPr>
  </w:style>
  <w:style w:type="character" w:styleId="1177" w:customStyle="1">
    <w:name w:val="Endnote Text Char"/>
    <w:uiPriority w:val="99"/>
    <w:rPr>
      <w:sz w:val="20"/>
    </w:rPr>
  </w:style>
  <w:style w:type="character" w:styleId="1178">
    <w:name w:val="endnote reference"/>
    <w:uiPriority w:val="99"/>
    <w:semiHidden/>
    <w:unhideWhenUsed/>
    <w:rPr>
      <w:vertAlign w:val="superscript"/>
    </w:rPr>
  </w:style>
  <w:style w:type="paragraph" w:styleId="1179">
    <w:name w:val="toc 1"/>
    <w:basedOn w:val="994"/>
    <w:next w:val="994"/>
    <w:uiPriority w:val="39"/>
    <w:unhideWhenUsed/>
  </w:style>
  <w:style w:type="paragraph" w:styleId="1180">
    <w:name w:val="toc 2"/>
    <w:basedOn w:val="994"/>
    <w:next w:val="994"/>
    <w:uiPriority w:val="39"/>
    <w:pPr>
      <w:ind w:left="240"/>
    </w:pPr>
  </w:style>
  <w:style w:type="paragraph" w:styleId="1181">
    <w:name w:val="toc 3"/>
    <w:basedOn w:val="994"/>
    <w:next w:val="994"/>
    <w:uiPriority w:val="39"/>
    <w:unhideWhenUsed/>
    <w:pPr>
      <w:ind w:left="480"/>
    </w:pPr>
  </w:style>
  <w:style w:type="paragraph" w:styleId="1182">
    <w:name w:val="toc 4"/>
    <w:basedOn w:val="994"/>
    <w:next w:val="994"/>
    <w:uiPriority w:val="39"/>
    <w:pPr>
      <w:spacing w:line="360" w:lineRule="auto"/>
      <w:tabs>
        <w:tab w:val="left" w:pos="284" w:leader="none"/>
        <w:tab w:val="right" w:pos="10065" w:leader="dot"/>
      </w:tabs>
    </w:pPr>
    <w:rPr>
      <w:sz w:val="22"/>
    </w:rPr>
  </w:style>
  <w:style w:type="paragraph" w:styleId="1183">
    <w:name w:val="toc 5"/>
    <w:basedOn w:val="994"/>
    <w:next w:val="994"/>
    <w:uiPriority w:val="39"/>
    <w:unhideWhenUsed/>
    <w:pPr>
      <w:ind w:left="1134"/>
      <w:spacing w:after="57"/>
    </w:pPr>
  </w:style>
  <w:style w:type="paragraph" w:styleId="1184">
    <w:name w:val="toc 6"/>
    <w:basedOn w:val="994"/>
    <w:next w:val="994"/>
    <w:uiPriority w:val="39"/>
    <w:unhideWhenUsed/>
    <w:pPr>
      <w:ind w:left="1417"/>
      <w:spacing w:after="57"/>
    </w:pPr>
  </w:style>
  <w:style w:type="paragraph" w:styleId="1185">
    <w:name w:val="toc 7"/>
    <w:basedOn w:val="994"/>
    <w:next w:val="994"/>
    <w:uiPriority w:val="39"/>
    <w:unhideWhenUsed/>
    <w:pPr>
      <w:ind w:left="1701"/>
      <w:spacing w:after="57"/>
    </w:pPr>
  </w:style>
  <w:style w:type="paragraph" w:styleId="1186">
    <w:name w:val="toc 8"/>
    <w:basedOn w:val="994"/>
    <w:next w:val="994"/>
    <w:uiPriority w:val="39"/>
    <w:unhideWhenUsed/>
    <w:pPr>
      <w:ind w:left="1984"/>
      <w:spacing w:after="57"/>
    </w:pPr>
  </w:style>
  <w:style w:type="paragraph" w:styleId="1187">
    <w:name w:val="toc 9"/>
    <w:basedOn w:val="994"/>
    <w:next w:val="994"/>
    <w:uiPriority w:val="39"/>
    <w:unhideWhenUsed/>
    <w:pPr>
      <w:ind w:left="2268"/>
      <w:spacing w:after="57"/>
    </w:pPr>
  </w:style>
  <w:style w:type="paragraph" w:styleId="1188">
    <w:name w:val="TOC Heading"/>
    <w:basedOn w:val="995"/>
    <w:next w:val="994"/>
    <w:uiPriority w:val="39"/>
    <w:semiHidden/>
    <w:unhideWhenUsed/>
    <w:qFormat/>
    <w:pPr>
      <w:ind w:firstLine="0"/>
      <w:jc w:val="left"/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1189">
    <w:name w:val="table of figures"/>
    <w:basedOn w:val="994"/>
    <w:next w:val="994"/>
    <w:uiPriority w:val="99"/>
    <w:unhideWhenUsed/>
  </w:style>
  <w:style w:type="character" w:styleId="1190" w:customStyle="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"/>
    <w:qFormat/>
    <w:rPr>
      <w:rFonts w:ascii="Times New Roman" w:hAnsi="Times New Roman" w:cs="Times New Roman"/>
      <w:vertAlign w:val="superscript"/>
    </w:rPr>
  </w:style>
  <w:style w:type="paragraph" w:styleId="1191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994"/>
    <w:link w:val="1207"/>
    <w:uiPriority w:val="99"/>
    <w:qFormat/>
    <w:rPr>
      <w:sz w:val="20"/>
      <w:szCs w:val="20"/>
    </w:rPr>
  </w:style>
  <w:style w:type="paragraph" w:styleId="1192" w:customStyle="1">
    <w:name w:val="Нормальный"/>
    <w:rPr>
      <w:rFonts w:ascii="TimesET" w:hAnsi="TimesET"/>
      <w:sz w:val="24"/>
      <w:szCs w:val="24"/>
      <w:lang w:eastAsia="ru-RU"/>
    </w:rPr>
  </w:style>
  <w:style w:type="character" w:styleId="1193" w:customStyle="1">
    <w:name w:val="Без интервала Знак"/>
    <w:link w:val="1031"/>
    <w:uiPriority w:val="1"/>
    <w:rPr>
      <w:rFonts w:ascii="Calibri" w:hAnsi="Calibri"/>
      <w:sz w:val="22"/>
      <w:szCs w:val="22"/>
      <w:lang w:val="ru-RU" w:eastAsia="en-US" w:bidi="ar-SA"/>
    </w:rPr>
  </w:style>
  <w:style w:type="paragraph" w:styleId="1194">
    <w:name w:val="Balloon Text"/>
    <w:basedOn w:val="994"/>
    <w:link w:val="1210"/>
    <w:uiPriority w:val="99"/>
    <w:semiHidden/>
    <w:rPr>
      <w:rFonts w:ascii="Tahoma" w:hAnsi="Tahoma" w:cs="Tahoma"/>
      <w:sz w:val="16"/>
      <w:szCs w:val="16"/>
    </w:rPr>
  </w:style>
  <w:style w:type="paragraph" w:styleId="1195" w:customStyle="1">
    <w:name w:val="Верхний колонтитул;ВерхКолонтитул"/>
    <w:basedOn w:val="994"/>
    <w:link w:val="1196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196" w:customStyle="1">
    <w:name w:val="Верхний колонтитул Знак;ВерхКолонтитул Знак"/>
    <w:link w:val="1195"/>
    <w:uiPriority w:val="99"/>
    <w:rPr>
      <w:sz w:val="24"/>
      <w:szCs w:val="24"/>
    </w:rPr>
  </w:style>
  <w:style w:type="character" w:styleId="1197" w:customStyle="1">
    <w:name w:val="Нижний колонтитул Знак"/>
    <w:link w:val="1042"/>
    <w:uiPriority w:val="99"/>
    <w:rPr>
      <w:sz w:val="24"/>
      <w:szCs w:val="24"/>
    </w:rPr>
  </w:style>
  <w:style w:type="paragraph" w:styleId="1198" w:customStyle="1">
    <w:name w:val="Основной текст с отступом;Основной текст с отступом Знак1;Основной текст с отступом Знак Знак;Основной текст с отступом Знак1 Знак1 Знак;Основной текст с отступом Знак Знак Знак1 Знак;Основной текст с отступом Знак1 Знак1 Знак Знак Знак;Основной текст 1"/>
    <w:basedOn w:val="994"/>
    <w:link w:val="1199"/>
    <w:pPr>
      <w:jc w:val="both"/>
    </w:pPr>
    <w:rPr>
      <w:b/>
      <w:bCs/>
    </w:rPr>
  </w:style>
  <w:style w:type="character" w:styleId="1199" w:customStyle="1">
    <w:name w:val="Основной текст с отступом Знак;Основной текст с отступом Знак1 Знак;Основной текст с отступом Знак Знак Знак;Основной текст с отступом Знак1 Знак1 Знак Знак;Основной текст с отступом Знак Знак Знак1 Знак Знак;Основной текст 1 Знак"/>
    <w:link w:val="1198"/>
    <w:semiHidden/>
    <w:rPr>
      <w:b/>
      <w:bCs/>
      <w:sz w:val="24"/>
      <w:szCs w:val="24"/>
      <w:lang w:val="ru-RU" w:eastAsia="ru-RU" w:bidi="ar-SA"/>
    </w:rPr>
  </w:style>
  <w:style w:type="paragraph" w:styleId="1200">
    <w:name w:val="Body Text Indent 2"/>
    <w:basedOn w:val="994"/>
    <w:pPr>
      <w:ind w:firstLine="708"/>
      <w:jc w:val="both"/>
    </w:pPr>
    <w:rPr>
      <w:sz w:val="22"/>
      <w:szCs w:val="22"/>
    </w:rPr>
  </w:style>
  <w:style w:type="character" w:styleId="1201" w:customStyle="1">
    <w:name w:val="ВерхКолонтитул Знак Знак1"/>
    <w:rPr>
      <w:sz w:val="24"/>
      <w:szCs w:val="24"/>
      <w:lang w:val="ru-RU" w:eastAsia="ru-RU" w:bidi="ar-SA"/>
    </w:rPr>
  </w:style>
  <w:style w:type="paragraph" w:styleId="1202">
    <w:name w:val="Body Text"/>
    <w:basedOn w:val="994"/>
    <w:link w:val="1203"/>
    <w:pPr>
      <w:spacing w:after="120"/>
    </w:pPr>
    <w:rPr>
      <w:lang w:val="en-US" w:eastAsia="en-US"/>
    </w:rPr>
  </w:style>
  <w:style w:type="character" w:styleId="1203" w:customStyle="1">
    <w:name w:val="Основной текст Знак"/>
    <w:link w:val="1202"/>
    <w:rPr>
      <w:sz w:val="24"/>
      <w:szCs w:val="24"/>
    </w:rPr>
  </w:style>
  <w:style w:type="paragraph" w:styleId="1204">
    <w:name w:val="Body Text 2"/>
    <w:basedOn w:val="994"/>
    <w:link w:val="1205"/>
    <w:uiPriority w:val="99"/>
    <w:semiHidden/>
    <w:unhideWhenUsed/>
    <w:pPr>
      <w:spacing w:after="120" w:line="480" w:lineRule="auto"/>
    </w:pPr>
    <w:rPr>
      <w:lang w:val="en-US" w:eastAsia="en-US"/>
    </w:rPr>
  </w:style>
  <w:style w:type="character" w:styleId="1205" w:customStyle="1">
    <w:name w:val="Основной текст 2 Знак"/>
    <w:link w:val="1204"/>
    <w:uiPriority w:val="99"/>
    <w:semiHidden/>
    <w:rPr>
      <w:sz w:val="24"/>
      <w:szCs w:val="24"/>
    </w:rPr>
  </w:style>
  <w:style w:type="character" w:styleId="1206" w:customStyle="1">
    <w:name w:val="Знак Знак3"/>
    <w:rPr>
      <w:sz w:val="24"/>
      <w:szCs w:val="24"/>
    </w:rPr>
  </w:style>
  <w:style w:type="character" w:styleId="1207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91"/>
  </w:style>
  <w:style w:type="character" w:styleId="1208" w:customStyle="1">
    <w:name w:val="Текст концевой сноски Знак"/>
    <w:basedOn w:val="1004"/>
    <w:link w:val="1176"/>
    <w:uiPriority w:val="99"/>
    <w:semiHidden/>
  </w:style>
  <w:style w:type="paragraph" w:styleId="1209" w:customStyle="1">
    <w:name w:val="Default"/>
    <w:rPr>
      <w:rFonts w:eastAsia="Calibri"/>
      <w:color w:val="000000"/>
      <w:sz w:val="24"/>
      <w:szCs w:val="24"/>
      <w:lang w:eastAsia="en-US"/>
    </w:rPr>
  </w:style>
  <w:style w:type="character" w:styleId="1210" w:customStyle="1">
    <w:name w:val="Текст выноски Знак"/>
    <w:link w:val="1194"/>
    <w:uiPriority w:val="99"/>
    <w:semiHidden/>
    <w:rPr>
      <w:rFonts w:ascii="Tahoma" w:hAnsi="Tahoma" w:cs="Tahoma"/>
      <w:sz w:val="16"/>
      <w:szCs w:val="16"/>
    </w:rPr>
  </w:style>
  <w:style w:type="character" w:styleId="1211" w:customStyle="1">
    <w:name w:val="Заголовок 4 Знак"/>
    <w:link w:val="998"/>
    <w:rPr>
      <w:b/>
      <w:bCs/>
      <w:sz w:val="22"/>
      <w:szCs w:val="22"/>
    </w:rPr>
  </w:style>
  <w:style w:type="character" w:styleId="1212">
    <w:name w:val="Emphasis"/>
    <w:uiPriority w:val="20"/>
    <w:qFormat/>
    <w:rPr>
      <w:i/>
      <w:iCs/>
    </w:rPr>
  </w:style>
  <w:style w:type="paragraph" w:styleId="1213" w:customStyle="1">
    <w:name w:val="ConsNormal"/>
    <w:pPr>
      <w:ind w:firstLine="720"/>
      <w:widowControl w:val="off"/>
    </w:pPr>
    <w:rPr>
      <w:rFonts w:ascii="Arial" w:hAnsi="Arial" w:cs="Arial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RSB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Grafskaya</dc:creator>
  <cp:lastModifiedBy>baryshnikova-sn</cp:lastModifiedBy>
  <cp:revision>192</cp:revision>
  <dcterms:created xsi:type="dcterms:W3CDTF">2019-06-17T11:46:00Z</dcterms:created>
  <dcterms:modified xsi:type="dcterms:W3CDTF">2025-12-29T10:06:55Z</dcterms:modified>
  <cp:version>1048576</cp:version>
</cp:coreProperties>
</file>