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67"/>
        <w:jc w:val="right"/>
        <w:spacing w:after="0" w:line="240" w:lineRule="auto"/>
        <w:rPr>
          <w:rFonts w:ascii="Times New Roman" w:hAnsi="Times New Roman"/>
          <w:i/>
          <w:sz w:val="20"/>
          <w:szCs w:val="20"/>
        </w:rPr>
      </w:pP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color w:val="ff0000"/>
          <w:sz w:val="20"/>
          <w:szCs w:val="20"/>
        </w:rPr>
        <w:t xml:space="preserve">  </w:t>
      </w:r>
      <w:r>
        <w:rPr>
          <w:rFonts w:ascii="Times New Roman" w:hAnsi="Times New Roman"/>
          <w:i/>
          <w:sz w:val="20"/>
          <w:szCs w:val="20"/>
        </w:rPr>
      </w:r>
      <w:r>
        <w:rPr>
          <w:rFonts w:ascii="Times New Roman" w:hAnsi="Times New Roman"/>
          <w:i/>
          <w:sz w:val="20"/>
          <w:szCs w:val="20"/>
        </w:rPr>
      </w:r>
    </w:p>
    <w:p>
      <w:pPr>
        <w:pStyle w:val="1167"/>
        <w:jc w:val="center"/>
        <w:keepNext/>
        <w:spacing w:after="120" w:line="360" w:lineRule="auto"/>
        <w:rPr>
          <w:rFonts w:ascii="Times New Roman" w:hAnsi="Times New Roman" w:eastAsia="Times New Roman"/>
          <w:b/>
          <w:bCs/>
          <w:sz w:val="32"/>
          <w:szCs w:val="20"/>
          <w:lang w:val="en-US" w:eastAsia="en-US"/>
        </w:rPr>
        <w:outlineLvl w:val="5"/>
      </w:pPr>
      <w:r>
        <w:rPr>
          <w:rFonts w:ascii="Times New Roman" w:hAnsi="Times New Roman" w:eastAsia="Times New Roman"/>
          <w:b/>
          <w:bCs/>
          <w:sz w:val="32"/>
          <w:szCs w:val="20"/>
          <w:lang w:val="en-US" w:eastAsia="en-US"/>
        </w:rPr>
        <w:t xml:space="preserve">ТАРИФЫ </w:t>
      </w:r>
      <w:r>
        <w:rPr>
          <w:rFonts w:ascii="Times New Roman" w:hAnsi="Times New Roman" w:eastAsia="Times New Roman"/>
          <w:b/>
          <w:bCs/>
          <w:sz w:val="32"/>
          <w:szCs w:val="20"/>
          <w:lang w:val="en-US" w:eastAsia="en-US"/>
        </w:rPr>
      </w:r>
      <w:r>
        <w:rPr>
          <w:rFonts w:ascii="Times New Roman" w:hAnsi="Times New Roman" w:eastAsia="Times New Roman"/>
          <w:b/>
          <w:bCs/>
          <w:sz w:val="32"/>
          <w:szCs w:val="20"/>
          <w:lang w:val="en-US" w:eastAsia="en-US"/>
        </w:rPr>
      </w:r>
    </w:p>
    <w:p>
      <w:pPr>
        <w:pStyle w:val="1167"/>
        <w:jc w:val="center"/>
        <w:spacing w:after="0" w:line="360" w:lineRule="auto"/>
        <w:rPr>
          <w:rFonts w:ascii="Times New Roman" w:hAnsi="Times New Roman" w:eastAsia="Times New Roman"/>
          <w:b/>
          <w:sz w:val="32"/>
          <w:szCs w:val="32"/>
          <w:lang w:eastAsia="ru-RU"/>
        </w:rPr>
      </w:pPr>
      <w:r>
        <w:rPr>
          <w:rFonts w:ascii="Times New Roman" w:hAnsi="Times New Roman" w:eastAsia="Times New Roman"/>
          <w:b/>
          <w:sz w:val="32"/>
          <w:szCs w:val="32"/>
          <w:lang w:eastAsia="ru-RU"/>
        </w:rPr>
        <w:t xml:space="preserve">КОМИССИОННОГО ВОЗНАГРАЖДЕНИЯ НА УСЛУГИ ЯКУТСКОГО РФ АО «РОССЕЛЬХОЗБАНК» ЮРИДИЧЕСКИМ ЛИЦАМ, </w:t>
      </w:r>
      <w:r>
        <w:rPr>
          <w:rFonts w:ascii="Times New Roman" w:hAnsi="Times New Roman" w:eastAsia="Times New Roman"/>
          <w:b/>
          <w:sz w:val="32"/>
          <w:szCs w:val="32"/>
          <w:lang w:eastAsia="ru-RU"/>
        </w:rPr>
        <w:t xml:space="preserve">СУБЪЕКТАМ РОССИЙСКОЙ ФЕДЕРАЦИИ, МУНИЦИПАЛЬНЫМ ОБРАЗОВАНИЯМ, </w:t>
      </w:r>
      <w:r>
        <w:rPr>
          <w:rFonts w:ascii="Times New Roman" w:hAnsi="Times New Roman" w:eastAsia="Times New Roman"/>
          <w:b/>
          <w:sz w:val="32"/>
          <w:szCs w:val="32"/>
          <w:lang w:eastAsia="ru-RU"/>
        </w:rPr>
        <w:t xml:space="preserve">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sz w:val="32"/>
          <w:szCs w:val="32"/>
          <w:lang w:eastAsia="ru-RU"/>
        </w:rPr>
      </w:r>
      <w:r>
        <w:rPr>
          <w:rFonts w:ascii="Times New Roman" w:hAnsi="Times New Roman" w:eastAsia="Times New Roman"/>
          <w:b/>
          <w:sz w:val="32"/>
          <w:szCs w:val="32"/>
          <w:lang w:eastAsia="ru-RU"/>
        </w:rPr>
      </w:r>
    </w:p>
    <w:p>
      <w:pPr>
        <w:pStyle w:val="1167"/>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67"/>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t xml:space="preserve">Действуют с 13</w:t>
      </w:r>
      <w:r>
        <w:rPr>
          <w:rFonts w:ascii="Times New Roman" w:hAnsi="Times New Roman" w:eastAsia="Times New Roman"/>
          <w:sz w:val="32"/>
          <w:szCs w:val="32"/>
          <w:lang w:eastAsia="ru-RU"/>
        </w:rPr>
        <w:t xml:space="preserve">.</w:t>
      </w:r>
      <w:r>
        <w:rPr>
          <w:rFonts w:ascii="Times New Roman" w:hAnsi="Times New Roman" w:eastAsia="Times New Roman"/>
          <w:sz w:val="32"/>
          <w:szCs w:val="32"/>
          <w:lang w:eastAsia="ru-RU"/>
        </w:rPr>
        <w:t xml:space="preserve">08</w:t>
      </w:r>
      <w:r>
        <w:rPr>
          <w:rFonts w:ascii="Times New Roman" w:hAnsi="Times New Roman" w:eastAsia="Times New Roman"/>
          <w:sz w:val="32"/>
          <w:szCs w:val="32"/>
          <w:lang w:eastAsia="ru-RU"/>
        </w:rPr>
        <w:t xml:space="preserve">.2025</w:t>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p>
      <w:pPr>
        <w:pStyle w:val="1167"/>
        <w:jc w:val="center"/>
        <w:spacing w:after="0" w:line="360" w:lineRule="auto"/>
        <w:rPr>
          <w:rFonts w:ascii="Times New Roman" w:hAnsi="Times New Roman" w:eastAsia="Times New Roman"/>
          <w:sz w:val="32"/>
          <w:szCs w:val="32"/>
          <w:lang w:eastAsia="ru-RU"/>
        </w:rPr>
      </w:pPr>
      <w:r>
        <w:rPr>
          <w:rFonts w:ascii="Times New Roman" w:hAnsi="Times New Roman" w:eastAsia="Times New Roman"/>
          <w:sz w:val="32"/>
          <w:szCs w:val="32"/>
          <w:lang w:eastAsia="ru-RU"/>
        </w:rPr>
      </w:r>
      <w:r>
        <w:rPr>
          <w:rFonts w:ascii="Times New Roman" w:hAnsi="Times New Roman" w:eastAsia="Times New Roman"/>
          <w:sz w:val="32"/>
          <w:szCs w:val="32"/>
          <w:lang w:eastAsia="ru-RU"/>
        </w:rPr>
      </w:r>
      <w:r>
        <w:rPr>
          <w:rFonts w:ascii="Times New Roman" w:hAnsi="Times New Roman" w:eastAsia="Times New Roman"/>
          <w:sz w:val="32"/>
          <w:szCs w:val="32"/>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67"/>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Департамент транзакционного бизнеса и цифровых каналов продаж МСБ и микробизнеса</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67"/>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67"/>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67"/>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67"/>
              <w:spacing w:after="0" w:line="30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31" w:type="pct"/>
            <w:vAlign w:val="center"/>
            <w:textDirection w:val="lrTb"/>
            <w:noWrap w:val="false"/>
          </w:tcPr>
          <w:p>
            <w:pPr>
              <w:pStyle w:val="1167"/>
              <w:jc w:val="both"/>
              <w:spacing w:after="0" w:line="30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b/>
        </w:rPr>
      </w:pPr>
      <w:r>
        <w:rPr>
          <w:rFonts w:ascii="Times New Roman" w:hAnsi="Times New Roman"/>
          <w:b/>
        </w:rPr>
        <w:t xml:space="preserve">СОДЕРЖАНИЕ: </w:t>
      </w:r>
      <w:r>
        <w:rPr>
          <w:rFonts w:ascii="Times New Roman" w:hAnsi="Times New Roman"/>
          <w:b/>
        </w:rPr>
      </w:r>
      <w:r>
        <w:rPr>
          <w:rFonts w:ascii="Times New Roman" w:hAnsi="Times New Roman"/>
          <w:b/>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Открытие и ведение счетов….……………………………………………………………………</w:t>
      </w:r>
      <w:r>
        <w:rPr>
          <w:rFonts w:ascii="Times New Roman" w:hAnsi="Times New Roman"/>
        </w:rPr>
        <w:t xml:space="preserve">..</w:t>
      </w:r>
      <w:r>
        <w:rPr>
          <w:rFonts w:ascii="Times New Roman" w:hAnsi="Times New Roman"/>
        </w:rPr>
        <w:t xml:space="preserve">…3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….22</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Выполнение функций агента валютного контроля… ..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…27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ценными бумагами…………………………………………………………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...34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Документарные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…35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Гарантийные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……44</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Дистанционное банковское обслуживание (ДБО)…………………….……………………</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…49</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Хранение ценностей клиентов в хранилище ценностей Банка……</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…56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Аренда клиентами индивидуальных сейфовых ячеек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..57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Услуги инкассации………………………………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…..58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по покупке-продаже иностранной валюты…………</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….59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Кредитные операции………………………………………………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…...60 </w:t>
      </w:r>
      <w:r>
        <w:rPr>
          <w:rFonts w:ascii="Times New Roman" w:hAnsi="Times New Roman"/>
        </w:rPr>
      </w:r>
      <w:r>
        <w:rPr>
          <w:rFonts w:ascii="Times New Roman" w:hAnsi="Times New Roman"/>
        </w:rPr>
      </w:r>
    </w:p>
    <w:p>
      <w:pPr>
        <w:pStyle w:val="1167"/>
        <w:numPr>
          <w:ilvl w:val="0"/>
          <w:numId w:val="18"/>
        </w:numPr>
        <w:ind w:left="851" w:hanging="1014"/>
        <w:jc w:val="both"/>
        <w:spacing w:after="0" w:line="240" w:lineRule="auto"/>
        <w:tabs>
          <w:tab w:val="left" w:pos="851"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w:t>
      </w:r>
      <w:r>
        <w:rPr>
          <w:rFonts w:ascii="Times New Roman" w:hAnsi="Times New Roman"/>
        </w:rPr>
        <w:t xml:space="preserve"> </w:t>
      </w:r>
      <w:r>
        <w:rPr>
          <w:rFonts w:ascii="Times New Roman" w:hAnsi="Times New Roman"/>
        </w:rPr>
        <w:t xml:space="preserve">а </w:t>
      </w:r>
      <w:r>
        <w:rPr>
          <w:rFonts w:ascii="Times New Roman" w:hAnsi="Times New Roman"/>
        </w:rPr>
        <w:t xml:space="preserve">также</w:t>
      </w:r>
      <w:r>
        <w:rPr>
          <w:rFonts w:ascii="Times New Roman" w:hAnsi="Times New Roman"/>
        </w:rPr>
        <w:t xml:space="preserve"> </w:t>
      </w:r>
      <w:r>
        <w:rPr>
          <w:rFonts w:ascii="Times New Roman" w:hAnsi="Times New Roman"/>
        </w:rPr>
        <w:t xml:space="preserve">принимающих оплату через сервис быстрых платежей платежной системы Банка </w:t>
      </w:r>
      <w:r>
        <w:rPr>
          <w:rFonts w:ascii="Times New Roman" w:hAnsi="Times New Roman"/>
        </w:rPr>
        <w:t xml:space="preserve">        </w:t>
      </w:r>
      <w:r>
        <w:rPr>
          <w:rFonts w:ascii="Times New Roman" w:hAnsi="Times New Roman"/>
        </w:rPr>
      </w:r>
      <w:r>
        <w:rPr>
          <w:rFonts w:ascii="Times New Roman" w:hAnsi="Times New Roman"/>
        </w:rPr>
      </w:r>
    </w:p>
    <w:p>
      <w:pPr>
        <w:pStyle w:val="1167"/>
        <w:ind w:left="851"/>
        <w:spacing w:after="0" w:line="240" w:lineRule="auto"/>
        <w:tabs>
          <w:tab w:val="left" w:pos="851" w:leader="none"/>
        </w:tabs>
        <w:rPr>
          <w:rFonts w:ascii="Times New Roman" w:hAnsi="Times New Roman"/>
        </w:rPr>
      </w:pPr>
      <w:r>
        <w:rPr>
          <w:rFonts w:ascii="Times New Roman" w:hAnsi="Times New Roman"/>
        </w:rPr>
        <w:t xml:space="preserve">России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...80</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Депозитарные услуги…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………..…82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……..89 </w:t>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Обслуживание с использованием Торговой системы РСХБ-Дилин</w:t>
      </w:r>
      <w:r>
        <w:rPr>
          <w:rFonts w:ascii="Times New Roman" w:hAnsi="Times New Roman"/>
        </w:rPr>
        <w:t xml:space="preserve">г АО «Россельхозбанк»,</w:t>
      </w:r>
      <w:r>
        <w:rPr>
          <w:rFonts w:ascii="Times New Roman" w:hAnsi="Times New Roman"/>
        </w:rPr>
      </w:r>
      <w:r>
        <w:rPr>
          <w:rFonts w:ascii="Times New Roman" w:hAnsi="Times New Roman"/>
        </w:rPr>
      </w:r>
    </w:p>
    <w:p>
      <w:pPr>
        <w:pStyle w:val="1167"/>
        <w:ind w:left="851"/>
        <w:spacing w:after="0" w:line="240" w:lineRule="auto"/>
        <w:tabs>
          <w:tab w:val="left" w:pos="851" w:leader="none"/>
        </w:tabs>
        <w:rPr>
          <w:rFonts w:ascii="Times New Roman" w:hAnsi="Times New Roman"/>
        </w:rPr>
      </w:pPr>
      <w:r>
        <w:rPr>
          <w:rFonts w:ascii="Times New Roman" w:hAnsi="Times New Roman"/>
        </w:rPr>
        <w:t xml:space="preserve">Торговой системы РСХБ-Дилинг </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…..92 </w:t>
      </w:r>
      <w:r>
        <w:rPr>
          <w:rFonts w:ascii="Times New Roman" w:hAnsi="Times New Roman"/>
        </w:rPr>
      </w:r>
      <w:r>
        <w:rPr>
          <w:rFonts w:ascii="Times New Roman" w:hAnsi="Times New Roman"/>
        </w:rPr>
      </w:r>
    </w:p>
    <w:p>
      <w:pPr>
        <w:pStyle w:val="1167"/>
        <w:ind w:left="851" w:hanging="1014"/>
        <w:spacing w:after="0" w:line="240" w:lineRule="auto"/>
        <w:tabs>
          <w:tab w:val="left" w:pos="85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numPr>
          <w:ilvl w:val="0"/>
          <w:numId w:val="18"/>
        </w:numPr>
        <w:ind w:left="851" w:hanging="1014"/>
        <w:spacing w:after="0" w:line="240" w:lineRule="auto"/>
        <w:tabs>
          <w:tab w:val="left" w:pos="851" w:leader="none"/>
        </w:tabs>
        <w:rPr>
          <w:rFonts w:ascii="Times New Roman" w:hAnsi="Times New Roman"/>
        </w:rPr>
      </w:pPr>
      <w:r>
        <w:rPr>
          <w:rFonts w:ascii="Times New Roman" w:hAnsi="Times New Roman"/>
        </w:rPr>
        <w:t xml:space="preserve">Приложение 1……………………………………………...…………………………</w:t>
      </w:r>
      <w:r>
        <w:rPr>
          <w:rFonts w:ascii="Times New Roman" w:hAnsi="Times New Roman"/>
        </w:rPr>
        <w:t xml:space="preserve">...</w:t>
      </w:r>
      <w:r>
        <w:rPr>
          <w:rFonts w:ascii="Times New Roman" w:hAnsi="Times New Roman"/>
        </w:rPr>
        <w:t xml:space="preserve">…………</w:t>
      </w:r>
      <w:r>
        <w:rPr>
          <w:rFonts w:ascii="Times New Roman" w:hAnsi="Times New Roman"/>
        </w:rPr>
        <w:t xml:space="preserve">..</w:t>
      </w:r>
      <w:r>
        <w:rPr>
          <w:rFonts w:ascii="Times New Roman" w:hAnsi="Times New Roman"/>
        </w:rPr>
        <w:t xml:space="preserve">…95</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67"/>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2500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7"/>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7"/>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7"/>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w:t>
            </w:r>
            <w:r>
              <w:rPr>
                <w:rFonts w:ascii="Times New Roman" w:hAnsi="Times New Roman" w:eastAsia="Times New Roman"/>
                <w:bCs/>
                <w:lang w:eastAsia="ru-RU"/>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7"/>
              <w:numPr>
                <w:ilvl w:val="0"/>
                <w:numId w:val="11"/>
              </w:numPr>
              <w:ind w:left="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67"/>
              <w:numPr>
                <w:ilvl w:val="0"/>
                <w:numId w:val="11"/>
              </w:numPr>
              <w:ind w:left="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7"/>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w:t>
            </w:r>
            <w:r>
              <w:rPr>
                <w:rFonts w:ascii="Times New Roman" w:hAnsi="Times New Roman" w:eastAsia="Times New Roman"/>
                <w:color w:val="000000"/>
                <w:lang w:eastAsia="ru-RU"/>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7"/>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w:t>
            </w:r>
            <w:r>
              <w:rPr>
                <w:rFonts w:ascii="Times New Roman" w:hAnsi="Times New Roman"/>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lang w:eastAsia="en-US"/>
              </w:rPr>
            </w:pPr>
            <w:r>
              <w:rPr>
                <w:rFonts w:ascii="Times New Roman" w:hAnsi="Times New Roman" w:eastAsia="Times New Roman"/>
                <w:bCs/>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6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6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6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67"/>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67"/>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67"/>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67"/>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67"/>
              <w:numPr>
                <w:ilvl w:val="0"/>
                <w:numId w:val="12"/>
              </w:numPr>
              <w:contextualSpacing/>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ascii="Times New Roman" w:hAnsi="Times New Roman"/>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7"/>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67"/>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rPr>
            </w:r>
            <w:r>
              <w:rPr>
                <w:rFonts w:ascii="Times New Roman" w:hAnsi="Times New Roman"/>
              </w:rPr>
            </w:r>
          </w:p>
          <w:p>
            <w:pPr>
              <w:pStyle w:val="1167"/>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67"/>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67"/>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67"/>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br w:type="textWrapping" w:clear="all"/>
              <w:t xml:space="preserve">до 100 млн. руб. (включительно)</w:t>
            </w:r>
            <w:r>
              <w:rPr>
                <w:rFonts w:ascii="Times New Roman" w:hAnsi="Times New Roman"/>
                <w:lang w:eastAsia="en-US"/>
              </w:rPr>
            </w:r>
            <w:r>
              <w:rPr>
                <w:rFonts w:ascii="Times New Roman" w:hAnsi="Times New Roman"/>
                <w:lang w:eastAsia="en-US"/>
              </w:rPr>
            </w:r>
          </w:p>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67"/>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7"/>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67"/>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7"/>
              <w:jc w:val="both"/>
              <w:spacing w:after="0" w:line="240" w:lineRule="auto"/>
              <w:rPr>
                <w:rFonts w:ascii="Times New Roman" w:hAnsi="Times New Roman"/>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br w:type="textWrapping" w:clear="all"/>
              <w:t xml:space="preserve">до 150 000,00 руб. (включительно);</w:t>
            </w:r>
            <w:r>
              <w:rPr>
                <w:rFonts w:ascii="Times New Roman" w:hAnsi="Times New Roman"/>
              </w:rPr>
            </w:r>
            <w:r>
              <w:rPr>
                <w:rFonts w:ascii="Times New Roman" w:hAnsi="Times New Roman"/>
              </w:rPr>
            </w:r>
          </w:p>
          <w:p>
            <w:pPr>
              <w:pStyle w:val="1167"/>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br w:type="textWrapping" w:clear="all"/>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167"/>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1167"/>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1167"/>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br w:type="textWrapping" w:clear="all"/>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167"/>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w:t>
            </w:r>
            <w:r>
              <w:rPr>
                <w:rFonts w:ascii="Times New Roman" w:hAnsi="Times New Roman"/>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167"/>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167"/>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7"/>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7"/>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7"/>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7"/>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7"/>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6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w:t>
            </w:r>
            <w:r>
              <w:rPr>
                <w:rFonts w:ascii="Times New Roman" w:hAnsi="Times New Roman" w:eastAsia="Times New Roman"/>
                <w:bCs/>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eastAsia="Times New Roman"/>
                <w:bCs/>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w:t>
            </w:r>
            <w:r>
              <w:rPr>
                <w:rFonts w:ascii="Times New Roman" w:hAnsi="Times New Roman" w:eastAsia="Times New Roman"/>
                <w:bCs/>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Кроме месяца, в котором установлена система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w:t>
            </w:r>
            <w:r>
              <w:rPr>
                <w:rFonts w:ascii="Times New Roman" w:hAnsi="Times New Roman" w:eastAsia="Times New Roman"/>
                <w:bCs/>
                <w:lang w:eastAsia="ru-RU"/>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rFonts w:ascii="Times New Roman" w:hAnsi="Times New Roman" w:eastAsia="Times New Roman"/>
                <w:bCs/>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eastAsia="Times New Roman"/>
                <w:bCs/>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67"/>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67"/>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7"/>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67"/>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67"/>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67"/>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67"/>
              <w:numPr>
                <w:ilvl w:val="0"/>
                <w:numId w:val="19"/>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67"/>
              <w:numPr>
                <w:ilvl w:val="0"/>
                <w:numId w:val="19"/>
              </w:numPr>
              <w:ind w:left="57" w:firstLine="0"/>
              <w:jc w:val="both"/>
              <w:spacing w:after="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34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6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67"/>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67"/>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67"/>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7"/>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67"/>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67"/>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 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67"/>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67"/>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67"/>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67"/>
        <w:jc w:val="both"/>
        <w:spacing w:before="60"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67"/>
        <w:jc w:val="both"/>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67"/>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 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67"/>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2. Кассовые операции* (В соответствии с Федеральным законом от 10 июля 2</w:t>
      </w:r>
      <w:r>
        <w:rPr>
          <w:rFonts w:ascii="Times New Roman" w:hAnsi="Times New Roman" w:eastAsia="Times New Roman"/>
          <w:b/>
          <w:bCs/>
          <w:sz w:val="24"/>
          <w:szCs w:val="24"/>
          <w:lang w:eastAsia="ru-RU"/>
        </w:rPr>
        <w:t xml:space="preserve">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w:t>
      </w:r>
      <w:r>
        <w:rPr>
          <w:rFonts w:ascii="Times New Roman" w:hAnsi="Times New Roman" w:eastAsia="Times New Roman"/>
          <w:b/>
          <w:bCs/>
          <w:sz w:val="24"/>
          <w:szCs w:val="24"/>
          <w:lang w:eastAsia="ru-RU"/>
        </w:rPr>
        <w:t xml:space="preserve">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6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67"/>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денежной чековой книжки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листов – 200 руб.,</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листов –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67"/>
              <w:jc w:val="both"/>
              <w:spacing w:after="0" w:line="240" w:lineRule="auto"/>
              <w:rPr>
                <w:rFonts w:ascii="Times New Roman" w:hAnsi="Times New Roman" w:eastAsia="Times New Roman"/>
                <w:bCs/>
                <w:sz w:val="20"/>
                <w:szCs w:val="20"/>
                <w:lang w:eastAsia="ru-RU"/>
              </w:rPr>
            </w:pPr>
            <w:r>
              <w:rPr>
                <w:rFonts w:ascii="Times New Roman" w:hAnsi="Times New Roman"/>
                <w:sz w:val="24"/>
                <w:szCs w:val="24"/>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0,9% от суммы,</w:t>
            </w:r>
            <w:r>
              <w:rPr>
                <w:rFonts w:ascii="Times New Roman" w:hAnsi="Times New Roman"/>
                <w:bCs/>
              </w:rPr>
            </w:r>
            <w:r>
              <w:rPr>
                <w:rFonts w:ascii="Times New Roman" w:hAnsi="Times New Roman"/>
                <w:bCs/>
              </w:rPr>
            </w:r>
          </w:p>
          <w:p>
            <w:pPr>
              <w:pStyle w:val="1167"/>
              <w:jc w:val="center"/>
              <w:spacing w:before="40" w:after="40" w:line="240" w:lineRule="auto"/>
              <w:rPr>
                <w:rFonts w:ascii="Times New Roman" w:hAnsi="Times New Roman"/>
                <w:bCs/>
              </w:rPr>
            </w:pPr>
            <w:r>
              <w:rPr>
                <w:rFonts w:ascii="Times New Roman" w:hAnsi="Times New Roman"/>
                <w:bCs/>
              </w:rPr>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before="40" w:after="40"/>
              <w:rPr>
                <w:rFonts w:ascii="Times New Roman" w:hAnsi="Times New Roman"/>
              </w:rPr>
            </w:pPr>
            <w:r>
              <w:rPr>
                <w:rFonts w:ascii="Times New Roman" w:hAnsi="Times New Roman"/>
              </w:rPr>
              <w:t xml:space="preserve">2.2.2.</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7"/>
              <w:jc w:val="both"/>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на другие цели, </w:t>
            </w:r>
            <w:r>
              <w:rPr>
                <w:rFonts w:ascii="Times New Roman" w:hAnsi="Times New Roman"/>
                <w:bC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r>
            <w:r>
              <w:rPr>
                <w:rFonts w:ascii="Times New Roman" w:hAnsi="Times New Roman"/>
                <w:bCs/>
              </w:rPr>
            </w:r>
          </w:p>
          <w:p>
            <w:pPr>
              <w:pStyle w:val="1167"/>
              <w:jc w:val="both"/>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bCs/>
              </w:rPr>
            </w:pPr>
            <w:r>
              <w:rPr>
                <w:rFonts w:ascii="Times New Roman" w:hAnsi="Times New Roman"/>
                <w:bCs/>
              </w:rPr>
              <w:t xml:space="preserve">2% от суммы </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с 300 000,01 руб. </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с 1 500 000,01 руб. </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10% от суммы</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с 4 000 000,01 руб.</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rPr>
            </w:pPr>
            <w:r>
              <w:rPr>
                <w:rFonts w:ascii="Times New Roman" w:hAnsi="Times New Roman"/>
                <w:bCs/>
              </w:rPr>
              <w:t xml:space="preserve">и выше в течение календарного месяц</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7"/>
              <w:jc w:val="both"/>
              <w:spacing w:after="0" w:line="240" w:lineRule="auto"/>
              <w:tabs>
                <w:tab w:val="left" w:pos="0"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0"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bC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bC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rPr>
            </w:r>
            <w:r>
              <w:rPr>
                <w:rFonts w:ascii="Times New Roman" w:hAnsi="Times New Roman"/>
              </w:rPr>
            </w:r>
          </w:p>
          <w:p>
            <w:pPr>
              <w:pStyle w:val="1167"/>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в течение календарного месяца</w:t>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167"/>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67"/>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167"/>
              <w:jc w:val="both"/>
              <w:spacing w:before="40" w:after="40"/>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Выдача остатка денежной наличности при закрытии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jc w:val="both"/>
              <w:spacing w:after="0" w:line="240" w:lineRule="auto"/>
              <w:rPr>
                <w:rFonts w:ascii="Times New Roman" w:hAnsi="Times New Roman" w:eastAsia="Times New Roman"/>
                <w:lang w:eastAsia="ru-RU"/>
              </w:rPr>
            </w:pPr>
            <w:r>
              <w:rPr>
                <w:rFonts w:ascii="Times New Roman" w:hAnsi="Times New Roman" w:eastAsia="Times New Roman"/>
                <w:sz w:val="24"/>
                <w:szCs w:val="24"/>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t xml:space="preserve">2.4.1.</w:t>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t xml:space="preserve">2.4.2.</w:t>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t xml:space="preserve">2.4.3.</w:t>
            </w:r>
            <w:r>
              <w:rPr>
                <w:rFonts w:ascii="Times New Roman" w:hAnsi="Times New Roman"/>
              </w:rPr>
            </w:r>
            <w:r>
              <w:rPr>
                <w:rFonts w:ascii="Times New Roman" w:hAnsi="Times New Roman"/>
              </w:rPr>
            </w:r>
          </w:p>
          <w:p>
            <w:pPr>
              <w:pStyle w:val="1167"/>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67"/>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67"/>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67"/>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67"/>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line="240" w:lineRule="auto"/>
              <w:rPr>
                <w:rFonts w:ascii="Times New Roman" w:hAnsi="Times New Roman"/>
              </w:rPr>
            </w:pPr>
            <w:r>
              <w:rPr>
                <w:rFonts w:ascii="Times New Roman" w:hAnsi="Times New Roman"/>
              </w:rPr>
              <w:t xml:space="preserve">2.4.4.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spacing w:after="0" w:line="240" w:lineRule="auto"/>
              <w:rPr>
                <w:rFonts w:ascii="Times New Roman" w:hAnsi="Times New Roman"/>
              </w:rPr>
            </w:pPr>
            <w:r>
              <w:rPr>
                <w:rFonts w:ascii="Times New Roman" w:hAnsi="Times New Roman"/>
                <w:bCs/>
              </w:rPr>
              <w:t xml:space="preserve">Поступившей по объявлению на взнос наличными (банкноты);</w:t>
            </w:r>
            <w:r>
              <w:rPr>
                <w:rFonts w:ascii="Times New Roman" w:hAnsi="Times New Roman"/>
              </w:rPr>
            </w:r>
            <w:r>
              <w:rPr>
                <w:rFonts w:ascii="Times New Roman" w:hAnsi="Times New Roman"/>
              </w:rPr>
            </w:r>
          </w:p>
          <w:p>
            <w:pPr>
              <w:pStyle w:val="1167"/>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w:t>
            </w:r>
            <w:r>
              <w:rPr>
                <w:rFonts w:ascii="Times New Roman" w:hAnsi="Times New Roman"/>
                <w:bCs/>
              </w:rPr>
              <w:t xml:space="preserve">организаций, а также иных организаций, привлекаемых для оказания услуг по перевозке ценностей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t xml:space="preserve">Прием и пересчет монет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0,40% от суммы, минимум 250 руб.</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0,25% от суммы,</w:t>
              <w:br w:type="textWrapping" w:clear="all"/>
              <w:t xml:space="preserve">минимум 250 руб. </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0,2% от суммы, минимум 250 руб. </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2% от суммы, минимум 250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67"/>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67"/>
              <w:spacing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lang w:eastAsia="ru-RU"/>
              </w:rPr>
              <w:t xml:space="preserve">.</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минимум</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after="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7"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jc w:val="both"/>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167"/>
              <w:jc w:val="both"/>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167"/>
        <w:spacing w:after="0" w:line="240" w:lineRule="auto"/>
        <w:rPr>
          <w:rFonts w:ascii="Times New Roman" w:hAnsi="Times New Roman" w:eastAsia="Times New Roman"/>
          <w:bCs/>
          <w:u w:val="single"/>
          <w:lang w:eastAsia="ru-RU"/>
        </w:rPr>
      </w:pPr>
      <w:r>
        <w:rPr>
          <w:rFonts w:ascii="Times New Roman" w:hAnsi="Times New Roman" w:eastAsia="Times New Roman"/>
          <w:bCs/>
          <w:u w:val="single"/>
          <w:lang w:eastAsia="ru-RU"/>
        </w:rPr>
      </w:r>
      <w:r>
        <w:rPr>
          <w:rFonts w:ascii="Times New Roman" w:hAnsi="Times New Roman" w:eastAsia="Times New Roman"/>
          <w:bCs/>
          <w:u w:val="single"/>
          <w:lang w:eastAsia="ru-RU"/>
        </w:rPr>
      </w:r>
      <w:r>
        <w:rPr>
          <w:rFonts w:ascii="Times New Roman" w:hAnsi="Times New Roman" w:eastAsia="Times New Roman"/>
          <w:bCs/>
          <w:u w:val="single"/>
          <w:lang w:eastAsia="ru-RU"/>
        </w:rPr>
      </w:r>
    </w:p>
    <w:p>
      <w:pPr>
        <w:pStyle w:val="1167"/>
        <w:spacing w:after="0" w:line="240" w:lineRule="auto"/>
        <w:rPr>
          <w:rFonts w:ascii="Times New Roman" w:hAnsi="Times New Roman" w:eastAsia="Times New Roman"/>
          <w:bCs/>
          <w:lang w:eastAsia="ru-RU"/>
        </w:rPr>
      </w:pPr>
      <w:r>
        <w:rPr>
          <w:rFonts w:ascii="Times New Roman" w:hAnsi="Times New Roman" w:eastAsia="Times New Roman"/>
          <w:bCs/>
          <w:u w:val="single"/>
          <w:lang w:eastAsia="ru-RU"/>
        </w:rPr>
        <w:t xml:space="preserve">Примечание</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426" w:leader="none"/>
          <w:tab w:val="left" w:pos="1080" w:leader="none"/>
        </w:tabs>
        <w:rPr>
          <w:rFonts w:ascii="Times New Roman" w:hAnsi="Times New Roman" w:eastAsia="Times New Roman"/>
          <w:sz w:val="24"/>
          <w:szCs w:val="24"/>
          <w:lang w:eastAsia="ru-RU"/>
        </w:rPr>
      </w:pPr>
      <w:r>
        <w:rPr>
          <w:rFonts w:ascii="Times New Roman" w:hAnsi="Times New Roman"/>
          <w:bCs/>
          <w:sz w:val="24"/>
          <w:szCs w:val="24"/>
        </w:rPr>
        <w:t xml:space="preserve">Операции по обслуживанию бюджетных счетов (счета, открываемые на балансовых позициях 401-404)</w:t>
      </w:r>
      <w:r>
        <w:rPr>
          <w:rFonts w:eastAsia="Times New Roman"/>
          <w:lang w:eastAsia="ru-RU"/>
        </w:rPr>
        <w:t xml:space="preserve">, </w:t>
      </w:r>
      <w:r>
        <w:rPr>
          <w:rFonts w:ascii="Times New Roman" w:hAnsi="Times New Roman"/>
          <w:bCs/>
          <w:sz w:val="24"/>
          <w:szCs w:val="24"/>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4"/>
          <w:szCs w:val="24"/>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Предварительная заявка клиента – это письменное заявление</w:t>
      </w:r>
      <w:r>
        <w:rPr>
          <w:rFonts w:ascii="Times New Roman" w:hAnsi="Times New Roman" w:eastAsia="Times New Roman"/>
          <w:bCs/>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tabs>
          <w:tab w:val="left" w:pos="426" w:leader="none"/>
          <w:tab w:val="left" w:pos="1080" w:leader="none"/>
        </w:tabs>
        <w:rPr>
          <w:rFonts w:ascii="Times New Roman" w:hAnsi="Times New Roman"/>
          <w:sz w:val="24"/>
          <w:szCs w:val="24"/>
        </w:rPr>
      </w:pPr>
      <w:r>
        <w:rPr>
          <w:rFonts w:ascii="Times New Roman" w:hAnsi="Times New Roman" w:eastAsia="Times New Roman"/>
          <w:bCs/>
          <w:lang w:eastAsia="ru-RU"/>
        </w:rPr>
        <w:t xml:space="preserve">01 - Растениеводство</w:t>
      </w:r>
      <w:r>
        <w:rPr>
          <w:rFonts w:ascii="Times New Roman" w:hAnsi="Times New Roman"/>
          <w:sz w:val="24"/>
          <w:szCs w:val="24"/>
        </w:rPr>
        <w:t xml:space="preserve">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10 - Производство пищевых продуктов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11 - Производство напитков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12 - Производство табачных изделий (включая все подклассы, группы, подгруппы, виды).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46.2 - Торговля оптовая сельскохозяйственным сырьем и живыми животными.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46.21.1 - Торговля оптовая зерном, семенами и кормами для животных.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46.21.11 - Торговля оптовая зерном.</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46.21.12 - Торговля оптовая семенами, кроме семян масличных культур.</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46.21.13 - Торговля оптовая масличными семенами и маслосодержащими плодами.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46.21.14 - Торговля оптовая кормами для сельскохозяйственных животных.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46.21.19 - Торговля оптовая сельскохозяйственным сырьем, не включенным в другие группировки.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46.22 - Торговля оптовая цветами и растениями.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46.23 - Торговля оптовая живыми животными.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46.31 - Торговля оптовая фруктами и овощами.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46.31.1 - Торговля оптовая свежими овощами, фруктами и орехами.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46.31.11 - Торговля оптовая свежим картофелем.</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46.31.12 - Торговля оптовая прочими свежими овощами.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46.31.13 - Торговля оптовая свежими фруктами и орехами.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46.32 - Торговля оптовая мясом и мясными продуктами.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46.32.1 - Торговля оптовая мясом и мясом птицы, включая субпродукты.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46.32.2 - Торговля оптовая продуктами из мяса и мяса птицы.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46.32.3 - Торговля оптовая консервами из мяса и мяса птицы.</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46.33 - Торговля оптовая молочными продуктами, яйцами и пищевыми маслами и жирами.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46.33.1 - Торговля оптовая молочными продуктами.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46.33.2 - Торговля оптовая яйцами.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46.33.3 - Торговля оптовая пищевыми маслами и жирами.</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47.21 - Торговля розничная фруктами и овощами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47.22 - Торговля розничная мясом и мясными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47.22.1 - Торговля розничная мясом и мясом птицы, включая субпродукты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47.22.2 - Торговля розничная продуктами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47.22.3 - Торговля розничная консервами из мяса и мяса птицы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47.29.1 - Торговля розничная молочными продуктами и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47.29.11 - Торговля розничная молочными продуктами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47.29.12 - Торговля розничная яйцами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47.29.2 - Торговля розничная пищевыми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47.29.21 - Торговля розничная животными маслами и жирами в специализированных магазинах.</w:t>
      </w:r>
      <w:r>
        <w:rPr>
          <w:rFonts w:ascii="Times New Roman" w:hAnsi="Times New Roman"/>
          <w:sz w:val="24"/>
          <w:szCs w:val="24"/>
        </w:rPr>
      </w:r>
      <w:r>
        <w:rPr>
          <w:rFonts w:ascii="Times New Roman" w:hAnsi="Times New Roman"/>
          <w:sz w:val="24"/>
          <w:szCs w:val="24"/>
        </w:rPr>
      </w:r>
    </w:p>
    <w:p>
      <w:pPr>
        <w:pStyle w:val="1167"/>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sz w:val="24"/>
          <w:szCs w:val="24"/>
        </w:rPr>
        <w:t xml:space="preserve">47.29.22 - Торговля розничная растительными маслами в специализированных магазинах</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67"/>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67"/>
        <w:jc w:val="center"/>
        <w:spacing w:before="120" w:after="120" w:line="240" w:lineRule="auto"/>
        <w:tabs>
          <w:tab w:val="left" w:pos="426" w:leader="none"/>
          <w:tab w:val="left" w:pos="1134" w:leader="none"/>
        </w:tabs>
        <w:rPr>
          <w:rFonts w:ascii="Times New Roman" w:hAnsi="Times New Roman"/>
          <w:b/>
          <w:sz w:val="24"/>
          <w:szCs w:val="24"/>
        </w:rPr>
      </w:pPr>
      <w:r>
        <w:rPr>
          <w:rFonts w:ascii="Times New Roman" w:hAnsi="Times New Roman" w:eastAsia="Times New Roman"/>
          <w:b/>
          <w:bCs/>
          <w:sz w:val="24"/>
          <w:szCs w:val="24"/>
          <w:lang w:eastAsia="ru-RU"/>
        </w:rPr>
        <w:t xml:space="preserve">3. </w:t>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67"/>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67"/>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67"/>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67"/>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67"/>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67"/>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67"/>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67"/>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6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6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67"/>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6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6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67"/>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67"/>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67"/>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67"/>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67"/>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67"/>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67"/>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67"/>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67"/>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67"/>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67"/>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67"/>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67"/>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67"/>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6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67"/>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67"/>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67"/>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67"/>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67"/>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67"/>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10 000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67"/>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67"/>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0,15 % минимум 500 руб., максимум </w:t>
              <w:br w:type="textWrapping" w:clear="all"/>
              <w:t xml:space="preserve">80 000 руб. для ГО, ЦРМБ и ЦКБ,</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67"/>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67"/>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7"/>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67"/>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67"/>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67"/>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67"/>
              <w:contextualSpacing/>
              <w:jc w:val="center"/>
              <w:spacing w:after="0" w:line="240" w:lineRule="auto"/>
              <w:rPr>
                <w:rFonts w:ascii="Times New Roman" w:hAnsi="Times New Roman"/>
              </w:rPr>
            </w:pPr>
            <w:r>
              <w:rPr>
                <w:rFonts w:ascii="Times New Roman" w:hAnsi="Times New Roman"/>
              </w:rPr>
              <w:t xml:space="preserve">для ГО, ЦРМБ и ЦКБ,</w:t>
            </w:r>
            <w:r>
              <w:rPr>
                <w:rFonts w:ascii="Times New Roman" w:hAnsi="Times New Roman"/>
              </w:rPr>
            </w:r>
            <w:r>
              <w:rPr>
                <w:rFonts w:ascii="Times New Roman" w:hAnsi="Times New Roman"/>
              </w:rPr>
            </w:r>
          </w:p>
          <w:p>
            <w:pPr>
              <w:pStyle w:val="1167"/>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67"/>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67"/>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67"/>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67"/>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67"/>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67"/>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67"/>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67"/>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67"/>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67"/>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67"/>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67"/>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67"/>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67"/>
        <w:jc w:val="both"/>
        <w:spacing w:before="120" w:after="0" w:line="240" w:lineRule="auto"/>
        <w:rPr>
          <w:rFonts w:ascii="Times New Roman" w:hAnsi="Times New Roman"/>
          <w:bCs/>
          <w:sz w:val="20"/>
          <w:szCs w:val="20"/>
        </w:rPr>
      </w:pPr>
      <w:r>
        <w:rPr>
          <w:rFonts w:ascii="Times New Roman" w:hAnsi="Times New Roman"/>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67"/>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67"/>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67"/>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67"/>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67"/>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67"/>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67"/>
        <w:numPr>
          <w:ilvl w:val="0"/>
          <w:numId w:val="8"/>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67"/>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6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6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6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67"/>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67"/>
        <w:numPr>
          <w:ilvl w:val="0"/>
          <w:numId w:val="8"/>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6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6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6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167"/>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67"/>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6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6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6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6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67"/>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6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67"/>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67"/>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67"/>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167"/>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6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67"/>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6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6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305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67"/>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6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АО «Россельхозбанк» в региональных филиалах                      АО</w:t>
            </w:r>
            <w:r>
              <w:rPr>
                <w:rFonts w:ascii="Times New Roman" w:hAnsi="Times New Roman" w:eastAsia="Times New Roman"/>
                <w:lang w:eastAsia="ru-RU"/>
              </w:rPr>
              <w:t xml:space="preserve"> </w:t>
            </w:r>
            <w:r>
              <w:rPr>
                <w:rFonts w:ascii="Times New Roman" w:hAnsi="Times New Roman" w:eastAsia="Times New Roman"/>
                <w:bCs/>
                <w:lang w:eastAsia="ru-RU"/>
              </w:rPr>
              <w:t xml:space="preserve">«Россельхозбанк»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6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305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АО «Россельхозбанк» серии «К».</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6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6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67"/>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6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67"/>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менее 30 дней</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67"/>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67"/>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67"/>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и срочные векселя со сроком обращения </w:t>
            </w:r>
            <w:r>
              <w:rPr>
                <w:rFonts w:ascii="Times New Roman" w:hAnsi="Times New Roman" w:eastAsia="Times New Roman"/>
                <w:b/>
                <w:bCs/>
                <w:lang w:eastAsia="ru-RU"/>
              </w:rPr>
              <w:t xml:space="preserve">30 дней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67"/>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6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АО «Россельхозбанк»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67"/>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«Россельхозбанк» серии «К» головным офисом и региональным филиалом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31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АО «Россельхозбанк»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67"/>
              <w:jc w:val="center"/>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4.4</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3422" w:type="dxa"/>
            <w:vAlign w:val="top"/>
            <w:textDirection w:val="lrTb"/>
            <w:noWrap w:val="false"/>
          </w:tcPr>
          <w:p>
            <w:pPr>
              <w:pStyle w:val="1167"/>
              <w:spacing w:before="40"/>
              <w:rPr>
                <w:rFonts w:ascii="Times New Roman" w:hAnsi="Times New Roman" w:eastAsia="Times New Roman"/>
                <w:highlight w:val="yellow"/>
                <w:lang w:eastAsia="ru-RU"/>
              </w:rPr>
            </w:pPr>
            <w:r>
              <w:rPr>
                <w:rFonts w:ascii="Times New Roman" w:hAnsi="Times New Roman" w:eastAsia="Times New Roman"/>
                <w:lang w:eastAsia="ru-RU"/>
              </w:rPr>
              <w:t xml:space="preserve">Предоставление копий сообщений и иных документов, обязательное раскрыт</w:t>
            </w:r>
            <w:r>
              <w:rPr>
                <w:rFonts w:ascii="Times New Roman" w:hAnsi="Times New Roman" w:eastAsia="Times New Roman"/>
                <w:lang w:eastAsia="ru-RU"/>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eastAsia="Times New Roman"/>
                <w:highlight w:val="yellow"/>
                <w:lang w:eastAsia="ru-RU"/>
              </w:rPr>
            </w:r>
            <w:r>
              <w:rPr>
                <w:rFonts w:ascii="Times New Roman" w:hAnsi="Times New Roman" w:eastAsia="Times New Roman"/>
                <w:highlight w:val="yellow"/>
                <w:lang w:eastAsia="ru-RU"/>
              </w:rPr>
            </w:r>
          </w:p>
        </w:tc>
        <w:tc>
          <w:tcPr>
            <w:tcW w:w="2485" w:type="dxa"/>
            <w:vAlign w:val="top"/>
            <w:textDirection w:val="lrTb"/>
            <w:noWrap w:val="false"/>
          </w:tcPr>
          <w:p>
            <w:pPr>
              <w:pStyle w:val="1167"/>
              <w:jc w:val="center"/>
              <w:spacing w:before="40"/>
              <w:rPr>
                <w:rFonts w:ascii="Times New Roman" w:hAnsi="Times New Roman" w:eastAsia="Times New Roman"/>
                <w:lang w:eastAsia="ru-RU"/>
              </w:rPr>
            </w:pPr>
            <w:r>
              <w:rPr>
                <w:rFonts w:ascii="Times New Roman" w:hAnsi="Times New Roman" w:eastAsia="Times New Roman"/>
                <w:lang w:eastAsia="ru-RU"/>
              </w:rPr>
              <w:t xml:space="preserve">11 руб. за один лист с односторонним расположением текста</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eastAsia="Times New Roman"/>
                <w:lang w:eastAsia="ru-RU"/>
              </w:rPr>
            </w:r>
            <w:r>
              <w:rPr>
                <w:rFonts w:ascii="Times New Roman" w:hAnsi="Times New Roman" w:eastAsia="Times New Roman"/>
                <w:lang w:eastAsia="ru-RU"/>
              </w:rPr>
            </w:r>
          </w:p>
        </w:tc>
      </w:tr>
    </w:tbl>
    <w:p>
      <w:pPr>
        <w:pStyle w:val="1167"/>
        <w:jc w:val="center"/>
        <w:keepNext/>
        <w:spacing w:after="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67"/>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167"/>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6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167"/>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При внесении в условия откр</w:t>
            </w:r>
            <w:r>
              <w:rPr>
                <w:rFonts w:ascii="Times New Roman" w:hAnsi="Times New Roman"/>
                <w:iCs/>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долларах США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максимум 50000 руб.,</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w:t>
            </w:r>
            <w:r>
              <w:rPr>
                <w:rFonts w:ascii="Times New Roman" w:hAnsi="Times New Roman"/>
                <w:iCs/>
              </w:rPr>
              <w:t xml:space="preserve">90 последовательных календарных дней,</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6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16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16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w:t>
            </w:r>
            <w:r>
              <w:rPr>
                <w:rFonts w:ascii="Times New Roman" w:hAnsi="Times New Roman"/>
                <w:iCs/>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67"/>
              <w:jc w:val="both"/>
              <w:spacing w:after="0" w:line="240" w:lineRule="auto"/>
              <w:rPr>
                <w:rFonts w:ascii="Times New Roman" w:hAnsi="Times New Roman" w:eastAsia="Times New Roman"/>
                <w:bCs/>
                <w:color w:val="000000"/>
                <w:lang w:eastAsia="ru-RU"/>
              </w:rPr>
            </w:pPr>
            <w:r>
              <w:rPr>
                <w:rFonts w:ascii="Times New Roman" w:hAnsi="Times New Roman"/>
                <w:iCs/>
              </w:rPr>
              <w:t xml:space="preserve">Комиссия уплачив</w:t>
            </w:r>
            <w:r>
              <w:rPr>
                <w:rFonts w:ascii="Times New Roman" w:hAnsi="Times New Roman"/>
                <w:iCs/>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67"/>
              <w:numPr>
                <w:ilvl w:val="0"/>
                <w:numId w:val="9"/>
              </w:numPr>
              <w:ind w:left="184" w:hanging="153"/>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ккредитива/отзыв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67"/>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167"/>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на сумму аккредитива/тратты по состоянию на дату </w:t>
            </w:r>
            <w:r>
              <w:rPr>
                <w:rFonts w:ascii="Times New Roman" w:hAnsi="Times New Roman"/>
                <w:iCs/>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увеличением суммы, комиссия начисляется на сумму увеличения.</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При внесении в условия отк</w:t>
            </w:r>
            <w:r>
              <w:rPr>
                <w:rFonts w:ascii="Times New Roman" w:hAnsi="Times New Roman"/>
                <w:iCs/>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rFonts w:ascii="Times New Roman" w:hAnsi="Times New Roman"/>
                <w:iCs/>
              </w:rPr>
            </w:r>
            <w:r>
              <w:rPr>
                <w:rFonts w:ascii="Times New Roman" w:hAnsi="Times New Roman"/>
                <w:iCs/>
              </w:rPr>
            </w:r>
          </w:p>
          <w:p>
            <w:pPr>
              <w:pStyle w:val="1167"/>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рублях и иной валюте (кроме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150 евро,</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(не применяется при изменении условий и аннуляции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167"/>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67"/>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67"/>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167"/>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167"/>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ранее авизованного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 максимум 1000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67"/>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bCs/>
              </w:rPr>
            </w:pPr>
            <w:r>
              <w:rPr>
                <w:rFonts w:ascii="Times New Roman" w:hAnsi="Times New Roman"/>
                <w:bCs/>
              </w:rPr>
              <w:t xml:space="preserve">минимум 150 евро,</w:t>
            </w:r>
            <w:r>
              <w:rPr>
                <w:rFonts w:ascii="Times New Roman" w:hAnsi="Times New Roman"/>
                <w:bCs/>
              </w:rPr>
            </w:r>
            <w:r>
              <w:rPr>
                <w:rFonts w:ascii="Times New Roman" w:hAnsi="Times New Roman"/>
                <w:bCs/>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период, состоящий из 90 последовательных календарных дней,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jc w:val="both"/>
              <w:spacing w:before="40" w:after="0" w:line="240" w:lineRule="auto"/>
              <w:rPr>
                <w:rFonts w:ascii="Times New Roman" w:hAnsi="Times New Roman"/>
                <w:iCs/>
              </w:rPr>
            </w:pPr>
            <w:r>
              <w:rPr>
                <w:rFonts w:ascii="Times New Roman" w:hAnsi="Times New Roman"/>
                <w:iC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rFonts w:ascii="Times New Roman" w:hAnsi="Times New Roman"/>
                <w:iCs/>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В расчет комиссии включаются как первый, так и последний день периода.</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rFonts w:ascii="Times New Roman" w:hAnsi="Times New Roman"/>
                <w:iCs/>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rFonts w:ascii="Times New Roman" w:hAnsi="Times New Roman"/>
                <w:iCs/>
              </w:rPr>
            </w:r>
            <w:r>
              <w:rPr>
                <w:rFonts w:ascii="Times New Roman" w:hAnsi="Times New Roman"/>
                <w:iCs/>
              </w:rPr>
            </w:r>
          </w:p>
          <w:p>
            <w:pPr>
              <w:pStyle w:val="1167"/>
              <w:jc w:val="both"/>
              <w:spacing w:before="40" w:after="0" w:line="240" w:lineRule="auto"/>
              <w:rPr>
                <w:rFonts w:ascii="Times New Roman" w:hAnsi="Times New Roman"/>
                <w:iCs/>
              </w:rPr>
            </w:pPr>
            <w:r>
              <w:rPr>
                <w:rFonts w:ascii="Times New Roman" w:hAnsi="Times New Roman"/>
                <w:iCs/>
              </w:rPr>
              <w:t xml:space="preserve">Комиссия уплачивается в начисленной сумме п</w:t>
            </w:r>
            <w:r>
              <w:rPr>
                <w:rFonts w:ascii="Times New Roman" w:hAnsi="Times New Roman"/>
                <w:iCs/>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rFonts w:ascii="Times New Roman" w:hAnsi="Times New Roman"/>
                <w:iCs/>
              </w:rPr>
            </w:r>
            <w:r>
              <w:rPr>
                <w:rFonts w:ascii="Times New Roman" w:hAnsi="Times New Roman"/>
                <w:iCs/>
              </w:rPr>
            </w:r>
          </w:p>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ранее авизованного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подлежащей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5 000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167"/>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1 500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167"/>
              <w:numPr>
                <w:ilvl w:val="0"/>
                <w:numId w:val="9"/>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167"/>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150 евро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167"/>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167"/>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50 евро,</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50 евро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065" w:type="dxa"/>
            <w:vAlign w:val="top"/>
            <w:textDirection w:val="lrTb"/>
            <w:noWrap w:val="false"/>
          </w:tcPr>
          <w:p>
            <w:pPr>
              <w:pStyle w:val="1167"/>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Чистое инкассо: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Инкассо финансовых документов за исключением чеков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5 евро,</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макс. 500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5.4.6.</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Переписка по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 евро</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67"/>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67"/>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167"/>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Комиссии по Разделам 5.2 «Документарные аккредитивы, открытые АО «Россельхозбанк» для расчетов по внешнеторговым сделкам (импо</w:t>
      </w:r>
      <w:r>
        <w:rPr>
          <w:rFonts w:ascii="Times New Roman" w:hAnsi="Times New Roman" w:eastAsia="Times New Roman"/>
          <w:sz w:val="20"/>
          <w:szCs w:val="20"/>
          <w:lang w:eastAsia="ru-RU"/>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rFonts w:ascii="Times New Roman" w:hAnsi="Times New Roman" w:eastAsia="Times New Roman"/>
          <w:sz w:val="20"/>
          <w:szCs w:val="20"/>
          <w:lang w:eastAsia="ru-RU"/>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кросс-курсом Банка России понимается отношение курса одной иностранной валюты к курсу другой иностранной валюты, р</w:t>
      </w:r>
      <w:r>
        <w:rPr>
          <w:rFonts w:ascii="Times New Roman" w:hAnsi="Times New Roman" w:eastAsia="Times New Roman"/>
          <w:sz w:val="20"/>
          <w:szCs w:val="20"/>
          <w:lang w:eastAsia="ru-RU"/>
        </w:rPr>
        <w:t xml:space="preserve">ассчитанное по официальным курсам этих валют по отношению к рублю, установленным Банком России.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Если уплата комиссионного вознагра</w:t>
      </w:r>
      <w:r>
        <w:rPr>
          <w:rFonts w:ascii="Times New Roman" w:hAnsi="Times New Roman" w:eastAsia="Times New Roman"/>
          <w:sz w:val="20"/>
          <w:szCs w:val="20"/>
          <w:lang w:eastAsia="ru-RU"/>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Комиссии, уплаченные Банку за оказание услуг (кроме ошибочно удержанных), возврату не подлежат.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center"/>
        <w:keepNext/>
        <w:spacing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208"/>
        <w:gridCol w:w="2126"/>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08"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4961"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По соглашению сторон,</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szCs w:val="24"/>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4961" w:type="dxa"/>
            <w:vAlign w:val="top"/>
            <w:textDirection w:val="lrTb"/>
            <w:noWrap w:val="false"/>
          </w:tcPr>
          <w:p>
            <w:pPr>
              <w:pStyle w:val="1167"/>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both"/>
              <w:spacing w:after="0" w:line="240" w:lineRule="auto"/>
              <w:rPr>
                <w:rFonts w:ascii="Times New Roman" w:hAnsi="Times New Roman"/>
                <w:szCs w:val="24"/>
              </w:rPr>
            </w:pPr>
            <w:r>
              <w:rPr>
                <w:rFonts w:ascii="Times New Roman" w:hAnsi="Times New Roman"/>
                <w:szCs w:val="24"/>
              </w:rPr>
              <w:t xml:space="preserve">Размер комиссии за выдачу гарантии определяется с учетом минимальных тарифов комиссионного вознаграждения по гарантийным сделкам (Прило</w:t>
            </w:r>
            <w:r>
              <w:rPr>
                <w:rFonts w:ascii="Times New Roman" w:hAnsi="Times New Roman"/>
                <w:szCs w:val="24"/>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szCs w:val="24"/>
              </w:rPr>
            </w:r>
            <w:r>
              <w:rPr>
                <w:rFonts w:ascii="Times New Roman" w:hAnsi="Times New Roman"/>
                <w:szCs w:val="24"/>
              </w:rPr>
            </w:r>
          </w:p>
          <w:p>
            <w:pPr>
              <w:pStyle w:val="1167"/>
              <w:jc w:val="both"/>
              <w:spacing w:before="40" w:after="0" w:line="240" w:lineRule="auto"/>
              <w:rPr>
                <w:rFonts w:ascii="Times New Roman" w:hAnsi="Times New Roman" w:eastAsia="Times New Roman"/>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167"/>
              <w:jc w:val="both"/>
              <w:spacing w:before="120" w:after="12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выдачи банковской гарантии</w:t>
            </w:r>
            <w:r>
              <w:rPr>
                <w:rFonts w:ascii="Times New Roman" w:hAnsi="Times New Roman" w:eastAsia="Times New Roman"/>
                <w:bCs/>
                <w:szCs w:val="24"/>
                <w:lang w:eastAsia="ru-RU"/>
              </w:rPr>
            </w:r>
            <w:r>
              <w:rPr>
                <w:rFonts w:ascii="Times New Roman" w:hAnsi="Times New Roman"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0" w:line="240" w:lineRule="auto"/>
              <w:rPr>
                <w:rFonts w:ascii="Times New Roman" w:hAnsi="Times New Roman" w:eastAsia="Times New Roman"/>
                <w:lang w:eastAsia="ru-RU"/>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w:t>
            </w:r>
            <w:r>
              <w:rPr>
                <w:rFonts w:ascii="Times New Roman" w:hAnsi="Times New Roman"/>
              </w:rPr>
              <w:t xml:space="preserve">жение 2 к приказу </w:t>
              <w:br/>
              <w:t xml:space="preserve">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eastAsia="Times New Roman"/>
                <w:bCs/>
                <w:lang w:eastAsia="ru-RU"/>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67"/>
              <w:jc w:val="center"/>
              <w:spacing w:before="40"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6.2.2.</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before="40" w:after="40" w:line="240" w:lineRule="auto"/>
              <w:tabs>
                <w:tab w:val="center" w:pos="1260" w:leader="none"/>
                <w:tab w:val="right" w:pos="9355" w:leader="none"/>
              </w:tabs>
              <w:rPr>
                <w:rFonts w:ascii="Times New Roman" w:hAnsi="Times New Roman" w:eastAsia="Times New Roman"/>
                <w:bCs/>
                <w:szCs w:val="24"/>
                <w:lang w:eastAsia="ru-RU"/>
              </w:rPr>
            </w:pPr>
            <w:r>
              <w:rPr>
                <w:rFonts w:ascii="Times New Roman" w:hAnsi="Times New Roman" w:eastAsia="Times New Roman"/>
                <w:bCs/>
                <w:szCs w:val="24"/>
                <w:lang w:eastAsia="ru-RU"/>
              </w:rPr>
              <w:t xml:space="preserve">Изменение условий </w:t>
            </w:r>
            <w:r>
              <w:rPr>
                <w:rFonts w:ascii="Times New Roman" w:hAnsi="Times New Roman" w:eastAsia="Times New Roman"/>
                <w:szCs w:val="24"/>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szCs w:val="24"/>
                <w:lang w:eastAsia="ru-RU"/>
              </w:rPr>
              <w:t xml:space="preserve">условий гарантии, не указанных в п. 6.2.1</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spacing w:before="40" w:after="0" w:line="240" w:lineRule="auto"/>
              <w:rPr>
                <w:rFonts w:ascii="Times New Roman" w:hAnsi="Times New Roman" w:eastAsia="Times New Roman"/>
                <w:bCs/>
                <w:szCs w:val="24"/>
                <w:lang w:eastAsia="ru-RU"/>
              </w:rPr>
            </w:pPr>
            <w:r>
              <w:rPr>
                <w:rFonts w:ascii="Times New Roman" w:hAnsi="Times New Roman" w:eastAsia="Times New Roman"/>
                <w:bCs/>
                <w:szCs w:val="24"/>
                <w:lang w:eastAsia="ru-RU"/>
              </w:rPr>
              <w:t xml:space="preserve">5 000 руб.</w:t>
            </w:r>
            <w:r>
              <w:rPr>
                <w:rFonts w:ascii="Times New Roman" w:hAnsi="Times New Roman" w:eastAsia="Times New Roman"/>
                <w:bCs/>
                <w:szCs w:val="24"/>
                <w:lang w:eastAsia="ru-RU"/>
              </w:rPr>
            </w:r>
            <w:r>
              <w:rPr>
                <w:rFonts w:ascii="Times New Roman" w:hAnsi="Times New Roman" w:eastAsia="Times New Roman"/>
                <w:bCs/>
                <w:szCs w:val="24"/>
                <w:lang w:eastAsia="ru-RU"/>
              </w:rPr>
            </w:r>
          </w:p>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both"/>
              <w:spacing w:after="0" w:line="240" w:lineRule="auto"/>
              <w:rPr>
                <w:rFonts w:ascii="Times New Roman" w:hAnsi="Times New Roman" w:eastAsia="Times New Roman"/>
                <w:szCs w:val="24"/>
                <w:lang w:eastAsia="ru-RU"/>
              </w:rPr>
            </w:pPr>
            <w:r>
              <w:rPr>
                <w:rFonts w:ascii="Times New Roman" w:hAnsi="Times New Roman" w:eastAsia="Times New Roman"/>
                <w:szCs w:val="24"/>
                <w:lang w:eastAsia="ru-RU"/>
              </w:rPr>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both"/>
              <w:spacing w:after="0" w:line="240" w:lineRule="auto"/>
              <w:widowControl w:val="off"/>
              <w:rPr>
                <w:rFonts w:ascii="Times New Roman" w:hAnsi="Times New Roman" w:eastAsia="Times New Roman"/>
                <w:szCs w:val="24"/>
                <w:lang w:eastAsia="ru-RU"/>
              </w:rPr>
            </w:pPr>
            <w:r>
              <w:rPr>
                <w:rFonts w:ascii="Times New Roman" w:hAnsi="Times New Roman" w:eastAsia="Times New Roman"/>
                <w:szCs w:val="24"/>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eastAsia="Times New Roman"/>
                <w:szCs w:val="24"/>
                <w:lang w:eastAsia="ru-RU"/>
              </w:rPr>
            </w:r>
            <w:r>
              <w:rPr>
                <w:rFonts w:ascii="Times New Roman" w:hAnsi="Times New Roman" w:eastAsia="Times New Roman"/>
                <w:szCs w:val="24"/>
                <w:lang w:eastAsia="ru-RU"/>
              </w:rPr>
            </w:r>
          </w:p>
          <w:p>
            <w:pPr>
              <w:pStyle w:val="1167"/>
              <w:jc w:val="both"/>
              <w:spacing w:after="0" w:line="240" w:lineRule="auto"/>
              <w:rPr>
                <w:rFonts w:ascii="Times New Roman" w:hAnsi="Times New Roman"/>
                <w:szCs w:val="24"/>
              </w:rPr>
            </w:pPr>
            <w:r>
              <w:rPr>
                <w:rFonts w:ascii="Times New Roman" w:hAnsi="Times New Roman"/>
                <w:szCs w:val="24"/>
              </w:rPr>
              <w:t xml:space="preserve">Комиссия устанавливается в абсолютном выражении (твердая денежная сумма).</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Комиссия не взимается в следующих случаях:</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szCs w:val="24"/>
              </w:rPr>
            </w:pPr>
            <w:r>
              <w:rPr>
                <w:rFonts w:ascii="Times New Roman" w:hAnsi="Times New Roman"/>
                <w:szCs w:val="24"/>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szCs w:val="24"/>
              </w:rPr>
            </w:r>
            <w:r>
              <w:rPr>
                <w:rFonts w:ascii="Times New Roman" w:hAnsi="Times New Roman"/>
                <w:szCs w:val="24"/>
              </w:rPr>
            </w:r>
          </w:p>
          <w:p>
            <w:pPr>
              <w:pStyle w:val="1167"/>
              <w:jc w:val="both"/>
              <w:spacing w:after="0" w:line="240" w:lineRule="auto"/>
              <w:rPr>
                <w:rFonts w:ascii="Times New Roman" w:hAnsi="Times New Roman" w:eastAsia="Times New Roman"/>
                <w:b/>
                <w:bCs/>
                <w:lang w:eastAsia="ru-RU"/>
              </w:rPr>
            </w:pPr>
            <w:r>
              <w:rPr>
                <w:rFonts w:ascii="Times New Roman" w:hAnsi="Times New Roman"/>
                <w:szCs w:val="24"/>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67"/>
              <w:jc w:val="center"/>
              <w:tabs>
                <w:tab w:val="left" w:pos="709" w:leader="none"/>
              </w:tabs>
              <w:rPr>
                <w:rFonts w:ascii="Times New Roman" w:hAnsi="Times New Roman"/>
                <w:bCs/>
              </w:rPr>
            </w:pPr>
            <w:r>
              <w:rPr>
                <w:rFonts w:ascii="Times New Roman" w:hAnsi="Times New Roman"/>
                <w:bCs/>
              </w:rPr>
              <w:t xml:space="preserve">6.3.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гарантии, авизование изменения гарантии,</w:t>
            </w:r>
            <w:r>
              <w:rPr>
                <w:rFonts w:ascii="Times New Roman" w:hAnsi="Times New Roman"/>
                <w:bCs/>
              </w:rPr>
            </w:r>
            <w:r>
              <w:rPr>
                <w:rFonts w:ascii="Times New Roman" w:hAnsi="Times New Roman"/>
                <w:bCs/>
              </w:rPr>
            </w:r>
          </w:p>
          <w:p>
            <w:pPr>
              <w:pStyle w:val="1167"/>
              <w:jc w:val="both"/>
              <w:spacing w:after="0" w:line="240" w:lineRule="auto"/>
              <w:tabs>
                <w:tab w:val="left" w:pos="709" w:leader="none"/>
              </w:tabs>
              <w:rPr>
                <w:rFonts w:ascii="Times New Roman" w:hAnsi="Times New Roman"/>
                <w:bCs/>
              </w:rPr>
            </w:pPr>
            <w:r>
              <w:rPr>
                <w:rFonts w:ascii="Times New Roman" w:hAnsi="Times New Roman"/>
                <w:bCs/>
              </w:rPr>
              <w:t xml:space="preserve">связанного с увеличением</w:t>
            </w:r>
            <w:r>
              <w:rPr>
                <w:rFonts w:ascii="Times New Roman" w:hAnsi="Times New Roman"/>
                <w:bCs/>
              </w:rPr>
            </w:r>
            <w:r>
              <w:rPr>
                <w:rFonts w:ascii="Times New Roman" w:hAnsi="Times New Roman"/>
                <w:bCs/>
              </w:rPr>
            </w:r>
          </w:p>
          <w:p>
            <w:pPr>
              <w:pStyle w:val="1167"/>
              <w:jc w:val="both"/>
              <w:spacing w:after="0" w:line="240" w:lineRule="auto"/>
              <w:tabs>
                <w:tab w:val="left" w:pos="709" w:leader="none"/>
              </w:tabs>
              <w:rPr>
                <w:rFonts w:ascii="Times New Roman" w:hAnsi="Times New Roman"/>
                <w:bCs/>
              </w:rPr>
            </w:pPr>
            <w:r>
              <w:rPr>
                <w:rFonts w:ascii="Times New Roman" w:hAnsi="Times New Roman"/>
                <w:bCs/>
              </w:rPr>
              <w:t xml:space="preserve">ее суммы,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spacing w:after="0" w:line="240" w:lineRule="auto"/>
              <w:tabs>
                <w:tab w:val="left" w:pos="709" w:leader="none"/>
              </w:tabs>
              <w:rPr>
                <w:rFonts w:ascii="Times New Roman" w:hAnsi="Times New Roman"/>
                <w:bCs/>
              </w:rPr>
            </w:pPr>
            <w:r>
              <w:rPr>
                <w:rFonts w:ascii="Times New Roman" w:hAnsi="Times New Roman"/>
                <w:bCs/>
              </w:rPr>
              <w:t xml:space="preserve">0,1% от суммы гарантии или ее увеличения,</w:t>
            </w:r>
            <w:r>
              <w:rPr>
                <w:rFonts w:ascii="Times New Roman" w:hAnsi="Times New Roman"/>
                <w:bCs/>
              </w:rPr>
            </w:r>
            <w:r>
              <w:rPr>
                <w:rFonts w:ascii="Times New Roman" w:hAnsi="Times New Roman"/>
                <w:bCs/>
              </w:rPr>
            </w:r>
          </w:p>
          <w:p>
            <w:pPr>
              <w:pStyle w:val="1167"/>
              <w:jc w:val="center"/>
              <w:spacing w:after="0" w:line="240" w:lineRule="auto"/>
              <w:tabs>
                <w:tab w:val="left" w:pos="709" w:leader="none"/>
              </w:tabs>
              <w:rPr>
                <w:rFonts w:ascii="Times New Roman" w:hAnsi="Times New Roman"/>
                <w:bCs/>
              </w:rPr>
            </w:pPr>
            <w:r>
              <w:rPr>
                <w:rFonts w:ascii="Times New Roman" w:hAnsi="Times New Roman"/>
                <w:bCs/>
              </w:rPr>
              <w:t xml:space="preserve">мин. 55 евро, </w:t>
            </w:r>
            <w:r>
              <w:rPr>
                <w:rFonts w:ascii="Times New Roman" w:hAnsi="Times New Roman"/>
                <w:bCs/>
              </w:rPr>
            </w:r>
            <w:r>
              <w:rPr>
                <w:rFonts w:ascii="Times New Roman" w:hAnsi="Times New Roman"/>
                <w:bCs/>
              </w:rPr>
            </w:r>
          </w:p>
          <w:p>
            <w:pPr>
              <w:pStyle w:val="1167"/>
              <w:jc w:val="center"/>
              <w:spacing w:after="0" w:line="240" w:lineRule="auto"/>
              <w:tabs>
                <w:tab w:val="left" w:pos="709" w:leader="none"/>
              </w:tabs>
              <w:rPr>
                <w:rFonts w:ascii="Times New Roman" w:hAnsi="Times New Roman"/>
                <w:bCs/>
              </w:rPr>
            </w:pPr>
            <w:r>
              <w:rPr>
                <w:rFonts w:ascii="Times New Roman" w:hAnsi="Times New Roman"/>
                <w:bCs/>
              </w:rPr>
              <w:t xml:space="preserve">макс. 305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67"/>
              <w:jc w:val="center"/>
              <w:tabs>
                <w:tab w:val="left" w:pos="709" w:leader="none"/>
              </w:tabs>
              <w:rPr>
                <w:rFonts w:ascii="Times New Roman" w:hAnsi="Times New Roman"/>
                <w:b/>
                <w:bCs/>
              </w:rPr>
            </w:pPr>
            <w:r>
              <w:rPr>
                <w:rFonts w:ascii="Times New Roman" w:hAnsi="Times New Roman"/>
                <w:bCs/>
              </w:rPr>
              <w:t xml:space="preserve">6.4.</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after="0" w:line="240" w:lineRule="auto"/>
              <w:tabs>
                <w:tab w:val="left" w:pos="709" w:leader="none"/>
              </w:tabs>
              <w:rPr>
                <w:rFonts w:ascii="Times New Roman" w:hAnsi="Times New Roman"/>
                <w:bCs/>
              </w:rPr>
            </w:pPr>
            <w:r>
              <w:rPr>
                <w:rFonts w:ascii="Times New Roman" w:hAnsi="Times New Roman"/>
                <w:bCs/>
              </w:rPr>
              <w:t xml:space="preserve">Авизование изменения гарантии, не связанного с</w:t>
            </w:r>
            <w:r>
              <w:rPr>
                <w:rFonts w:ascii="Times New Roman" w:hAnsi="Times New Roman"/>
                <w:bCs/>
              </w:rPr>
            </w:r>
            <w:r>
              <w:rPr>
                <w:rFonts w:ascii="Times New Roman" w:hAnsi="Times New Roman"/>
                <w:bCs/>
              </w:rPr>
            </w:r>
          </w:p>
          <w:p>
            <w:pPr>
              <w:pStyle w:val="1167"/>
              <w:jc w:val="both"/>
              <w:spacing w:after="0" w:line="240" w:lineRule="auto"/>
              <w:tabs>
                <w:tab w:val="left" w:pos="709" w:leader="none"/>
              </w:tabs>
              <w:rPr>
                <w:rFonts w:ascii="Times New Roman" w:hAnsi="Times New Roman"/>
                <w:bCs/>
              </w:rPr>
            </w:pPr>
            <w:r>
              <w:rPr>
                <w:rFonts w:ascii="Times New Roman" w:hAnsi="Times New Roman"/>
                <w:bCs/>
              </w:rPr>
              <w:t xml:space="preserve">увеличением ее суммы/</w:t>
            </w:r>
            <w:r>
              <w:rPr>
                <w:rFonts w:ascii="Times New Roman" w:hAnsi="Times New Roman"/>
                <w:bCs/>
              </w:rPr>
            </w:r>
            <w:r>
              <w:rPr>
                <w:rFonts w:ascii="Times New Roman" w:hAnsi="Times New Roman"/>
                <w:bCs/>
              </w:rPr>
            </w:r>
          </w:p>
          <w:p>
            <w:pPr>
              <w:pStyle w:val="1167"/>
              <w:jc w:val="both"/>
              <w:spacing w:after="0" w:line="240" w:lineRule="auto"/>
              <w:tabs>
                <w:tab w:val="left" w:pos="709" w:leader="none"/>
              </w:tabs>
              <w:rPr>
                <w:rFonts w:ascii="Times New Roman" w:hAnsi="Times New Roman"/>
              </w:rPr>
            </w:pPr>
            <w:r>
              <w:rPr>
                <w:rFonts w:ascii="Times New Roman" w:hAnsi="Times New Roman"/>
                <w:bCs/>
              </w:rPr>
              <w:t xml:space="preserve">авизование запроса на аннуляцию гарантии/авизование сообщения по гарантии без обязательств со стороны АО «Россельхозбанк»</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tabs>
                <w:tab w:val="left" w:pos="709" w:leader="none"/>
              </w:tabs>
              <w:rPr>
                <w:rFonts w:ascii="Times New Roman" w:hAnsi="Times New Roman"/>
              </w:rPr>
            </w:pPr>
            <w:r>
              <w:rPr>
                <w:rFonts w:ascii="Times New Roman" w:hAnsi="Times New Roman"/>
              </w:rPr>
              <w:t xml:space="preserve">55 евро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67"/>
              <w:jc w:val="center"/>
              <w:tabs>
                <w:tab w:val="left" w:pos="709" w:leader="none"/>
              </w:tabs>
              <w:rPr>
                <w:rFonts w:ascii="Times New Roman" w:hAnsi="Times New Roman"/>
                <w:b/>
                <w:bCs/>
              </w:rPr>
            </w:pPr>
            <w:r>
              <w:rPr>
                <w:rFonts w:ascii="Times New Roman" w:hAnsi="Times New Roman"/>
                <w:bCs/>
              </w:rPr>
              <w:t xml:space="preserve">6.5.</w:t>
            </w:r>
            <w:r>
              <w:rPr>
                <w:rFonts w:ascii="Times New Roman" w:hAnsi="Times New Roman"/>
                <w:b/>
                <w:bCs/>
              </w:rPr>
            </w:r>
            <w:r>
              <w:rPr>
                <w:rFonts w:ascii="Times New Roman" w:hAnsi="Times New Roman"/>
                <w:b/>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spacing w:line="240" w:lineRule="auto"/>
              <w:tabs>
                <w:tab w:val="left" w:pos="709" w:leader="none"/>
              </w:tabs>
              <w:rPr>
                <w:rFonts w:ascii="Times New Roman" w:hAnsi="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67"/>
              <w:jc w:val="center"/>
              <w:tabs>
                <w:tab w:val="left" w:pos="709" w:leader="none"/>
              </w:tabs>
              <w:rPr>
                <w:rFonts w:ascii="Times New Roman" w:hAnsi="Times New Roman"/>
                <w:bCs/>
              </w:rPr>
            </w:pPr>
            <w:r>
              <w:rPr>
                <w:rFonts w:ascii="Times New Roman" w:hAnsi="Times New Roman"/>
                <w:bCs/>
              </w:rPr>
              <w:t xml:space="preserve">6.6.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line="240" w:lineRule="auto"/>
              <w:tabs>
                <w:tab w:val="left" w:pos="709" w:leader="none"/>
              </w:tabs>
              <w:rPr>
                <w:rFonts w:ascii="Times New Roman" w:hAnsi="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tabs>
                <w:tab w:val="left" w:pos="709" w:leader="none"/>
              </w:tabs>
              <w:rPr>
                <w:rFonts w:ascii="Times New Roman" w:hAnsi="Times New Roman"/>
                <w:bCs/>
              </w:rPr>
            </w:pPr>
            <w:r>
              <w:rPr>
                <w:rFonts w:ascii="Times New Roman" w:hAnsi="Times New Roman"/>
                <w:bCs/>
              </w:rPr>
              <w:t xml:space="preserve">55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67"/>
              <w:jc w:val="center"/>
              <w:tabs>
                <w:tab w:val="left" w:pos="709" w:leader="none"/>
              </w:tabs>
              <w:rPr>
                <w:rFonts w:ascii="Times New Roman" w:hAnsi="Times New Roman"/>
                <w:bCs/>
              </w:rPr>
            </w:pPr>
            <w:r>
              <w:rPr>
                <w:rFonts w:ascii="Times New Roman" w:hAnsi="Times New Roman"/>
                <w:bCs/>
              </w:rPr>
              <w:t xml:space="preserve">6.7.</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08" w:type="dxa"/>
            <w:vAlign w:val="top"/>
            <w:textDirection w:val="lrTb"/>
            <w:noWrap w:val="false"/>
          </w:tcPr>
          <w:p>
            <w:pPr>
              <w:pStyle w:val="1167"/>
              <w:jc w:val="both"/>
              <w:spacing w:line="240" w:lineRule="auto"/>
              <w:tabs>
                <w:tab w:val="left" w:pos="709" w:leader="none"/>
              </w:tabs>
              <w:rPr>
                <w:rFonts w:ascii="Times New Roman" w:hAnsi="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67"/>
              <w:jc w:val="center"/>
              <w:tabs>
                <w:tab w:val="left" w:pos="709" w:leader="none"/>
              </w:tabs>
              <w:rPr>
                <w:rFonts w:ascii="Times New Roman" w:hAnsi="Times New Roman"/>
                <w:bCs/>
              </w:rPr>
            </w:pPr>
            <w:r>
              <w:rPr>
                <w:rFonts w:ascii="Times New Roman" w:hAnsi="Times New Roman"/>
                <w:bCs/>
              </w:rPr>
              <w:t xml:space="preserve">105 евро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167"/>
              <w:tabs>
                <w:tab w:val="left" w:pos="709" w:leader="none"/>
              </w:tabs>
              <w:rPr>
                <w:rFonts w:ascii="Times New Roman" w:hAnsi="Times New Roman"/>
                <w:iCs/>
              </w:rPr>
            </w:pPr>
            <w:r>
              <w:rPr>
                <w:rFonts w:ascii="Times New Roman" w:hAnsi="Times New Roman"/>
                <w:iCs/>
              </w:rPr>
              <w:t xml:space="preserve">Комиссия включает НДС»</w:t>
            </w:r>
            <w:r>
              <w:rPr>
                <w:rFonts w:ascii="Times New Roman" w:hAnsi="Times New Roman"/>
                <w:iCs/>
              </w:rPr>
            </w:r>
            <w:r>
              <w:rPr>
                <w:rFonts w:ascii="Times New Roman" w:hAnsi="Times New Roman"/>
                <w:iCs/>
              </w:rPr>
            </w:r>
          </w:p>
        </w:tc>
      </w:tr>
    </w:tbl>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Примечание к пунктам 6.3-6.7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комиссионное вознаграждение, рассчитанное исходя из минимального или максимального значения Тарифов, начисляется в валюте Тарифов (в евро).</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rFonts w:ascii="Times New Roman" w:hAnsi="Times New Roman" w:eastAsia="Times New Roman"/>
          <w:bCs/>
          <w:iCs/>
          <w:sz w:val="20"/>
          <w:szCs w:val="20"/>
          <w:lang w:eastAsia="ru-RU"/>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Если уплата комиссионного вознаграждения Банка, начисленного в валюте Тарифов (в е</w:t>
      </w:r>
      <w:r>
        <w:rPr>
          <w:rFonts w:ascii="Times New Roman" w:hAnsi="Times New Roman" w:eastAsia="Times New Roman"/>
          <w:bCs/>
          <w:iCs/>
          <w:sz w:val="20"/>
          <w:szCs w:val="20"/>
          <w:lang w:eastAsia="ru-RU"/>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Размер комиссионного вознаграждения, отличный от установленного в Тарифах, определяется на основании отдельного соглашения.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ab/>
        <w:t xml:space="preserve">Комиссионное вознаграждение, уплаченное Банку за оказание услуг (кроме ошибочно удержанных), возврату не подлежит.</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79"/>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keepNext/>
        <w:spacing w:before="120" w:after="120" w:line="240" w:lineRule="auto"/>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910"/>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910"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351"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center"/>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910"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Якутску</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351" w:type="dxa"/>
            <w:vAlign w:val="top"/>
            <w:textDirection w:val="lrTb"/>
            <w:noWrap w:val="false"/>
          </w:tcPr>
          <w:p>
            <w:pPr>
              <w:pStyle w:val="116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w:t>
            </w:r>
            <w:r>
              <w:rPr>
                <w:rFonts w:ascii="Times New Roman" w:hAnsi="Times New Roman" w:eastAsia="Times New Roman"/>
                <w:bCs/>
                <w:lang w:eastAsia="ru-RU"/>
              </w:rPr>
              <w:t xml:space="preserve">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«Банк-Клиент»/«Интернет-Клиент»/«Свой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Саха (Якутия)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2351" w:type="dxa"/>
            <w:vAlign w:val="center"/>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910" w:type="dxa"/>
            <w:vAlign w:val="top"/>
            <w:textDirection w:val="lrTb"/>
            <w:noWrap w:val="false"/>
          </w:tcPr>
          <w:p>
            <w:pPr>
              <w:pStyle w:val="1167"/>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tcBorders>
              <w:bottom w:val="none" w:color="000000" w:sz="4" w:space="0"/>
            </w:tcBorders>
            <w:tcW w:w="2351" w:type="dxa"/>
            <w:vAlign w:val="top"/>
            <w:textDirection w:val="lrTb"/>
            <w:noWrap w:val="false"/>
          </w:tcPr>
          <w:p>
            <w:pPr>
              <w:pStyle w:val="1167"/>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lang w:val="en-U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счетов данного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пользовании клиентом услуг Банка по п.п. 7.3.2-7.3.3 комиссия по п. 7.3.1 Банком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Мобильного приложения «Свой Бизнес Мобайл» возможно только при условии подключения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После выполнения обязательств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в полном объеме, комиссия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910" w:type="dxa"/>
            <w:vAlign w:val="top"/>
            <w:textDirection w:val="lrTb"/>
            <w:noWrap w:val="false"/>
          </w:tcPr>
          <w:p>
            <w:pPr>
              <w:pStyle w:val="1167"/>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p>
            <w:pPr>
              <w:pStyle w:val="1167"/>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p>
            <w:pPr>
              <w:pStyle w:val="1167"/>
              <w:numPr>
                <w:ilvl w:val="0"/>
                <w:numId w:val="3"/>
              </w:numPr>
              <w:ind w:hanging="838"/>
              <w:jc w:val="both"/>
              <w:spacing w:before="40" w:after="40" w:line="240" w:lineRule="auto"/>
              <w:tabs>
                <w:tab w:val="num" w:pos="306"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tcBorders>
              <w:top w:val="none" w:color="000000" w:sz="4" w:space="0"/>
              <w:bottom w:val="none" w:color="000000" w:sz="4" w:space="0"/>
            </w:tcBorders>
            <w:tcW w:w="2351" w:type="dxa"/>
            <w:vAlign w:val="top"/>
            <w:textDirection w:val="lrTb"/>
            <w:noWrap w:val="false"/>
          </w:tcPr>
          <w:p>
            <w:pPr>
              <w:pStyle w:val="1167"/>
              <w:jc w:val="center"/>
              <w:spacing w:before="40" w:after="40" w:line="240" w:lineRule="auto"/>
              <w:rPr>
                <w:rFonts w:ascii="Times New Roman" w:hAnsi="Times New Roman"/>
                <w:bCs/>
              </w:rPr>
            </w:pPr>
            <w:r>
              <w:rPr>
                <w:rFonts w:ascii="Times New Roman" w:hAnsi="Times New Roman"/>
                <w:bCs/>
              </w:rPr>
              <w:t xml:space="preserve">900 руб. в месяц </w:t>
            </w:r>
            <w:r>
              <w:rPr>
                <w:rFonts w:ascii="Times New Roman" w:hAnsi="Times New Roman"/>
                <w:bCs/>
              </w:rPr>
            </w:r>
            <w:r>
              <w:rPr>
                <w:rFonts w:ascii="Times New Roman" w:hAnsi="Times New Roman"/>
                <w:bCs/>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67"/>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«Интернет-Клиент»/«Свой бизнес», являющихся садоводческими или огородническими некоммерческими товариществами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Федеральным законом от 29.07.2017 № 217-ФЗ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веден</w:t>
            </w:r>
            <w:r>
              <w:rPr>
                <w:rFonts w:ascii="Times New Roman" w:hAnsi="Times New Roman" w:eastAsia="Times New Roman"/>
                <w:bCs/>
                <w:lang w:eastAsia="ru-RU"/>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имеющих обязательства перед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кредитным сделкам*,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отношении которых введена любая из процедур, применяемых в деле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банкротстве в соответствии с Федеральным законом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26.10.2002 № 127-ФЗ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67"/>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67"/>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в месяц 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67"/>
              <w:numPr>
                <w:ilvl w:val="0"/>
                <w:numId w:val="3"/>
              </w:numPr>
              <w:ind w:hanging="7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189"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910"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3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67"/>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67"/>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910"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«Интернет-Клиент»/«Свой Бизнес».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910"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tcBorders>
              <w:top w:val="single" w:color="000000" w:sz="4" w:space="0"/>
            </w:tcBorders>
            <w:tcW w:w="2351"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67"/>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67"/>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910" w:type="dxa"/>
            <w:vAlign w:val="top"/>
            <w:textDirection w:val="lrTb"/>
            <w:noWrap w:val="false"/>
          </w:tcPr>
          <w:p>
            <w:pPr>
              <w:pStyle w:val="1167"/>
              <w:jc w:val="both"/>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постоянных сертификатов ключей проверки электронной подписи на ключевом носителе Банка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rPr>
                <w:rFonts w:ascii="Times New Roman" w:hAnsi="Times New Roman" w:eastAsia="Times New Roman"/>
                <w:bCs/>
                <w:lang w:eastAsia="ru-RU"/>
              </w:rPr>
            </w:pPr>
            <w:r>
              <w:rPr>
                <w:rFonts w:ascii="Times New Roman" w:hAnsi="Times New Roman" w:eastAsia="Times New Roman"/>
                <w:bCs/>
                <w:lang w:eastAsia="ru-RU"/>
              </w:rPr>
              <w:t xml:space="preserve">- для клиентов, являющихся </w:t>
            </w:r>
            <w:r>
              <w:rPr>
                <w:rFonts w:ascii="Times New Roman" w:hAnsi="Times New Roman" w:eastAsia="Times New Roman"/>
                <w:bCs/>
                <w:lang w:eastAsia="ru-RU"/>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eastAsia="Times New Roman"/>
                <w:bCs/>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bottom w:val="none" w:color="000000" w:sz="4" w:space="0"/>
            </w:tcBorders>
            <w:tcW w:w="235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vMerge w:val="restart"/>
            <w:textDirection w:val="lrTb"/>
            <w:noWrap w:val="false"/>
          </w:tcPr>
          <w:p>
            <w:pPr>
              <w:pStyle w:val="1167"/>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«Интернет-Клиент»/«Свой Бизнес»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910"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35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351" w:type="dxa"/>
            <w:vAlign w:val="top"/>
            <w:textDirection w:val="lrTb"/>
            <w:noWrap w:val="false"/>
          </w:tcPr>
          <w:p>
            <w:pPr>
              <w:pStyle w:val="1167"/>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tabs>
                <w:tab w:val="left" w:pos="981" w:leader="none"/>
                <w:tab w:val="left" w:pos="1131"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92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п.7.6.1</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7.7.</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Доступ к сервису проверки контрагентов</w:t>
            </w:r>
            <w:r>
              <w:rPr>
                <w:rFonts w:ascii="Times New Roman" w:hAnsi="Times New Roman" w:eastAsia="Times New Roman"/>
                <w:bCs/>
                <w:lang w:eastAsia="ru-RU"/>
              </w:rPr>
            </w:r>
            <w:r>
              <w:rPr>
                <w:rFonts w:ascii="Times New Roman" w:hAnsi="Times New Roman" w:eastAsia="Times New Roman"/>
                <w:bCs/>
                <w:lang w:eastAsia="ru-RU"/>
              </w:rPr>
            </w:r>
          </w:p>
        </w:tc>
        <w:tc>
          <w:tcPr>
            <w:tcW w:w="2351"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290 руб.</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при подключении услуги и далее ежемесячно в первый рабочий день месяца.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доступна в «Интернет-Клиент», «Мобильный банк», «Свой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неполный месяц обслуживания плата взимается в размере установленного тарифа.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910" w:type="dxa"/>
            <w:vAlign w:val="top"/>
            <w:textDirection w:val="lrTb"/>
            <w:noWrap w:val="false"/>
          </w:tcPr>
          <w:p>
            <w:pPr>
              <w:pStyle w:val="1167"/>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tcW w:w="2351" w:type="dxa"/>
            <w:vAlign w:val="top"/>
            <w:textDirection w:val="lrTb"/>
            <w:noWrap w:val="false"/>
          </w:tcPr>
          <w:p>
            <w:pPr>
              <w:pStyle w:val="1167"/>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67"/>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67"/>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gridSpan w:val="3"/>
            <w:tcW w:w="9189" w:type="dxa"/>
            <w:vAlign w:val="center"/>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167"/>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bottom w:val="single" w:color="000000" w:sz="4" w:space="0"/>
            </w:tcBorders>
            <w:tcW w:w="2910"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tc>
        <w:tc>
          <w:tcPr>
            <w:tcBorders>
              <w:bottom w:val="single" w:color="000000" w:sz="4" w:space="0"/>
            </w:tcBorders>
            <w:tcW w:w="2351"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167"/>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67"/>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67"/>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r>
            <w:r>
              <w:rPr>
                <w:rFonts w:ascii="Times New Roman" w:hAnsi="Times New Roman"/>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7.10.</w:t>
            </w:r>
            <w:r>
              <w:rPr>
                <w:rFonts w:ascii="Times New Roman" w:hAnsi="Times New Roman"/>
                <w:sz w:val="22"/>
                <w:szCs w:val="22"/>
              </w:rPr>
            </w:r>
            <w:r>
              <w:rPr>
                <w:rFonts w:ascii="Times New Roman" w:hAnsi="Times New Roman"/>
                <w:sz w:val="22"/>
                <w:szCs w:val="22"/>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2"/>
                <w:szCs w:val="22"/>
              </w:rPr>
              <w:t xml:space="preserve">Комиссионное вознаграждение (абонентская плата) за предоставление услуги </w:t>
            </w:r>
            <w:r>
              <w:rPr>
                <w:rFonts w:ascii="Times New Roman" w:hAnsi="Times New Roman"/>
                <w:sz w:val="22"/>
                <w:szCs w:val="22"/>
              </w:rPr>
              <w:t xml:space="preserve">«Контроль за платежами.Акцепт»</w:t>
            </w:r>
            <w:r>
              <w:rPr>
                <w:rFonts w:ascii="Times New Roman" w:hAnsi="Times New Roman"/>
                <w:sz w:val="22"/>
                <w:szCs w:val="22"/>
              </w:rPr>
            </w:r>
            <w:r>
              <w:rPr>
                <w:rFonts w:ascii="Times New Roman" w:hAnsi="Times New Roman"/>
                <w:sz w:val="22"/>
                <w:szCs w:val="22"/>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1 000 руб. </w:t>
            </w:r>
            <w:r>
              <w:rPr>
                <w:rFonts w:ascii="Times New Roman" w:hAnsi="Times New Roman"/>
                <w:sz w:val="22"/>
                <w:szCs w:val="22"/>
              </w:rPr>
              <w:t xml:space="preserve">в месяц</w:t>
            </w:r>
            <w:r>
              <w:rPr>
                <w:rFonts w:ascii="Times New Roman" w:hAnsi="Times New Roman"/>
                <w:sz w:val="22"/>
                <w:szCs w:val="22"/>
              </w:rPr>
              <w:t xml:space="preserve">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2"/>
                <w:szCs w:val="22"/>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2"/>
                <w:szCs w:val="22"/>
                <w:highlight w:val="none"/>
                <w:lang w:eastAsia="ru-RU"/>
              </w:rPr>
              <w:t xml:space="preserve">Услуга предоставляется </w:t>
            </w:r>
            <w:r>
              <w:rPr>
                <w:rFonts w:ascii="Times New Roman" w:hAnsi="Times New Roman" w:eastAsia="Times New Roman"/>
                <w:bCs/>
                <w:sz w:val="22"/>
                <w:szCs w:val="22"/>
                <w:highlight w:val="none"/>
                <w:lang w:eastAsia="ru-RU"/>
              </w:rPr>
              <w:t xml:space="preserve">Контролирующей организации.</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2"/>
                <w:szCs w:val="22"/>
                <w:highlight w:val="none"/>
              </w:rPr>
              <w:t xml:space="preserve">Комиссия взимается за каждый банковский счет/ транзитный валютный счет </w:t>
            </w:r>
            <w:r>
              <w:rPr>
                <w:rFonts w:ascii="Times New Roman" w:hAnsi="Times New Roman"/>
                <w:sz w:val="22"/>
                <w:szCs w:val="22"/>
                <w:highlight w:val="none"/>
              </w:rPr>
              <w:t xml:space="preserve">Контролируемой организации</w:t>
            </w:r>
            <w:r>
              <w:rPr>
                <w:rFonts w:ascii="Times New Roman" w:hAnsi="Times New Roman"/>
                <w:sz w:val="22"/>
                <w:szCs w:val="22"/>
                <w:highlight w:val="none"/>
              </w:rPr>
              <w:t xml:space="preserve">, </w:t>
            </w:r>
            <w:r>
              <w:rPr>
                <w:rFonts w:ascii="Times New Roman" w:hAnsi="Times New Roman"/>
                <w:sz w:val="22"/>
                <w:szCs w:val="22"/>
                <w:highlight w:val="none"/>
              </w:rPr>
              <w:t xml:space="preserve">по которому Контролирующей организации предоставляется услуга.</w:t>
            </w:r>
            <w:r>
              <w:rPr>
                <w:rFonts w:ascii="Times New Roman" w:hAnsi="Times New Roman"/>
                <w:sz w:val="22"/>
                <w:szCs w:val="22"/>
                <w:highlight w:val="none"/>
              </w:rPr>
              <w:t xml:space="preserve"> </w:t>
            </w:r>
            <w:r>
              <w:rPr>
                <w:rFonts w:ascii="Times New Roman" w:hAnsi="Times New Roman"/>
                <w:sz w:val="22"/>
                <w:szCs w:val="22"/>
                <w:highlight w:val="none"/>
              </w:rPr>
              <w:t xml:space="preserve">Расчетным периодом (месяцем) является календарный месяц. </w:t>
            </w:r>
            <w:r>
              <w:rPr>
                <w:rFonts w:ascii="Times New Roman" w:hAnsi="Times New Roman"/>
                <w:sz w:val="22"/>
                <w:szCs w:val="22"/>
                <w:highlight w:val="none"/>
              </w:rPr>
              <w:t xml:space="preserve">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месяца единой </w:t>
            </w:r>
            <w:r>
              <w:rPr>
                <w:rFonts w:ascii="Times New Roman" w:hAnsi="Times New Roman" w:eastAsia="Times New Roman"/>
                <w:bCs/>
                <w:sz w:val="22"/>
                <w:szCs w:val="22"/>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lang w:eastAsia="ru-RU"/>
              </w:rPr>
              <w:t xml:space="preserve">такого банковского счета/ транзитного валютного счета </w:t>
            </w:r>
            <w:r>
              <w:rPr>
                <w:rFonts w:ascii="Times New Roman" w:hAnsi="Times New Roman" w:eastAsia="Times New Roman"/>
                <w:bCs/>
                <w:sz w:val="22"/>
                <w:szCs w:val="22"/>
                <w:lang w:eastAsia="ru-RU"/>
              </w:rPr>
              <w:t xml:space="preserve">Контролируем</w:t>
            </w:r>
            <w:r>
              <w:rPr>
                <w:rFonts w:ascii="Times New Roman" w:hAnsi="Times New Roman" w:eastAsia="Times New Roman"/>
                <w:bCs/>
                <w:sz w:val="22"/>
                <w:szCs w:val="22"/>
                <w:lang w:eastAsia="ru-RU"/>
              </w:rPr>
              <w:t xml:space="preserve">ой</w:t>
            </w:r>
            <w:r>
              <w:rPr>
                <w:rFonts w:ascii="Times New Roman" w:hAnsi="Times New Roman" w:eastAsia="Times New Roman"/>
                <w:bCs/>
                <w:sz w:val="22"/>
                <w:szCs w:val="22"/>
                <w:lang w:eastAsia="ru-RU"/>
              </w:rPr>
              <w:t xml:space="preserve"> организаци</w:t>
            </w:r>
            <w:r>
              <w:rPr>
                <w:rFonts w:ascii="Times New Roman" w:hAnsi="Times New Roman" w:eastAsia="Times New Roman"/>
                <w:bCs/>
                <w:sz w:val="22"/>
                <w:szCs w:val="22"/>
                <w:lang w:eastAsia="ru-RU"/>
              </w:rPr>
              <w:t xml:space="preserve">и</w:t>
            </w:r>
            <w:r>
              <w:rPr>
                <w:rFonts w:ascii="Times New Roman" w:hAnsi="Times New Roman" w:eastAsia="Times New Roman"/>
                <w:bCs/>
                <w:sz w:val="22"/>
                <w:szCs w:val="22"/>
                <w:lang w:eastAsia="ru-RU"/>
              </w:rPr>
              <w:t xml:space="preserve">.</w:t>
            </w:r>
            <w:r>
              <w:rPr>
                <w:rFonts w:ascii="Times New Roman" w:hAnsi="Times New Roman" w:eastAsia="Times New Roman"/>
                <w:sz w:val="22"/>
                <w:szCs w:val="22"/>
                <w:highlight w:val="none"/>
              </w:rPr>
            </w:r>
            <w:r>
              <w:rPr>
                <w:rFonts w:ascii="Times New Roman" w:hAnsi="Times New Roman" w:eastAsia="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highlight w:val="none"/>
              </w:rPr>
              <w:t xml:space="preserve">Комиссия </w:t>
            </w:r>
            <w:r>
              <w:rPr>
                <w:rFonts w:ascii="Times New Roman" w:hAnsi="Times New Roman"/>
                <w:sz w:val="22"/>
                <w:szCs w:val="22"/>
                <w:highlight w:val="none"/>
              </w:rPr>
              <w:t xml:space="preserve">является абонентской платой и </w:t>
            </w:r>
            <w:r>
              <w:rPr>
                <w:rFonts w:ascii="Times New Roman" w:hAnsi="Times New Roman"/>
                <w:sz w:val="22"/>
                <w:szCs w:val="22"/>
                <w:highlight w:val="none"/>
              </w:rPr>
              <w:t xml:space="preserve">взимается независимо от наличия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подключенн</w:t>
            </w:r>
            <w:r>
              <w:rPr>
                <w:rFonts w:ascii="Times New Roman" w:hAnsi="Times New Roman"/>
                <w:sz w:val="22"/>
                <w:szCs w:val="22"/>
                <w:highlight w:val="none"/>
              </w:rPr>
              <w:t xml:space="preserve">ому</w:t>
            </w:r>
            <w:r>
              <w:rPr>
                <w:rFonts w:ascii="Times New Roman" w:hAnsi="Times New Roman"/>
                <w:sz w:val="22"/>
                <w:szCs w:val="22"/>
                <w:highlight w:val="none"/>
              </w:rPr>
              <w:t xml:space="preserve"> к услуге (не пересчитывается/ не возмещается при отсутствии операций по банковск</w:t>
            </w:r>
            <w:r>
              <w:rPr>
                <w:rFonts w:ascii="Times New Roman" w:hAnsi="Times New Roman"/>
                <w:sz w:val="22"/>
                <w:szCs w:val="22"/>
                <w:highlight w:val="none"/>
              </w:rPr>
              <w:t xml:space="preserve">ому</w:t>
            </w:r>
            <w:r>
              <w:rPr>
                <w:rFonts w:ascii="Times New Roman" w:hAnsi="Times New Roman"/>
                <w:sz w:val="22"/>
                <w:szCs w:val="22"/>
                <w:highlight w:val="none"/>
              </w:rPr>
              <w:t xml:space="preserve"> счет</w:t>
            </w:r>
            <w:r>
              <w:rPr>
                <w:rFonts w:ascii="Times New Roman" w:hAnsi="Times New Roman"/>
                <w:sz w:val="22"/>
                <w:szCs w:val="22"/>
                <w:highlight w:val="none"/>
              </w:rPr>
              <w:t xml:space="preserve">у/ транзитному валютному счету</w:t>
            </w:r>
            <w:r>
              <w:rPr>
                <w:rFonts w:ascii="Times New Roman" w:hAnsi="Times New Roman"/>
                <w:sz w:val="22"/>
                <w:szCs w:val="22"/>
                <w:highlight w:val="none"/>
              </w:rPr>
              <w:t xml:space="preserve"> Контролируем</w:t>
            </w:r>
            <w:r>
              <w:rPr>
                <w:rFonts w:ascii="Times New Roman" w:hAnsi="Times New Roman"/>
                <w:sz w:val="22"/>
                <w:szCs w:val="22"/>
                <w:highlight w:val="none"/>
              </w:rPr>
              <w:t xml:space="preserve">ой</w:t>
            </w:r>
            <w:r>
              <w:rPr>
                <w:rFonts w:ascii="Times New Roman" w:hAnsi="Times New Roman"/>
                <w:sz w:val="22"/>
                <w:szCs w:val="22"/>
                <w:highlight w:val="none"/>
              </w:rPr>
              <w:t xml:space="preserve"> организаци</w:t>
            </w:r>
            <w:r>
              <w:rPr>
                <w:rFonts w:ascii="Times New Roman" w:hAnsi="Times New Roman"/>
                <w:sz w:val="22"/>
                <w:szCs w:val="22"/>
                <w:highlight w:val="none"/>
              </w:rPr>
              <w:t xml:space="preserve">и</w:t>
            </w:r>
            <w:r>
              <w:rPr>
                <w:rFonts w:ascii="Times New Roman" w:hAnsi="Times New Roman"/>
                <w:sz w:val="22"/>
                <w:szCs w:val="22"/>
                <w:highlight w:val="none"/>
              </w:rPr>
              <w:t xml:space="preserve">). </w:t>
            </w:r>
            <w:r>
              <w:rPr>
                <w:rFonts w:ascii="Times New Roman" w:hAnsi="Times New Roman"/>
                <w:sz w:val="22"/>
                <w:szCs w:val="22"/>
              </w:rPr>
            </w:r>
            <w:r>
              <w:rPr>
                <w:rFonts w:ascii="Times New Roman" w:hAnsi="Times New Roman"/>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r>
            <w:r>
              <w:rPr>
                <w:rFonts w:ascii="Times New Roman" w:hAnsi="Times New Roman"/>
                <w:sz w:val="22"/>
                <w:szCs w:val="22"/>
                <w:highlight w:val="none"/>
              </w:rPr>
              <w:t xml:space="preserve">В случае отключения услуги</w:t>
            </w:r>
            <w:r>
              <w:rPr>
                <w:rFonts w:ascii="Times New Roman" w:hAnsi="Times New Roman"/>
                <w:sz w:val="22"/>
                <w:szCs w:val="22"/>
                <w:highlight w:val="none"/>
              </w:rPr>
              <w:t xml:space="preserve"> комиссия </w:t>
            </w:r>
            <w:r>
              <w:rPr>
                <w:rFonts w:ascii="Times New Roman" w:hAnsi="Times New Roman"/>
                <w:sz w:val="22"/>
                <w:szCs w:val="22"/>
                <w:highlight w:val="none"/>
              </w:rPr>
              <w:t xml:space="preserve">за  календарный месяц, в котором отключается услуга, </w:t>
            </w:r>
            <w:r>
              <w:rPr>
                <w:rFonts w:ascii="Times New Roman" w:hAnsi="Times New Roman"/>
                <w:sz w:val="22"/>
                <w:szCs w:val="22"/>
                <w:highlight w:val="none"/>
              </w:rPr>
              <w:t xml:space="preserve">взимается пропорционально количеству рабочих дней </w:t>
            </w:r>
            <w:r>
              <w:rPr>
                <w:rFonts w:ascii="Times New Roman" w:hAnsi="Times New Roman"/>
                <w:sz w:val="22"/>
                <w:szCs w:val="22"/>
                <w:highlight w:val="none"/>
              </w:rPr>
              <w:t xml:space="preserve">предоставления</w:t>
            </w:r>
            <w:r>
              <w:rPr>
                <w:rFonts w:ascii="Times New Roman" w:hAnsi="Times New Roman"/>
                <w:sz w:val="22"/>
                <w:szCs w:val="22"/>
                <w:highlight w:val="none"/>
              </w:rPr>
              <w:t xml:space="preserve"> услуги в этом месяце</w:t>
            </w:r>
            <w:r>
              <w:rPr>
                <w:rFonts w:ascii="Times New Roman" w:hAnsi="Times New Roman"/>
                <w:sz w:val="22"/>
                <w:szCs w:val="22"/>
                <w:highlight w:val="none"/>
              </w:rPr>
              <w:t xml:space="preserve"> (включая день отключения услуги)</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w:t>
            </w:r>
            <w:r>
              <w:rPr>
                <w:rFonts w:ascii="Times New Roman" w:hAnsi="Times New Roman"/>
                <w:sz w:val="22"/>
                <w:szCs w:val="22"/>
                <w:highlight w:val="none"/>
              </w:rPr>
              <w:t xml:space="preserve">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w:t>
            </w:r>
            <w:r>
              <w:rPr>
                <w:rFonts w:ascii="Times New Roman" w:hAnsi="Times New Roman"/>
                <w:sz w:val="22"/>
                <w:szCs w:val="22"/>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none"/>
              </w:rPr>
              <w:t xml:space="preserve">.</w:t>
            </w:r>
            <w:r>
              <w:rPr>
                <w:rFonts w:ascii="Times New Roman" w:hAnsi="Times New Roman"/>
                <w:sz w:val="22"/>
                <w:szCs w:val="22"/>
                <w:highlight w:val="none"/>
              </w:rPr>
              <w:t xml:space="preserve"> </w:t>
            </w:r>
            <w:r>
              <w:rPr>
                <w:rFonts w:ascii="Times New Roman" w:hAnsi="Times New Roman"/>
                <w:sz w:val="22"/>
                <w:szCs w:val="22"/>
                <w:highlight w:val="none"/>
              </w:rPr>
              <w:t xml:space="preserve"> </w:t>
            </w:r>
            <w:r>
              <w:rPr>
                <w:rFonts w:ascii="Times New Roman" w:hAnsi="Times New Roman"/>
                <w:sz w:val="22"/>
                <w:szCs w:val="22"/>
                <w:highlight w:val="none"/>
              </w:rPr>
              <w:t xml:space="preserve">Услуга </w:t>
            </w:r>
            <w:r>
              <w:rPr>
                <w:rFonts w:ascii="Times New Roman" w:hAnsi="Times New Roman"/>
                <w:sz w:val="22"/>
                <w:szCs w:val="22"/>
                <w:highlight w:val="none"/>
              </w:rPr>
              <w:t xml:space="preserve">возобновляется  в дату оплаты Контролирующей организацией  начисленной комиссии</w:t>
            </w:r>
            <w:r>
              <w:rPr>
                <w:rFonts w:ascii="Times New Roman" w:hAnsi="Times New Roman"/>
                <w:sz w:val="22"/>
                <w:szCs w:val="22"/>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Комиссионное вознаграждение не взимается за </w:t>
            </w:r>
            <w:r>
              <w:rPr>
                <w:rFonts w:ascii="Times New Roman" w:hAnsi="Times New Roman"/>
                <w:sz w:val="22"/>
                <w:szCs w:val="22"/>
                <w:highlight w:val="none"/>
              </w:rPr>
              <w:t xml:space="preserve">расчетный месяц, в котором </w:t>
            </w:r>
            <w:r>
              <w:rPr>
                <w:rFonts w:ascii="Times New Roman" w:hAnsi="Times New Roman"/>
                <w:sz w:val="22"/>
                <w:szCs w:val="22"/>
                <w:highlight w:val="none"/>
              </w:rPr>
              <w:t xml:space="preserve">оказание услуги было приостановлено в течение всего месяца. </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2"/>
                <w:szCs w:val="22"/>
                <w:highlight w:val="none"/>
              </w:rPr>
            </w:r>
            <w:r>
              <w:rPr>
                <w:rFonts w:ascii="Times New Roman" w:hAnsi="Times New Roman"/>
                <w:sz w:val="22"/>
                <w:szCs w:val="22"/>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r>
            <w:r>
              <w:rPr>
                <w:rFonts w:ascii="Times New Roman" w:hAnsi="Times New Roman"/>
                <w:sz w:val="22"/>
                <w:szCs w:val="22"/>
              </w:rPr>
              <w:t xml:space="preserve">7.11.</w:t>
            </w:r>
            <w:r>
              <w:rPr>
                <w:rFonts w:ascii="Times New Roman" w:hAnsi="Times New Roman"/>
                <w:sz w:val="22"/>
                <w:szCs w:val="22"/>
              </w:rPr>
            </w:r>
            <w:r>
              <w:rPr>
                <w:rFonts w:ascii="Times New Roman" w:hAnsi="Times New Roman"/>
                <w:sz w:val="22"/>
                <w:szCs w:val="22"/>
              </w:rPr>
            </w:r>
          </w:p>
        </w:tc>
        <w:tc>
          <w:tcPr>
            <w:tcBorders>
              <w:bottom w:val="single" w:color="000000" w:sz="4" w:space="0"/>
            </w:tcBorders>
            <w:tcW w:w="2910"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2"/>
                <w:szCs w:val="22"/>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2"/>
                <w:szCs w:val="22"/>
                <w:highlight w:val="none"/>
              </w:rPr>
            </w:r>
            <w:r>
              <w:rPr>
                <w:rFonts w:ascii="Times New Roman" w:hAnsi="Times New Roman"/>
                <w:sz w:val="22"/>
                <w:szCs w:val="22"/>
                <w:highlight w:val="none"/>
              </w:rPr>
            </w:r>
          </w:p>
        </w:tc>
        <w:tc>
          <w:tcPr>
            <w:tcBorders>
              <w:bottom w:val="single" w:color="000000" w:sz="4" w:space="0"/>
            </w:tcBorders>
            <w:tcW w:w="2351"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2"/>
                <w:szCs w:val="22"/>
              </w:rPr>
              <w:t xml:space="preserve">600 руб. в месяц за каждый банковский счет/ транзитный валютный счет Контролируемой организации</w:t>
            </w:r>
            <w:r>
              <w:rPr>
                <w:rFonts w:ascii="Times New Roman" w:hAnsi="Times New Roman"/>
                <w:sz w:val="22"/>
                <w:szCs w:val="22"/>
              </w:rPr>
            </w:r>
            <w:r>
              <w:rPr>
                <w:rFonts w:ascii="Times New Roman" w:hAnsi="Times New Roman"/>
                <w:sz w:val="22"/>
                <w:szCs w:val="22"/>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предоставляется Контролирующей организации</w:t>
            </w:r>
            <w:r>
              <w:rPr>
                <w:rFonts w:ascii="Times New Roman" w:hAnsi="Times New Roman"/>
                <w:sz w:val="22"/>
                <w:szCs w:val="22"/>
                <w:highlight w:val="none"/>
              </w:rPr>
              <w:t xml:space="preserve">. Комиссия взимается за ка</w:t>
            </w:r>
            <w:r>
              <w:rPr>
                <w:rFonts w:ascii="Times New Roman" w:hAnsi="Times New Roman"/>
                <w:sz w:val="22"/>
                <w:szCs w:val="22"/>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lang w:eastAsia="ru-RU"/>
              </w:rPr>
              <w:t xml:space="preserve">лендарного </w:t>
            </w:r>
            <w:r>
              <w:rPr>
                <w:rFonts w:ascii="Times New Roman" w:hAnsi="Times New Roman" w:eastAsia="Times New Roman"/>
                <w:bCs/>
                <w:sz w:val="22"/>
                <w:szCs w:val="22"/>
                <w:lang w:eastAsia="ru-RU"/>
              </w:rPr>
              <w:t xml:space="preserve">месяца единой </w:t>
            </w:r>
            <w:r>
              <w:rPr>
                <w:rFonts w:ascii="Times New Roman" w:hAnsi="Times New Roman" w:eastAsia="Times New Roman"/>
                <w:bCs/>
                <w:sz w:val="22"/>
                <w:szCs w:val="22"/>
                <w:lang w:eastAsia="ru-RU"/>
              </w:rPr>
              <w:t xml:space="preserve">суммой (одним платежом) исходя из количества </w:t>
            </w:r>
            <w:r>
              <w:rPr>
                <w:rFonts w:ascii="Times New Roman" w:hAnsi="Times New Roman" w:eastAsia="Times New Roman"/>
                <w:bCs/>
                <w:sz w:val="22"/>
                <w:szCs w:val="22"/>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Комис</w:t>
            </w:r>
            <w:r>
              <w:rPr>
                <w:rFonts w:ascii="Times New Roman" w:hAnsi="Times New Roman"/>
                <w:sz w:val="22"/>
                <w:szCs w:val="22"/>
                <w:highlight w:val="none"/>
              </w:rPr>
              <w:t xml:space="preserve">сия является абонентской платой и взимается независимо от </w:t>
            </w:r>
            <w:r>
              <w:rPr>
                <w:rFonts w:ascii="Times New Roman" w:hAnsi="Times New Roman"/>
                <w:sz w:val="22"/>
                <w:szCs w:val="22"/>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2"/>
                <w:szCs w:val="22"/>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2"/>
                <w:szCs w:val="22"/>
              </w:rPr>
            </w:r>
            <w:r>
              <w:rPr>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2"/>
                <w:szCs w:val="22"/>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Предоставление услуги приостанавливается </w:t>
            </w:r>
            <w:r>
              <w:rPr>
                <w:rFonts w:ascii="Times New Roman" w:hAnsi="Times New Roman"/>
                <w:sz w:val="22"/>
                <w:szCs w:val="22"/>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non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none"/>
              </w:rPr>
              <w:t xml:space="preserve">чета и </w:t>
            </w:r>
            <w:r>
              <w:rPr>
                <w:rFonts w:ascii="Times New Roman" w:hAnsi="Times New Roman"/>
                <w:sz w:val="22"/>
                <w:szCs w:val="22"/>
                <w:highlight w:val="none"/>
              </w:rPr>
              <w:t xml:space="preserve">т</w:t>
            </w:r>
            <w:r>
              <w:rPr>
                <w:rFonts w:ascii="Times New Roman" w:hAnsi="Times New Roman"/>
                <w:sz w:val="22"/>
                <w:szCs w:val="22"/>
                <w:highlight w:val="none"/>
              </w:rPr>
              <w:t xml:space="preserve">ранзитные валютные счета </w:t>
            </w:r>
            <w:r>
              <w:rPr>
                <w:rFonts w:ascii="Times New Roman" w:hAnsi="Times New Roman"/>
                <w:sz w:val="22"/>
                <w:szCs w:val="22"/>
                <w:highlight w:val="none"/>
              </w:rPr>
              <w:t xml:space="preserve">Контролируемых организаций в полном объеме</w:t>
            </w:r>
            <w:r>
              <w:rPr>
                <w:rFonts w:ascii="Times New Roman" w:hAnsi="Times New Roman"/>
                <w:sz w:val="22"/>
                <w:szCs w:val="22"/>
                <w:highlight w:val="none"/>
              </w:rPr>
              <w:t xml:space="preserve">. Услуга приостанавливается </w:t>
            </w:r>
            <w:r>
              <w:rPr>
                <w:rFonts w:ascii="Times New Roman" w:hAnsi="Times New Roman"/>
                <w:sz w:val="22"/>
                <w:szCs w:val="22"/>
                <w:highlight w:val="none"/>
              </w:rPr>
              <w:t xml:space="preserve">в отношении всех банковск</w:t>
            </w:r>
            <w:r>
              <w:rPr>
                <w:rFonts w:ascii="Times New Roman" w:hAnsi="Times New Roman"/>
                <w:sz w:val="22"/>
                <w:szCs w:val="22"/>
                <w:highlight w:val="none"/>
              </w:rPr>
              <w:t xml:space="preserve">их счетов и транзитных вал</w:t>
            </w:r>
            <w:r>
              <w:rPr>
                <w:rFonts w:ascii="Times New Roman" w:hAnsi="Times New Roman"/>
                <w:sz w:val="22"/>
                <w:szCs w:val="22"/>
                <w:highlight w:val="none"/>
              </w:rPr>
              <w:t xml:space="preserve">ютных счет</w:t>
            </w:r>
            <w:r>
              <w:rPr>
                <w:rFonts w:ascii="Times New Roman" w:hAnsi="Times New Roman"/>
                <w:sz w:val="22"/>
                <w:szCs w:val="22"/>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none"/>
              </w:rPr>
              <w:t xml:space="preserve">.</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2"/>
                <w:szCs w:val="22"/>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2"/>
                <w:szCs w:val="22"/>
              </w:rPr>
            </w:r>
            <w:r>
              <w:rPr>
                <w:sz w:val="22"/>
                <w:szCs w:val="22"/>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none"/>
              </w:rPr>
              <w:t xml:space="preserve">я.</w:t>
            </w:r>
            <w:r>
              <w:rPr>
                <w:rFonts w:ascii="Times New Roman" w:hAnsi="Times New Roman"/>
                <w:sz w:val="22"/>
                <w:szCs w:val="22"/>
                <w:highlight w:val="none"/>
              </w:rPr>
            </w:r>
            <w:r>
              <w:rPr>
                <w:rFonts w:ascii="Times New Roman" w:hAnsi="Times New Roman"/>
                <w:sz w:val="22"/>
                <w:szCs w:val="22"/>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2"/>
                <w:szCs w:val="22"/>
                <w:highlight w:val="none"/>
              </w:rPr>
              <w:t xml:space="preserve">Услуга облагается НДС, сумма которого взимается дополнительно.</w:t>
            </w:r>
            <w:r>
              <w:rPr>
                <w:rFonts w:ascii="Times New Roman" w:hAnsi="Times New Roman"/>
                <w:sz w:val="22"/>
                <w:szCs w:val="22"/>
                <w:highlight w:val="none"/>
              </w:rPr>
            </w:r>
            <w:r>
              <w:rPr>
                <w:rFonts w:ascii="Times New Roman" w:hAnsi="Times New Roman"/>
                <w:sz w:val="22"/>
                <w:szCs w:val="22"/>
                <w:highlight w:val="none"/>
              </w:rPr>
            </w:r>
          </w:p>
        </w:tc>
      </w:tr>
    </w:tbl>
    <w:p>
      <w:pPr>
        <w:pStyle w:val="1167"/>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Под обязательствами перед АО «Россельхозбанк» по кредитным сделкам понимаются: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spacing w:after="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по договорам залога, договорам поручительства (в том числе прекратившим свое действие).</w:t>
      </w:r>
      <w:r>
        <w:rPr>
          <w:rFonts w:ascii="Times New Roman" w:hAnsi="Times New Roman" w:eastAsia="Times New Roman"/>
          <w:bCs/>
          <w:iCs/>
          <w:sz w:val="20"/>
          <w:szCs w:val="20"/>
          <w:lang w:eastAsia="ru-RU"/>
        </w:rPr>
      </w:r>
      <w:r>
        <w:rPr>
          <w:rFonts w:ascii="Times New Roman" w:hAnsi="Times New Roman" w:eastAsia="Times New Roman"/>
          <w:iCs/>
          <w:sz w:val="20"/>
          <w:szCs w:val="20"/>
          <w:highlight w:val="none"/>
          <w:lang w:eastAsia="ru-RU"/>
        </w:rPr>
      </w:r>
    </w:p>
    <w:p>
      <w:pPr>
        <w:spacing w:after="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r>
      <w:r>
        <w:rPr>
          <w:rFonts w:eastAsia="Calibri"/>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bCs/>
          <w:iCs/>
          <w:sz w:val="20"/>
          <w:szCs w:val="20"/>
          <w:highlight w:val="none"/>
          <w:lang w:eastAsia="ru-RU"/>
        </w:rPr>
      </w:r>
      <w:r>
        <w:rPr>
          <w:rFonts w:ascii="Times New Roman" w:hAnsi="Times New Roman" w:eastAsia="Times New Roman" w:cs="Times New Roman"/>
          <w:bCs/>
          <w:iCs/>
          <w:sz w:val="20"/>
          <w:szCs w:val="20"/>
          <w:highlight w:val="none"/>
          <w:lang w:eastAsia="ru-RU"/>
        </w:rPr>
      </w:r>
    </w:p>
    <w:p>
      <w:pPr>
        <w:pStyle w:val="1167"/>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Без взимания комиссии в Банке обслуживаются: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головного исполнителя;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отдельные счета исполнителя государственного оборонного заказа;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публичные депозитные счета.</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основанны</w:t>
      </w:r>
      <w:r>
        <w:rPr>
          <w:rFonts w:ascii="Times New Roman" w:hAnsi="Times New Roman" w:eastAsia="Times New Roman"/>
          <w:bCs/>
          <w:iCs/>
          <w:sz w:val="20"/>
          <w:szCs w:val="20"/>
          <w:lang w:eastAsia="ru-RU"/>
        </w:rPr>
        <w:t xml:space="preserve">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единовременную операцию – 5 000 000 (Пять миллионов) рублей;</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iCs/>
          <w:sz w:val="20"/>
          <w:szCs w:val="20"/>
          <w:highlight w:val="none"/>
          <w:lang w:eastAsia="ru-RU"/>
        </w:rPr>
      </w:pPr>
      <w:r>
        <w:rPr>
          <w:rFonts w:ascii="Times New Roman" w:hAnsi="Times New Roman" w:eastAsia="Times New Roman"/>
          <w:bCs/>
          <w:iCs/>
          <w:sz w:val="20"/>
          <w:szCs w:val="20"/>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eastAsia="Times New Roman"/>
          <w:bCs/>
          <w:iCs/>
          <w:sz w:val="20"/>
          <w:szCs w:val="20"/>
          <w:lang w:eastAsia="ru-RU"/>
        </w:rPr>
      </w:r>
      <w:r>
        <w:rPr>
          <w:rFonts w:ascii="Times New Roman" w:hAnsi="Times New Roman" w:eastAsia="Times New Roman"/>
          <w:iCs/>
          <w:sz w:val="20"/>
          <w:szCs w:val="20"/>
          <w:highlight w:val="none"/>
          <w:lang w:eastAsia="ru-RU"/>
        </w:rPr>
      </w:r>
    </w:p>
    <w:p>
      <w:pPr>
        <w:jc w:val="both"/>
        <w:spacing w:before="120" w:after="120" w:line="240" w:lineRule="auto"/>
        <w:rPr>
          <w:rFonts w:ascii="Times New Roman" w:hAnsi="Times New Roman" w:cs="Times New Roman"/>
          <w:sz w:val="20"/>
          <w:szCs w:val="20"/>
        </w:rPr>
      </w:pPr>
      <w:r>
        <w:rPr>
          <w:rFonts w:ascii="Times New Roman" w:hAnsi="Times New Roman" w:eastAsia="Times New Roman"/>
          <w:bCs/>
          <w:iCs/>
          <w:sz w:val="20"/>
          <w:szCs w:val="20"/>
          <w:highlight w:val="none"/>
          <w:lang w:eastAsia="ru-RU"/>
        </w:rPr>
        <w:t xml:space="preserve">5. </w:t>
      </w:r>
      <w:r>
        <w:rPr>
          <w:rFonts w:ascii="Times New Roman" w:hAnsi="Times New Roman" w:eastAsia="Times New Roman" w:cs="Times New Roman"/>
          <w:color w:val="000000"/>
          <w:sz w:val="20"/>
          <w:szCs w:val="20"/>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none"/>
        </w:rPr>
        <w:t xml:space="preserve"> Условиями </w:t>
      </w:r>
      <w:r>
        <w:rPr>
          <w:rFonts w:ascii="Times New Roman" w:hAnsi="Times New Roman" w:eastAsia="Times New Roman" w:cs="Times New Roman"/>
          <w:b w:val="0"/>
          <w:bCs w:val="0"/>
          <w:iCs/>
          <w:sz w:val="20"/>
          <w:szCs w:val="20"/>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none"/>
        </w:rPr>
        <w:t xml:space="preserve">в рамках Единого сервисного договора</w:t>
      </w:r>
      <w:r>
        <w:rPr>
          <w:rFonts w:ascii="Times New Roman" w:hAnsi="Times New Roman" w:eastAsia="Times New Roman" w:cs="Times New Roman"/>
          <w:b w:val="0"/>
          <w:bCs w:val="0"/>
          <w:sz w:val="20"/>
          <w:szCs w:val="20"/>
          <w:highlight w:val="none"/>
        </w:rPr>
        <w:t xml:space="preserve"> (Приложение 2.2 к </w:t>
      </w:r>
      <w:r>
        <w:rPr>
          <w:rFonts w:ascii="Times New Roman" w:hAnsi="Times New Roman" w:eastAsia="Times New Roman" w:cs="Times New Roman"/>
          <w:b w:val="0"/>
          <w:bCs w:val="0"/>
          <w:color w:val="000000"/>
          <w:sz w:val="20"/>
          <w:szCs w:val="20"/>
          <w:highlight w:val="none"/>
        </w:rPr>
        <w:t xml:space="preserve">к Единому сер</w:t>
      </w:r>
      <w:r>
        <w:rPr>
          <w:rFonts w:ascii="Times New Roman" w:hAnsi="Times New Roman" w:eastAsia="Times New Roman" w:cs="Times New Roman"/>
          <w:b w:val="0"/>
          <w:bCs w:val="0"/>
          <w:color w:val="000000"/>
          <w:sz w:val="20"/>
          <w:szCs w:val="20"/>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none"/>
        </w:rPr>
        <w:t xml:space="preserve">ации частной практикой, в АО «Россельхозбанк»</w:t>
      </w:r>
      <w:r>
        <w:rPr>
          <w:rFonts w:ascii="Times New Roman" w:hAnsi="Times New Roman" w:eastAsia="Times New Roman" w:cs="Times New Roman"/>
          <w:b w:val="0"/>
          <w:bCs w:val="0"/>
          <w:sz w:val="20"/>
          <w:szCs w:val="20"/>
          <w:highlight w:val="none"/>
        </w:rPr>
        <w:t xml:space="preserve">).</w:t>
      </w:r>
      <w:r>
        <w:rPr>
          <w:rFonts w:ascii="Times New Roman" w:hAnsi="Times New Roman" w:eastAsia="Times New Roman" w:cs="Times New Roman"/>
          <w:bCs/>
          <w:iCs/>
          <w:sz w:val="20"/>
          <w:szCs w:val="20"/>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eastAsia="Times New Roman" w:cs="Times New Roman"/>
          <w:bCs/>
          <w:iCs/>
          <w:sz w:val="20"/>
          <w:szCs w:val="20"/>
          <w:highlight w:val="none"/>
          <w:lang w:eastAsia="ru-RU"/>
        </w:rPr>
      </w:r>
      <w:r>
        <w:rPr>
          <w:rFonts w:ascii="Times New Roman" w:hAnsi="Times New Roman" w:eastAsia="Times New Roman" w:cs="Times New Roman"/>
          <w:bCs/>
          <w:iCs/>
          <w:sz w:val="20"/>
          <w:szCs w:val="20"/>
          <w:highlight w:val="none"/>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120" w:after="12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ind w:right="198"/>
        <w:jc w:val="center"/>
        <w:spacing w:before="120"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835"/>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67"/>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67"/>
        <w:ind w:left="357"/>
        <w:jc w:val="center"/>
        <w:spacing w:after="0" w:line="240" w:lineRule="auto"/>
        <w:rPr>
          <w:rFonts w:ascii="Times New Roman" w:hAnsi="Times New Roman" w:eastAsia="Times New Roman"/>
          <w:b/>
          <w:bCs/>
          <w:sz w:val="24"/>
          <w:szCs w:val="24"/>
          <w:lang w:val="en-US" w:eastAsia="ru-RU"/>
        </w:rPr>
      </w:pP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r>
        <w:rPr>
          <w:rFonts w:ascii="Times New Roman" w:hAnsi="Times New Roman" w:eastAsia="Times New Roman"/>
          <w:b/>
          <w:bCs/>
          <w:sz w:val="24"/>
          <w:szCs w:val="24"/>
          <w:lang w:val="en-US" w:eastAsia="ru-RU"/>
        </w:rPr>
      </w:r>
    </w:p>
    <w:p>
      <w:pPr>
        <w:pStyle w:val="1167"/>
        <w:ind w:left="35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9. Аренда клиентами индивидуальных сейфовых ячеек</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67"/>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restart"/>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125Х320Х493(мм)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300Х320Х493(мм)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vMerge w:val="continue"/>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175Х320Х493(мм)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61" w:type="dxa"/>
            <w:vAlign w:val="top"/>
            <w:vMerge w:val="restart"/>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p>
            <w:pPr>
              <w:pStyle w:val="1167"/>
              <w:spacing w:before="40"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67"/>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450Х320Х493(мм)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261" w:type="dxa"/>
            <w:vAlign w:val="center"/>
            <w:vMerge w:val="continue"/>
            <w:textDirection w:val="lrTb"/>
            <w:noWrap w:val="false"/>
          </w:tcPr>
          <w:p>
            <w:pPr>
              <w:pStyle w:val="1167"/>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Арендная плата за пользование сейфовой ячейкой размером 600Х320Х493(мм)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261" w:type="dxa"/>
            <w:vAlign w:val="center"/>
            <w:vMerge w:val="continue"/>
            <w:textDirection w:val="lrTb"/>
            <w:noWrap w:val="false"/>
          </w:tcPr>
          <w:p>
            <w:pPr>
              <w:pStyle w:val="1167"/>
              <w:jc w:val="center"/>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Плата за единовременный допуск к сейфовой ячейке одновременно с арендатором (его представителем) дополнительно еще одного лица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момент предоставления услуги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Страховой депозит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Сумма страхового депозита уплачивается в течение 3-х рабочих дней с даты заключения соответствующего договора аренды</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утрату, порчу ключей, замка ячейки и/или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обнаружения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Неустойка (штраф) за несвоевременный возврат ключей от сейфовой ячейки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возврата ключа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9.12.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67"/>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 и уплачивается в день заключения соответствующего договора</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67"/>
        <w:ind w:left="720"/>
        <w:jc w:val="center"/>
        <w:spacing w:before="120" w:after="120"/>
        <w:rPr>
          <w:rFonts w:ascii="Times New Roman" w:hAnsi="Times New Roman"/>
          <w:b/>
          <w:bCs/>
          <w:sz w:val="24"/>
          <w:szCs w:val="24"/>
        </w:rPr>
      </w:pPr>
      <w:r>
        <w:rPr>
          <w:rFonts w:ascii="Times New Roman" w:hAnsi="Times New Roman"/>
          <w:b/>
          <w:bCs/>
          <w:sz w:val="24"/>
          <w:szCs w:val="24"/>
        </w:rPr>
        <w:t xml:space="preserve">10. Услуги инкассации</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544"/>
        <w:gridCol w:w="2409"/>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7"/>
              <w:jc w:val="center"/>
              <w:spacing w:before="40" w:after="40"/>
              <w:rPr>
                <w:rFonts w:ascii="Times New Roman" w:hAnsi="Times New Roman"/>
                <w:b/>
                <w:bCs/>
                <w:sz w:val="24"/>
                <w:szCs w:val="24"/>
              </w:rPr>
            </w:pPr>
            <w:r>
              <w:rPr>
                <w:rFonts w:ascii="Times New Roman" w:hAnsi="Times New Roman"/>
                <w:b/>
                <w:bCs/>
                <w:sz w:val="24"/>
                <w:szCs w:val="24"/>
              </w:rPr>
              <w:t xml:space="preserve">№</w:t>
              <w:br w:type="textWrapping" w:clear="all"/>
              <w:t xml:space="preserve">п/п</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67"/>
              <w:jc w:val="center"/>
              <w:spacing w:before="40" w:after="40"/>
              <w:rPr>
                <w:rFonts w:ascii="Times New Roman" w:hAnsi="Times New Roman"/>
                <w:b/>
                <w:bCs/>
                <w:sz w:val="24"/>
                <w:szCs w:val="24"/>
              </w:rPr>
            </w:pPr>
            <w:r>
              <w:rPr>
                <w:rFonts w:ascii="Times New Roman" w:hAnsi="Times New Roman"/>
                <w:b/>
                <w:bCs/>
                <w:sz w:val="24"/>
                <w:szCs w:val="24"/>
              </w:rPr>
              <w:t xml:space="preserve">Наименование услуги</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7"/>
              <w:jc w:val="center"/>
              <w:spacing w:before="40" w:after="40"/>
              <w:rPr>
                <w:rFonts w:ascii="Times New Roman" w:hAnsi="Times New Roman"/>
                <w:b/>
                <w:bCs/>
                <w:sz w:val="24"/>
                <w:szCs w:val="24"/>
              </w:rPr>
            </w:pPr>
            <w:r>
              <w:rPr>
                <w:rFonts w:ascii="Times New Roman" w:hAnsi="Times New Roman"/>
                <w:b/>
                <w:bCs/>
                <w:sz w:val="24"/>
                <w:szCs w:val="24"/>
              </w:rPr>
              <w:t xml:space="preserve">Тариф</w:t>
            </w:r>
            <w:r>
              <w:rPr>
                <w:rFonts w:ascii="Times New Roman" w:hAnsi="Times New Roman"/>
                <w:b/>
                <w:bCs/>
                <w:sz w:val="24"/>
                <w:szCs w:val="24"/>
              </w:rPr>
            </w:r>
            <w:r>
              <w:rPr>
                <w:rFonts w:ascii="Times New Roman" w:hAnsi="Times New Roman"/>
                <w:b/>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167"/>
              <w:jc w:val="center"/>
              <w:spacing w:before="40" w:after="40"/>
              <w:rPr>
                <w:rFonts w:ascii="Times New Roman" w:hAnsi="Times New Roman"/>
                <w:sz w:val="24"/>
                <w:szCs w:val="24"/>
              </w:rPr>
            </w:pPr>
            <w:r>
              <w:rPr>
                <w:rFonts w:ascii="Times New Roman" w:hAnsi="Times New Roman"/>
                <w:b/>
                <w:bCs/>
                <w:sz w:val="24"/>
                <w:szCs w:val="24"/>
              </w:rPr>
              <w:t xml:space="preserve">Примечание</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67"/>
              <w:ind w:left="-52" w:firstLine="52"/>
              <w:jc w:val="both"/>
              <w:spacing w:before="40" w:after="40"/>
              <w:rPr>
                <w:rFonts w:ascii="Times New Roman" w:hAnsi="Times New Roman"/>
                <w:bCs/>
                <w:sz w:val="24"/>
                <w:szCs w:val="24"/>
              </w:rPr>
            </w:pPr>
            <w:r>
              <w:rPr>
                <w:rFonts w:ascii="Times New Roman" w:hAnsi="Times New Roman"/>
                <w:bCs/>
                <w:sz w:val="24"/>
                <w:szCs w:val="24"/>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10.1.1.</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ind w:left="-51" w:firstLine="51"/>
              <w:spacing w:before="40"/>
              <w:rPr>
                <w:rFonts w:ascii="Times New Roman" w:hAnsi="Times New Roman"/>
                <w:bCs/>
                <w:sz w:val="24"/>
                <w:szCs w:val="24"/>
              </w:rPr>
            </w:pPr>
            <w:r>
              <w:rPr>
                <w:rFonts w:ascii="Times New Roman" w:hAnsi="Times New Roman"/>
                <w:bCs/>
                <w:sz w:val="24"/>
                <w:szCs w:val="24"/>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4"/>
                <w:szCs w:val="24"/>
              </w:rPr>
            </w:r>
            <w:r>
              <w:rPr>
                <w:rFonts w:ascii="Times New Roman" w:hAnsi="Times New Roman"/>
                <w:bCs/>
                <w:sz w:val="24"/>
                <w:szCs w:val="24"/>
              </w:rPr>
            </w:r>
          </w:p>
          <w:p>
            <w:pPr>
              <w:pStyle w:val="1167"/>
              <w:ind w:left="176"/>
              <w:spacing w:before="40"/>
              <w:rPr>
                <w:rFonts w:ascii="Times New Roman" w:hAnsi="Times New Roman"/>
                <w:bCs/>
                <w:sz w:val="24"/>
                <w:szCs w:val="24"/>
              </w:rPr>
            </w:pPr>
            <w:r>
              <w:rPr>
                <w:rFonts w:ascii="Times New Roman" w:hAnsi="Times New Roman"/>
                <w:bCs/>
                <w:sz w:val="24"/>
                <w:szCs w:val="24"/>
              </w:rPr>
              <w:t xml:space="preserve">- с доставкой в подразделение Банка*;</w:t>
            </w:r>
            <w:r>
              <w:rPr>
                <w:rFonts w:ascii="Times New Roman" w:hAnsi="Times New Roman"/>
                <w:bCs/>
                <w:sz w:val="24"/>
                <w:szCs w:val="24"/>
              </w:rPr>
            </w:r>
            <w:r>
              <w:rPr>
                <w:rFonts w:ascii="Times New Roman" w:hAnsi="Times New Roman"/>
                <w:bCs/>
                <w:sz w:val="24"/>
                <w:szCs w:val="24"/>
              </w:rPr>
            </w:r>
          </w:p>
          <w:p>
            <w:pPr>
              <w:pStyle w:val="1167"/>
              <w:ind w:left="176"/>
              <w:spacing w:before="40"/>
              <w:rPr>
                <w:rFonts w:ascii="Times New Roman" w:hAnsi="Times New Roman"/>
                <w:bCs/>
                <w:sz w:val="24"/>
                <w:szCs w:val="24"/>
              </w:rPr>
            </w:pPr>
            <w:r>
              <w:rPr>
                <w:rFonts w:ascii="Times New Roman" w:hAnsi="Times New Roman"/>
                <w:bCs/>
                <w:sz w:val="24"/>
                <w:szCs w:val="24"/>
              </w:rPr>
              <w:t xml:space="preserve">- с доставкой в другую кредитную организацию</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7"/>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0,255% </w:t>
              <w:br w:type="textWrapping" w:clear="all"/>
              <w:t xml:space="preserve">от суммы </w:t>
            </w:r>
            <w:r>
              <w:rPr>
                <w:rFonts w:ascii="Times New Roman" w:hAnsi="Times New Roman"/>
                <w:sz w:val="24"/>
                <w:szCs w:val="24"/>
              </w:rPr>
            </w:r>
            <w:r>
              <w:rPr>
                <w:rFonts w:ascii="Times New Roman" w:hAnsi="Times New Roman"/>
                <w:sz w:val="24"/>
                <w:szCs w:val="24"/>
              </w:rPr>
            </w:r>
          </w:p>
          <w:p>
            <w:pPr>
              <w:pStyle w:val="1167"/>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до 600 000,00** руб. (включительно),</w:t>
            </w:r>
            <w:r>
              <w:rPr>
                <w:rFonts w:ascii="Times New Roman" w:hAnsi="Times New Roman"/>
                <w:sz w:val="24"/>
                <w:szCs w:val="24"/>
              </w:rPr>
            </w:r>
            <w:r>
              <w:rPr>
                <w:rFonts w:ascii="Times New Roman" w:hAnsi="Times New Roman"/>
                <w:sz w:val="24"/>
                <w:szCs w:val="24"/>
              </w:rPr>
            </w:r>
          </w:p>
          <w:p>
            <w:pPr>
              <w:pStyle w:val="1167"/>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минимум 360 руб.;</w:t>
            </w:r>
            <w:r>
              <w:rPr>
                <w:rFonts w:ascii="Times New Roman" w:hAnsi="Times New Roman"/>
                <w:sz w:val="24"/>
                <w:szCs w:val="24"/>
              </w:rPr>
            </w:r>
            <w:r>
              <w:rPr>
                <w:rFonts w:ascii="Times New Roman" w:hAnsi="Times New Roman"/>
                <w:sz w:val="24"/>
                <w:szCs w:val="24"/>
              </w:rPr>
            </w:r>
          </w:p>
          <w:p>
            <w:pPr>
              <w:pStyle w:val="1167"/>
              <w:ind w:left="-51" w:firstLine="51"/>
              <w:jc w:val="center"/>
              <w:spacing w:after="0" w:line="240" w:lineRule="auto"/>
              <w:rPr>
                <w:rFonts w:ascii="Times New Roman" w:hAnsi="Times New Roman"/>
                <w:sz w:val="24"/>
                <w:szCs w:val="24"/>
              </w:rPr>
            </w:pPr>
            <w:r>
              <w:rPr>
                <w:rFonts w:ascii="Times New Roman" w:hAnsi="Times New Roman"/>
                <w:sz w:val="24"/>
                <w:szCs w:val="24"/>
              </w:rPr>
              <w:t xml:space="preserve">0,10% </w:t>
              <w:br w:type="textWrapping" w:clear="all"/>
              <w:t xml:space="preserve">от суммы </w:t>
              <w:br w:type="textWrapping" w:clear="all"/>
              <w:t xml:space="preserve">с 600 000,01** руб. до 5 000 000,00* руб. (включительно); </w:t>
            </w:r>
            <w:r>
              <w:rPr>
                <w:rFonts w:ascii="Times New Roman" w:hAnsi="Times New Roman"/>
                <w:sz w:val="24"/>
                <w:szCs w:val="24"/>
              </w:rPr>
            </w:r>
            <w:r>
              <w:rPr>
                <w:rFonts w:ascii="Times New Roman" w:hAnsi="Times New Roman"/>
                <w:sz w:val="24"/>
                <w:szCs w:val="24"/>
              </w:rPr>
            </w:r>
          </w:p>
          <w:p>
            <w:pPr>
              <w:pStyle w:val="1167"/>
              <w:ind w:left="-51" w:firstLine="51"/>
              <w:jc w:val="center"/>
              <w:spacing w:after="0" w:line="240" w:lineRule="auto"/>
              <w:rPr>
                <w:rFonts w:ascii="Times New Roman" w:hAnsi="Times New Roman"/>
                <w:bCs/>
                <w:sz w:val="24"/>
                <w:szCs w:val="24"/>
              </w:rPr>
            </w:pPr>
            <w:r>
              <w:rPr>
                <w:rFonts w:ascii="Times New Roman" w:hAnsi="Times New Roman"/>
                <w:sz w:val="24"/>
                <w:szCs w:val="24"/>
              </w:rPr>
              <w:t xml:space="preserve">0,05% </w:t>
              <w:br w:type="textWrapping" w:clear="all"/>
              <w:t xml:space="preserve">от суммы с 5 000 000,01** руб. </w:t>
              <w:br w:type="textWrapping" w:clear="all"/>
              <w:t xml:space="preserve">и выше</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jc w:val="both"/>
              <w:spacing w:before="40" w:line="240" w:lineRule="auto"/>
              <w:rPr>
                <w:rFonts w:ascii="Times New Roman" w:hAnsi="Times New Roman"/>
                <w:bCs/>
                <w:sz w:val="24"/>
                <w:szCs w:val="24"/>
              </w:rPr>
            </w:pPr>
            <w:r>
              <w:rPr>
                <w:rFonts w:ascii="Times New Roman" w:hAnsi="Times New Roman"/>
                <w:bCs/>
                <w:sz w:val="24"/>
                <w:szCs w:val="24"/>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167"/>
              <w:jc w:val="both"/>
              <w:spacing w:before="40" w:line="240" w:lineRule="auto"/>
              <w:rPr>
                <w:rFonts w:ascii="Times New Roman" w:hAnsi="Times New Roman"/>
                <w:bCs/>
                <w:sz w:val="24"/>
                <w:szCs w:val="24"/>
                <w:lang w:val="en-US"/>
              </w:rPr>
            </w:pPr>
            <w:r>
              <w:rPr>
                <w:rFonts w:ascii="Times New Roman" w:hAnsi="Times New Roman"/>
                <w:bCs/>
                <w:sz w:val="24"/>
                <w:szCs w:val="24"/>
              </w:rPr>
              <w:t xml:space="preserve">Комиссия включает НДС.</w:t>
            </w:r>
            <w:r>
              <w:rPr>
                <w:rFonts w:ascii="Times New Roman" w:hAnsi="Times New Roman"/>
                <w:bCs/>
                <w:sz w:val="24"/>
                <w:szCs w:val="24"/>
                <w:lang w:val="en-US"/>
              </w:rPr>
            </w:r>
            <w:r>
              <w:rPr>
                <w:rFonts w:ascii="Times New Roman" w:hAnsi="Times New Roman"/>
                <w:bCs/>
                <w:sz w:val="24"/>
                <w:szCs w:val="24"/>
                <w:lang w:val="en-US"/>
              </w:rPr>
            </w:r>
          </w:p>
          <w:p>
            <w:pPr>
              <w:pStyle w:val="1167"/>
              <w:ind w:left="-52"/>
              <w:jc w:val="both"/>
              <w:spacing w:before="40"/>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ind w:left="-51" w:firstLine="51"/>
              <w:spacing w:before="40" w:after="40"/>
              <w:rPr>
                <w:rFonts w:ascii="Times New Roman" w:hAnsi="Times New Roman"/>
                <w:bCs/>
              </w:rPr>
            </w:pPr>
            <w:r>
              <w:rPr>
                <w:rFonts w:ascii="Times New Roman" w:hAnsi="Times New Roman"/>
                <w:bCs/>
              </w:rPr>
              <w:t xml:space="preserve">Прием, пересчет ден</w:t>
            </w:r>
            <w:r>
              <w:rPr>
                <w:rFonts w:ascii="Times New Roman" w:hAnsi="Times New Roman"/>
                <w:bCs/>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7"/>
              <w:ind w:left="-51" w:firstLine="51"/>
              <w:jc w:val="center"/>
              <w:spacing w:before="40" w:after="40"/>
              <w:rPr>
                <w:rFonts w:ascii="Times New Roman" w:hAnsi="Times New Roman"/>
                <w:sz w:val="24"/>
                <w:szCs w:val="24"/>
              </w:rPr>
            </w:pPr>
            <w:r>
              <w:rPr>
                <w:rFonts w:ascii="Times New Roman" w:hAnsi="Times New Roman"/>
                <w:sz w:val="24"/>
                <w:szCs w:val="24"/>
              </w:rPr>
              <w:t xml:space="preserve">0,2% от суммы, </w:t>
            </w:r>
            <w:r>
              <w:rPr>
                <w:rFonts w:ascii="Times New Roman" w:hAnsi="Times New Roman"/>
                <w:sz w:val="24"/>
                <w:szCs w:val="24"/>
              </w:rPr>
            </w:r>
            <w:r>
              <w:rPr>
                <w:rFonts w:ascii="Times New Roman" w:hAnsi="Times New Roman"/>
                <w:sz w:val="24"/>
                <w:szCs w:val="24"/>
              </w:rPr>
            </w:r>
          </w:p>
          <w:p>
            <w:pPr>
              <w:pStyle w:val="1167"/>
              <w:ind w:left="-51" w:firstLine="51"/>
              <w:jc w:val="center"/>
              <w:spacing w:before="40" w:after="40"/>
              <w:rPr>
                <w:rFonts w:ascii="Times New Roman" w:hAnsi="Times New Roman"/>
                <w:sz w:val="24"/>
                <w:szCs w:val="24"/>
              </w:rPr>
            </w:pPr>
            <w:r>
              <w:rPr>
                <w:rFonts w:ascii="Times New Roman" w:hAnsi="Times New Roman"/>
                <w:sz w:val="24"/>
                <w:szCs w:val="24"/>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ind w:left="34" w:hanging="34"/>
              <w:spacing w:before="40" w:after="40"/>
              <w:rPr>
                <w:rFonts w:ascii="Times New Roman" w:hAnsi="Times New Roman"/>
                <w:bCs/>
                <w:sz w:val="24"/>
                <w:szCs w:val="24"/>
              </w:rPr>
            </w:pPr>
            <w:r>
              <w:rPr>
                <w:rFonts w:ascii="Times New Roman" w:hAnsi="Times New Roman"/>
                <w:bCs/>
                <w:sz w:val="24"/>
                <w:szCs w:val="24"/>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7"/>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67"/>
              <w:ind w:left="-52" w:firstLine="52"/>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7"/>
              <w:ind w:left="-51" w:firstLine="51"/>
              <w:jc w:val="center"/>
              <w:spacing w:before="40" w:after="40"/>
              <w:rPr>
                <w:rFonts w:ascii="Times New Roman" w:hAnsi="Times New Roman"/>
                <w:bCs/>
                <w:sz w:val="24"/>
                <w:szCs w:val="24"/>
              </w:rPr>
            </w:pPr>
            <w:r>
              <w:rPr>
                <w:rFonts w:ascii="Times New Roman" w:hAnsi="Times New Roman"/>
                <w:bCs/>
                <w:sz w:val="24"/>
                <w:szCs w:val="24"/>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67"/>
              <w:spacing w:before="40" w:after="40"/>
              <w:rPr>
                <w:rFonts w:ascii="Times New Roman" w:hAnsi="Times New Roman"/>
                <w:bCs/>
                <w:sz w:val="24"/>
                <w:szCs w:val="24"/>
              </w:rPr>
            </w:pPr>
            <w:r>
              <w:rPr>
                <w:rFonts w:ascii="Times New Roman" w:hAnsi="Times New Roman"/>
                <w:bCs/>
                <w:sz w:val="24"/>
                <w:szCs w:val="24"/>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7"/>
              <w:ind w:left="-51" w:firstLine="51"/>
              <w:jc w:val="center"/>
              <w:spacing w:before="40" w:after="40"/>
              <w:rPr>
                <w:rFonts w:ascii="Times New Roman" w:hAnsi="Times New Roman"/>
                <w:sz w:val="24"/>
                <w:szCs w:val="24"/>
              </w:rPr>
            </w:pPr>
            <w:r>
              <w:rPr>
                <w:rFonts w:ascii="Times New Roman" w:hAnsi="Times New Roman"/>
                <w:sz w:val="24"/>
                <w:szCs w:val="24"/>
              </w:rPr>
              <w:t xml:space="preserve">Не менее 1220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167"/>
              <w:jc w:val="both"/>
              <w:spacing w:before="40" w:after="40"/>
              <w:rPr>
                <w:rFonts w:ascii="Times New Roman" w:hAnsi="Times New Roman"/>
                <w:bCs/>
                <w:sz w:val="24"/>
                <w:szCs w:val="24"/>
              </w:rPr>
            </w:pPr>
            <w:r>
              <w:rPr>
                <w:rFonts w:ascii="Times New Roman" w:hAnsi="Times New Roman"/>
                <w:bCs/>
                <w:sz w:val="24"/>
                <w:szCs w:val="24"/>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167"/>
              <w:jc w:val="both"/>
              <w:spacing w:before="40" w:after="40"/>
              <w:rPr>
                <w:rFonts w:ascii="Times New Roman" w:hAnsi="Times New Roman"/>
                <w:bCs/>
                <w:sz w:val="24"/>
                <w:szCs w:val="24"/>
              </w:rPr>
            </w:pPr>
            <w:r>
              <w:rPr>
                <w:rFonts w:ascii="Times New Roman" w:hAnsi="Times New Roman"/>
                <w:bCs/>
                <w:sz w:val="24"/>
                <w:szCs w:val="24"/>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67"/>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167"/>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167"/>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167"/>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167"/>
        <w:contextualSpacing/>
        <w:ind w:left="1069"/>
        <w:spacing w:before="120" w:after="12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Fonts w:ascii="Times New Roman" w:hAnsi="Times New Roman"/>
          <w:b/>
          <w:vertAlign w:val="superscript"/>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67"/>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6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6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67"/>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67"/>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Сумма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center"/>
            <w:textDirection w:val="lrTb"/>
            <w:noWrap w:val="false"/>
          </w:tcPr>
          <w:p>
            <w:pPr>
              <w:pStyle w:val="1167"/>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Ставка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6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67"/>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Fonts w:ascii="Times New Roman" w:hAnsi="Times New Roman" w:eastAsia="Times New Roman"/>
                <w:bCs/>
                <w:vertAlign w:val="superscript"/>
                <w:lang w:eastAsia="ru-RU"/>
              </w:rPr>
              <w:footnoteReference w:id="2"/>
            </w:r>
            <w:r>
              <w:rPr>
                <w:rFonts w:ascii="Symbol" w:hAnsi="Symbol" w:eastAsia="Symbol" w:cs="Symbol"/>
                <w:bCs/>
                <w:vertAlign w:val="superscript"/>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67"/>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67"/>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w:t>
            </w:r>
            <w:r>
              <w:rPr>
                <w:rFonts w:ascii="Times New Roman" w:hAnsi="Times New Roman" w:eastAsia="Times New Roman"/>
                <w:bCs/>
                <w:lang w:eastAsia="ru-RU"/>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rFonts w:ascii="Times New Roman" w:hAnsi="Times New Roman" w:eastAsia="Times New Roman"/>
                <w:bCs/>
                <w:lang w:eastAsia="ru-RU"/>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67"/>
              <w:jc w:val="both"/>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167"/>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67"/>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67"/>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67"/>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67"/>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67"/>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67"/>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67"/>
        <w:spacing w:before="120" w:after="0" w:line="240" w:lineRule="auto"/>
        <w:rPr>
          <w:rFonts w:ascii="Times New Roman" w:hAnsi="Times New Roman" w:eastAsia="Times New Roman"/>
          <w:color w:val="000000"/>
          <w:u w:val="single"/>
          <w:lang w:eastAsia="ru-RU"/>
        </w:rPr>
      </w:pPr>
      <w:r>
        <w:rPr>
          <w:rFonts w:ascii="Times New Roman" w:hAnsi="Times New Roman" w:eastAsia="Times New Roman"/>
          <w:iCs/>
          <w:color w:val="000000"/>
          <w:u w:val="single"/>
          <w:lang w:eastAsia="ru-RU"/>
        </w:rPr>
        <w:t xml:space="preserve">Примечание:</w:t>
      </w:r>
      <w:r>
        <w:rPr>
          <w:rFonts w:ascii="Times New Roman" w:hAnsi="Times New Roman" w:eastAsia="Times New Roman"/>
          <w:color w:val="000000"/>
          <w:u w:val="single"/>
          <w:lang w:eastAsia="ru-RU"/>
        </w:rPr>
      </w:r>
      <w:r>
        <w:rPr>
          <w:rFonts w:ascii="Times New Roman" w:hAnsi="Times New Roman" w:eastAsia="Times New Roman"/>
          <w:color w:val="000000"/>
          <w:u w:val="single"/>
          <w:lang w:eastAsia="ru-RU"/>
        </w:rPr>
      </w:r>
    </w:p>
    <w:p>
      <w:pPr>
        <w:pStyle w:val="1167"/>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color w:val="000000"/>
          <w:vertAlign w:val="superscript"/>
          <w:lang w:eastAsia="ru-RU"/>
        </w:rPr>
        <w:t xml:space="preserve">1 </w:t>
      </w:r>
      <w:r>
        <w:rPr>
          <w:rFonts w:ascii="Times New Roman" w:hAnsi="Times New Roman" w:eastAsia="Times New Roman"/>
          <w:iCs/>
          <w:color w:val="00000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67"/>
        <w:jc w:val="both"/>
        <w:spacing w:before="40" w:after="0" w:line="240" w:lineRule="auto"/>
        <w:rPr>
          <w:rFonts w:ascii="Times New Roman" w:hAnsi="Times New Roman" w:eastAsia="Times New Roman"/>
          <w:iCs/>
          <w:color w:val="000000"/>
          <w:lang w:eastAsia="ru-RU"/>
        </w:rPr>
      </w:pPr>
      <w:r>
        <w:rPr>
          <w:rFonts w:ascii="Times New Roman" w:hAnsi="Times New Roman" w:eastAsia="Times New Roman"/>
          <w:iCs/>
          <w:vertAlign w:val="superscript"/>
          <w:lang w:eastAsia="ru-RU"/>
        </w:rPr>
        <w:t xml:space="preserve">2 </w:t>
      </w:r>
      <w:r>
        <w:rPr>
          <w:rFonts w:ascii="Times New Roman" w:hAnsi="Times New Roman" w:eastAsia="Times New Roman"/>
          <w:iCs/>
          <w:color w:val="00000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lang w:eastAsia="ru-RU"/>
        </w:rPr>
        <w:t xml:space="preserve">.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167"/>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vertAlign w:val="superscript"/>
          <w:lang w:eastAsia="ru-RU"/>
        </w:rPr>
        <w:t xml:space="preserve">3 </w:t>
      </w:r>
      <w:r>
        <w:rPr>
          <w:rFonts w:ascii="Times New Roman" w:hAnsi="Times New Roman" w:eastAsia="Times New Roman"/>
          <w:color w:val="000000"/>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7"/>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7"/>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7"/>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7"/>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 0,5%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и уплачивается в порядке, предусмотренном для упл</w:t>
            </w:r>
            <w:r>
              <w:rPr>
                <w:rFonts w:ascii="Times New Roman" w:hAnsi="Times New Roman" w:eastAsia="Times New Roman"/>
                <w:bCs/>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на проведение</w:t>
            </w:r>
            <w:r>
              <w:rPr>
                <w:rFonts w:ascii="Times New Roman" w:hAnsi="Times New Roman" w:eastAsia="Times New Roman"/>
                <w:bCs/>
                <w:sz w:val="20"/>
                <w:szCs w:val="20"/>
                <w:lang w:eastAsia="ru-RU"/>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кредитов «Оборотный – стандарт» № 495-П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Порядком рефинансирования</w:t>
            </w:r>
            <w:r>
              <w:rPr>
                <w:rFonts w:ascii="Times New Roman" w:hAnsi="Times New Roman" w:eastAsia="Times New Roman"/>
                <w:bCs/>
                <w:sz w:val="20"/>
                <w:szCs w:val="20"/>
                <w:lang w:eastAsia="ru-RU"/>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Резервирование (бронирование) денежных средств для выдачи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eastAsia="Times New Roman"/>
                <w:bCs/>
                <w:sz w:val="20"/>
                <w:szCs w:val="20"/>
                <w:vertAlign w:val="superscript"/>
                <w:lang w:eastAsia="ru-RU"/>
              </w:rPr>
              <w:footnoteReference w:id="3"/>
            </w:r>
            <w:r>
              <w:rPr>
                <w:rFonts w:ascii="Times New Roman" w:hAnsi="Times New Roman" w:eastAsia="Times New Roman"/>
                <w:bCs/>
                <w:sz w:val="20"/>
                <w:szCs w:val="20"/>
                <w:lang w:eastAsia="ru-RU"/>
              </w:rPr>
              <w:t xml:space="preserve"> со дня, следующего за: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отсутствии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наличии отлагательных условий выдачи кредитных средств: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numPr>
                <w:ilvl w:val="0"/>
                <w:numId w:val="5"/>
              </w:num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датой выполнения отлагательных условий выдачи кредита/ транша.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в порядке, предусмотренном договором.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в форме «овердрафт»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eastAsia="Times New Roman"/>
                <w:bCs/>
                <w:sz w:val="20"/>
                <w:szCs w:val="20"/>
                <w:vertAlign w:val="superscript"/>
                <w:lang w:eastAsia="ru-RU"/>
              </w:rPr>
              <w:footnoteReference w:id="4"/>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по договору об открытии кредитной линии,  заключенному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изменении: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окончательного срока возврата кредита (основного долга)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промежуточного (ых) срока(ов) возврата кредита: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6 до 30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31 до 60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60 календарных дней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w:t>
            </w:r>
            <w:r>
              <w:rPr>
                <w:rFonts w:ascii="Times New Roman" w:hAnsi="Times New Roman" w:eastAsia="Times New Roman"/>
                <w:bCs/>
                <w:sz w:val="20"/>
                <w:szCs w:val="20"/>
                <w:lang w:val="en-US" w:eastAsia="ru-RU"/>
              </w:rPr>
              <w:t xml:space="preserve">5</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сумме, на которую начисляется комиссия: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 1 000 000,00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1 000 000,01 до 50 000 000,00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от 50 000 000,01 до 100 000 000,00 руб. (включительно)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свыше 100 000 000,01 руб.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0,15%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12.6.</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180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1,0%;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от 181 до 365 календарных дней (включительно) – 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3,5%;</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365 календарных дней –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менее</w:t>
            </w:r>
            <w:r>
              <w:rPr>
                <w:rFonts w:ascii="Times New Roman" w:hAnsi="Times New Roman" w:eastAsia="Times New Roman"/>
                <w:bCs/>
                <w:i/>
                <w:sz w:val="20"/>
                <w:szCs w:val="20"/>
                <w:lang w:eastAsia="ru-RU"/>
              </w:rPr>
              <w:t xml:space="preserve"> </w:t>
            </w:r>
            <w:r>
              <w:rPr>
                <w:rFonts w:ascii="Times New Roman" w:hAnsi="Times New Roman" w:eastAsia="Times New Roman"/>
                <w:bCs/>
                <w:sz w:val="20"/>
                <w:szCs w:val="20"/>
                <w:lang w:eastAsia="ru-RU"/>
              </w:rPr>
              <w:t xml:space="preserve">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12.7.</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Досрочный возврат кредита (основного долга) по инициативе заемщика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 в зависимости от срока, оставшегося до погашения</w:t>
            </w:r>
            <w:r>
              <w:rPr>
                <w:rFonts w:ascii="Times New Roman" w:hAnsi="Times New Roman" w:eastAsia="Times New Roman"/>
                <w:bCs/>
                <w:sz w:val="20"/>
                <w:szCs w:val="20"/>
                <w:vertAlign w:val="superscript"/>
                <w:lang w:eastAsia="ru-RU"/>
              </w:rPr>
              <w:footnoteReference w:id="5"/>
            </w:r>
            <w:r>
              <w:rPr>
                <w:rFonts w:ascii="Times New Roman" w:hAnsi="Times New Roman" w:eastAsia="Times New Roman"/>
                <w:bCs/>
                <w:sz w:val="20"/>
                <w:szCs w:val="20"/>
                <w:vertAlign w:val="superscript"/>
                <w:lang w:eastAsia="ru-RU"/>
              </w:rPr>
              <w:t xml:space="preserve">,</w:t>
            </w:r>
            <w:r>
              <w:rPr>
                <w:rFonts w:ascii="Times New Roman" w:hAnsi="Times New Roman" w:eastAsia="Times New Roman"/>
                <w:bCs/>
                <w:sz w:val="20"/>
                <w:szCs w:val="20"/>
                <w:vertAlign w:val="superscript"/>
                <w:lang w:eastAsia="ru-RU"/>
              </w:rPr>
              <w:footnoteReference w:id="6"/>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договору об открытии кредитной линии с лимитом выдачи и лимитом задолженности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договоренности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с использованием связанного финансирования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w:t>
            </w:r>
            <w:r>
              <w:rPr>
                <w:rFonts w:ascii="Times New Roman" w:hAnsi="Times New Roman" w:eastAsia="Times New Roman"/>
                <w:bCs/>
                <w:sz w:val="20"/>
                <w:szCs w:val="20"/>
                <w:lang w:eastAsia="ru-RU"/>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при кредитовании в рамках решен</w:t>
            </w:r>
            <w:r>
              <w:rPr>
                <w:rFonts w:ascii="Times New Roman" w:hAnsi="Times New Roman" w:eastAsia="Times New Roman"/>
                <w:bCs/>
                <w:sz w:val="20"/>
                <w:szCs w:val="20"/>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 годовых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12.8.</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0,2% от суммы,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- 30 000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максимум - 150 000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eastAsia="Times New Roman"/>
                <w:bCs/>
                <w:sz w:val="20"/>
                <w:szCs w:val="20"/>
                <w:lang w:eastAsia="ru-RU"/>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540-П на период действия льготных условий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167"/>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В настоящем разделе Тарифов Банка используется следующий термин:</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u w:val="single"/>
          <w:lang w:eastAsia="ru-RU"/>
        </w:rPr>
        <w:t xml:space="preserve">Лимит кредитования</w:t>
      </w:r>
      <w:r>
        <w:rPr>
          <w:rFonts w:ascii="Times New Roman" w:hAnsi="Times New Roman" w:eastAsia="Times New Roman"/>
          <w:bCs/>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eastAsia="Times New Roman"/>
          <w:bCs/>
          <w:lang w:eastAsia="ru-RU"/>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i/>
          <w:lang w:eastAsia="ru-RU"/>
        </w:rPr>
      </w:pPr>
      <w:r>
        <w:rPr>
          <w:rFonts w:ascii="Times New Roman" w:hAnsi="Times New Roman" w:eastAsia="Times New Roman"/>
          <w:bCs/>
          <w:iCs/>
          <w:u w:val="single"/>
          <w:lang w:eastAsia="ru-RU"/>
        </w:rPr>
        <w:t xml:space="preserve">Примечание</w:t>
      </w:r>
      <w:r>
        <w:rPr>
          <w:rFonts w:ascii="Times New Roman" w:hAnsi="Times New Roman" w:eastAsia="Times New Roman"/>
          <w:bCs/>
          <w:iCs/>
          <w:lang w:eastAsia="ru-RU"/>
        </w:rPr>
        <w:t xml:space="preserve">: </w:t>
      </w:r>
      <w:r>
        <w:rPr>
          <w:rFonts w:ascii="Times New Roman" w:hAnsi="Times New Roman" w:eastAsia="Times New Roman"/>
          <w:bCs/>
          <w:i/>
          <w:lang w:eastAsia="ru-RU"/>
        </w:rPr>
      </w:r>
      <w:r>
        <w:rPr>
          <w:rFonts w:ascii="Times New Roman" w:hAnsi="Times New Roman" w:eastAsia="Times New Roman"/>
          <w:bCs/>
          <w:i/>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lang w:eastAsia="ru-RU"/>
        </w:rPr>
      </w:pPr>
      <w:r>
        <w:rPr>
          <w:rFonts w:ascii="Times New Roman" w:hAnsi="Times New Roman" w:eastAsia="Times New Roman"/>
          <w:bCs/>
          <w:iCs/>
          <w:lang w:eastAsia="ru-RU"/>
        </w:rPr>
        <w:t xml:space="preserve">2.</w:t>
        <w:tab/>
        <w:t xml:space="preserve">Установление размера(ов) ком</w:t>
      </w:r>
      <w:r>
        <w:rPr>
          <w:rFonts w:ascii="Times New Roman" w:hAnsi="Times New Roman" w:eastAsia="Times New Roman"/>
          <w:bCs/>
          <w:iCs/>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возмещения кредитным организациям недополученных дохо</w:t>
      </w:r>
      <w:r>
        <w:rPr>
          <w:rFonts w:ascii="Times New Roman" w:hAnsi="Times New Roman" w:eastAsia="Times New Roman"/>
          <w:bCs/>
          <w:iCs/>
          <w:sz w:val="24"/>
          <w:szCs w:val="24"/>
          <w:lang w:eastAsia="ru-RU"/>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rFonts w:ascii="Times New Roman" w:hAnsi="Times New Roman" w:eastAsia="Times New Roman"/>
          <w:bCs/>
          <w:iCs/>
          <w:sz w:val="24"/>
          <w:szCs w:val="24"/>
          <w:lang w:eastAsia="ru-RU"/>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rFonts w:ascii="Times New Roman" w:hAnsi="Times New Roman" w:eastAsia="Times New Roman"/>
          <w:bCs/>
          <w:iCs/>
          <w:sz w:val="24"/>
          <w:szCs w:val="24"/>
          <w:lang w:eastAsia="ru-RU"/>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w:t>
      </w:r>
      <w:r>
        <w:rPr>
          <w:rFonts w:ascii="Times New Roman" w:hAnsi="Times New Roman" w:eastAsia="Times New Roman"/>
          <w:bCs/>
          <w:iCs/>
          <w:sz w:val="24"/>
          <w:szCs w:val="24"/>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4"/>
          <w:szCs w:val="24"/>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rFonts w:ascii="Times New Roman" w:hAnsi="Times New Roman" w:eastAsia="Times New Roman"/>
          <w:bCs/>
          <w:iCs/>
          <w:sz w:val="24"/>
          <w:szCs w:val="24"/>
          <w:lang w:eastAsia="ru-RU"/>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rFonts w:ascii="Times New Roman" w:hAnsi="Times New Roman" w:eastAsia="Times New Roman"/>
          <w:bCs/>
          <w:iCs/>
          <w:sz w:val="24"/>
          <w:szCs w:val="24"/>
          <w:lang w:eastAsia="ru-RU"/>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w:t>
      </w:r>
      <w:r>
        <w:rPr>
          <w:rFonts w:ascii="Times New Roman" w:hAnsi="Times New Roman" w:eastAsia="Times New Roman"/>
          <w:bCs/>
          <w:iCs/>
          <w:sz w:val="24"/>
          <w:szCs w:val="24"/>
          <w:lang w:eastAsia="ru-RU"/>
        </w:rPr>
        <w:t xml:space="preserve">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(далее – ППРФ от 02.04.2022 № 574);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w:t>
      </w:r>
      <w:r>
        <w:rPr>
          <w:rFonts w:ascii="Times New Roman" w:hAnsi="Times New Roman" w:eastAsia="Times New Roman"/>
          <w:bCs/>
          <w:iCs/>
          <w:sz w:val="24"/>
          <w:szCs w:val="24"/>
          <w:lang w:eastAsia="ru-RU"/>
        </w:rPr>
        <w:t xml:space="preserve">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br/>
        <w:t xml:space="preserve">от 18.05.2022 № 895);</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4"/>
          <w:szCs w:val="24"/>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4"/>
          <w:szCs w:val="24"/>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w:t>
      </w:r>
      <w:r>
        <w:rPr>
          <w:rFonts w:ascii="Times New Roman" w:hAnsi="Times New Roman" w:eastAsia="Times New Roman"/>
          <w:bCs/>
          <w:iCs/>
          <w:sz w:val="24"/>
          <w:szCs w:val="24"/>
          <w:lang w:eastAsia="ru-RU"/>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4"/>
          <w:szCs w:val="24"/>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4"/>
          <w:szCs w:val="24"/>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из федерального бюджета субсиди</w:t>
      </w:r>
      <w:r>
        <w:rPr>
          <w:rFonts w:ascii="Times New Roman" w:hAnsi="Times New Roman"/>
          <w:sz w:val="24"/>
          <w:szCs w:val="24"/>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4"/>
          <w:szCs w:val="24"/>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before="40"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4"/>
          <w:szCs w:val="24"/>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after="0" w:line="240" w:lineRule="auto"/>
        <w:rPr>
          <w:rFonts w:ascii="Times New Roman" w:hAnsi="Times New Roman" w:eastAsia="Times New Roman"/>
          <w:bCs/>
          <w:iCs/>
          <w:sz w:val="24"/>
          <w:szCs w:val="24"/>
          <w:lang w:eastAsia="ru-RU"/>
        </w:rPr>
        <w:outlineLvl w:val="5"/>
      </w:pPr>
      <w:r>
        <w:rPr>
          <w:rFonts w:ascii="Times New Roman" w:hAnsi="Times New Roman"/>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4"/>
          <w:szCs w:val="24"/>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4"/>
          <w:szCs w:val="24"/>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67"/>
        <w:jc w:val="both"/>
        <w:spacing w:after="0" w:line="240" w:lineRule="auto"/>
        <w:rPr>
          <w:rFonts w:ascii="Times New Roman" w:hAnsi="Times New Roman"/>
          <w:sz w:val="24"/>
          <w:szCs w:val="24"/>
        </w:rPr>
        <w:outlineLvl w:val="5"/>
      </w:pPr>
      <w:r>
        <w:rPr>
          <w:rFonts w:ascii="Times New Roman" w:hAnsi="Times New Roman" w:eastAsia="Times New Roman"/>
          <w:bCs/>
          <w:iCs/>
          <w:sz w:val="24"/>
          <w:szCs w:val="24"/>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4"/>
          <w:szCs w:val="24"/>
        </w:rPr>
        <w:t xml:space="preserve">на приобр</w:t>
      </w:r>
      <w:r>
        <w:rPr>
          <w:rFonts w:ascii="Times New Roman" w:hAnsi="Times New Roman"/>
          <w:sz w:val="24"/>
          <w:szCs w:val="24"/>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ascii="Times New Roman" w:hAnsi="Times New Roman"/>
          <w:sz w:val="24"/>
          <w:szCs w:val="24"/>
        </w:rPr>
      </w:r>
      <w:r>
        <w:rPr>
          <w:rFonts w:ascii="Times New Roman" w:hAnsi="Times New Roman"/>
          <w:sz w:val="24"/>
          <w:szCs w:val="24"/>
        </w:rPr>
      </w:r>
    </w:p>
    <w:p>
      <w:pPr>
        <w:pStyle w:val="1167"/>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w:t>
      </w:r>
      <w:r>
        <w:rPr>
          <w:rFonts w:ascii="Times New Roman" w:hAnsi="Times New Roman"/>
          <w:sz w:val="24"/>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4"/>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67"/>
        <w:jc w:val="both"/>
        <w:spacing w:after="0" w:line="240" w:lineRule="auto"/>
        <w:rPr>
          <w:rFonts w:ascii="Times New Roman" w:hAnsi="Times New Roman"/>
          <w:sz w:val="24"/>
          <w:szCs w:val="24"/>
        </w:rPr>
        <w:outlineLvl w:val="5"/>
      </w:pPr>
      <w:r>
        <w:rPr>
          <w:rFonts w:ascii="Times New Roman" w:hAnsi="Times New Roman"/>
          <w:sz w:val="24"/>
          <w:szCs w:val="24"/>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4"/>
          <w:szCs w:val="24"/>
        </w:rPr>
        <w:t xml:space="preserve">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w:t>
      </w:r>
      <w:r>
        <w:rPr>
          <w:rFonts w:ascii="Times New Roman" w:hAnsi="Times New Roman"/>
          <w:sz w:val="24"/>
          <w:szCs w:val="24"/>
        </w:rPr>
        <w:t xml:space="preserve">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w:t>
      </w:r>
      <w:r>
        <w:rPr>
          <w:rFonts w:ascii="Times New Roman" w:hAnsi="Times New Roman"/>
          <w:sz w:val="24"/>
          <w:szCs w:val="24"/>
        </w:rPr>
        <w:t xml:space="preserve">и с ППРФ от 25.10.2023 </w:t>
        <w:br w:type="textWrapping" w:clear="all"/>
        <w:t xml:space="preserve">№ 1780;</w:t>
      </w:r>
      <w:r>
        <w:rPr>
          <w:rFonts w:ascii="Times New Roman" w:hAnsi="Times New Roman"/>
          <w:sz w:val="24"/>
          <w:szCs w:val="24"/>
        </w:rPr>
      </w:r>
      <w:r>
        <w:rPr>
          <w:rFonts w:ascii="Times New Roman" w:hAnsi="Times New Roman"/>
          <w:sz w:val="24"/>
          <w:szCs w:val="24"/>
        </w:rPr>
      </w:r>
    </w:p>
    <w:p>
      <w:pPr>
        <w:pStyle w:val="1167"/>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67"/>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w:t>
      </w:r>
      <w:r>
        <w:rPr>
          <w:rFonts w:ascii="Times New Roman" w:hAnsi="Times New Roman" w:eastAsia="Times New Roman"/>
          <w:sz w:val="24"/>
          <w:szCs w:val="24"/>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w:t>
      </w:r>
      <w:r>
        <w:rPr>
          <w:rFonts w:ascii="Times New Roman" w:hAnsi="Times New Roman" w:eastAsia="Times New Roman"/>
          <w:sz w:val="24"/>
          <w:szCs w:val="24"/>
        </w:rPr>
        <w:t xml:space="preserve">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67"/>
        <w:jc w:val="both"/>
        <w:spacing w:after="0" w:line="240" w:lineRule="auto"/>
        <w:rPr>
          <w:rFonts w:ascii="Times New Roman" w:hAnsi="Times New Roman"/>
          <w:sz w:val="24"/>
          <w:szCs w:val="24"/>
        </w:rPr>
        <w:outlineLvl w:val="5"/>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67"/>
        <w:jc w:val="both"/>
        <w:spacing w:after="12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w:t>
              <w:br w:type="textWrapping" w:clear="all"/>
              <w:t xml:space="preserve">п/п</w:t>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льготных программ</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1</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Перечень 2</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gridSpan w:val="2"/>
            <w:tcW w:w="8647"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Пункты раздела 12 «Кредитные операции»</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12.1, 12.2, 12.4, 12.5, 12.8</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12.3, 12.7</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29.12.2016 № 1528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26.04.2019 № 512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24.12.2019 № 1804 </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30.12.2018 № 1764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5</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09.02.2021 № 141</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6</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05.12.2019 № 1598</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7</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30.12.2017 № 1706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8</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 </w:t>
              <w:br w:type="textWrapping" w:clear="all"/>
              <w:t xml:space="preserve">(за исключением п. 12.1)</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center"/>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ППРФ от 06.092022 № 1570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9</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258-Р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10</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358-Р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1201-Р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1553-Р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13</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982-Р (в рамках ППРФ </w:t>
              <w:br w:type="textWrapping" w:clear="all"/>
              <w:t xml:space="preserve">от 25.10.2023 № 1780) »</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14</w:t>
            </w:r>
            <w:r>
              <w:rPr>
                <w:rFonts w:ascii="Times New Roman" w:hAnsi="Times New Roman" w:eastAsia="Times New Roman"/>
                <w:bCs/>
                <w:iCs/>
                <w:lang w:eastAsia="ru-RU"/>
              </w:rPr>
            </w:r>
            <w:r>
              <w:rPr>
                <w:rFonts w:ascii="Times New Roman" w:hAnsi="Times New Roman" w:eastAsia="Times New Roman"/>
                <w:bCs/>
                <w:iCs/>
                <w:lang w:eastAsia="ru-RU"/>
              </w:rPr>
            </w:r>
          </w:p>
        </w:tc>
        <w:tc>
          <w:tcPr>
            <w:tcW w:w="4253"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c>
          <w:tcPr>
            <w:tcW w:w="4394" w:type="dxa"/>
            <w:vAlign w:val="top"/>
            <w:textDirection w:val="lrTb"/>
            <w:noWrap w:val="false"/>
          </w:tcPr>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 Решение № 665-Р (в рамках ППРФ </w:t>
              <w:br w:type="textWrapping" w:clear="all"/>
              <w:t xml:space="preserve">от 25.10.2023 № 1780)»</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6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6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67"/>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6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6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jc w:val="both"/>
        <w:spacing w:before="12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ind w:left="-142" w:firstLine="851"/>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167"/>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Fonts w:ascii="Times New Roman" w:hAnsi="Times New Roman" w:eastAsia="Times New Roman"/>
          <w:b/>
          <w:sz w:val="24"/>
          <w:szCs w:val="24"/>
          <w:vertAlign w:val="superscript"/>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835"/>
        <w:gridCol w:w="2977"/>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835"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992" w:type="dxa"/>
            <w:vAlign w:val="center"/>
            <w:textDirection w:val="lrTb"/>
            <w:noWrap w:val="false"/>
          </w:tcPr>
          <w:p>
            <w:pPr>
              <w:pStyle w:val="1167"/>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67"/>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67"/>
              <w:jc w:val="both"/>
              <w:spacing w:after="6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color w:val="ff0000"/>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jc w:val="center"/>
              <w:spacing w:after="60" w:line="240" w:lineRule="auto"/>
              <w:rPr>
                <w:rFonts w:ascii="Times New Roman" w:hAnsi="Times New Roman" w:eastAsia="Times New Roman"/>
                <w:bCs/>
                <w:lang w:eastAsia="ru-RU"/>
              </w:rPr>
            </w:pPr>
            <w:r>
              <w:rPr>
                <w:rFonts w:ascii="Times New Roman" w:hAnsi="Times New Roman"/>
              </w:rPr>
              <w:t xml:space="preserve">Согласно </w:t>
            </w:r>
            <w:r>
              <w:rPr>
                <w:rFonts w:ascii="Times New Roman" w:hAnsi="Times New Roman"/>
              </w:rPr>
              <w:br w:type="textWrapping" w:clear="all"/>
            </w:r>
            <w:r>
              <w:rPr>
                <w:rFonts w:ascii="Times New Roman" w:hAnsi="Times New Roman"/>
              </w:rPr>
              <w:t xml:space="preserve">Приложению </w:t>
            </w:r>
            <w:r>
              <w:rPr>
                <w:rFonts w:ascii="Times New Roman" w:hAnsi="Times New Roman"/>
              </w:rPr>
              <w:br w:type="textWrapping" w:clear="all"/>
            </w:r>
            <w:r>
              <w:rPr>
                <w:rFonts w:ascii="Times New Roman" w:hAnsi="Times New Roman"/>
              </w:rPr>
              <w:t xml:space="preserve">к Тарифам»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92" w:type="dxa"/>
            <w:vAlign w:val="top"/>
            <w:textDirection w:val="lrTb"/>
            <w:noWrap w:val="false"/>
          </w:tcPr>
          <w:p>
            <w:pPr>
              <w:pStyle w:val="1167"/>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993" w:type="dxa"/>
            <w:vAlign w:val="top"/>
            <w:textDirection w:val="lrTb"/>
            <w:noWrap w:val="false"/>
          </w:tcPr>
          <w:p>
            <w:pPr>
              <w:pStyle w:val="1167"/>
              <w:ind w:left="1416" w:firstLine="70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835"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gridSpan w:val="2"/>
            <w:tcW w:w="2992" w:type="dxa"/>
            <w:vAlign w:val="center"/>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rPr>
                <w:rFonts w:ascii="Times New Roman" w:hAnsi="Times New Roman"/>
                <w:bCs/>
              </w:rPr>
            </w:pPr>
            <w:r>
              <w:rPr>
                <w:rFonts w:ascii="Times New Roman" w:hAnsi="Times New Roman"/>
                <w:bCs/>
              </w:rPr>
              <w:t xml:space="preserve">13.3.</w:t>
            </w:r>
            <w:r>
              <w:rPr>
                <w:rFonts w:ascii="Times New Roman" w:hAnsi="Times New Roman"/>
                <w:bCs/>
              </w:rPr>
            </w:r>
            <w:r>
              <w:rPr>
                <w:rFonts w:ascii="Times New Roman" w:hAnsi="Times New Roman"/>
                <w:bCs/>
              </w:rPr>
            </w:r>
          </w:p>
        </w:tc>
        <w:tc>
          <w:tcPr>
            <w:tcW w:w="3260" w:type="dxa"/>
            <w:vAlign w:val="center"/>
            <w:textDirection w:val="lrTb"/>
            <w:noWrap w:val="false"/>
          </w:tcPr>
          <w:p>
            <w:pPr>
              <w:pStyle w:val="1167"/>
              <w:ind w:left="74"/>
              <w:jc w:val="both"/>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r>
              <w:rPr>
                <w:rFonts w:ascii="Times New Roman" w:hAnsi="Times New Roman"/>
                <w:bCs/>
              </w:rPr>
            </w:r>
          </w:p>
        </w:tc>
        <w:tc>
          <w:tcPr>
            <w:tcW w:w="2835" w:type="dxa"/>
            <w:vAlign w:val="top"/>
            <w:textDirection w:val="lrTb"/>
            <w:noWrap w:val="false"/>
          </w:tcPr>
          <w:p>
            <w:pPr>
              <w:pStyle w:val="1167"/>
              <w:jc w:val="center"/>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W w:w="3260" w:type="dxa"/>
            <w:vAlign w:val="center"/>
            <w:textDirection w:val="lrTb"/>
            <w:noWrap w:val="false"/>
          </w:tcPr>
          <w:p>
            <w:pPr>
              <w:pStyle w:val="1167"/>
              <w:ind w:left="74"/>
              <w:jc w:val="both"/>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платежной системы МИР, международных платежных систем, UnionPay, JCB, American Express, VISA и Master</w:t>
            </w:r>
            <w:r>
              <w:rPr>
                <w:rFonts w:ascii="Times New Roman" w:hAnsi="Times New Roman"/>
                <w:lang w:val="en-US"/>
              </w:rPr>
              <w:t xml:space="preserve">c</w:t>
            </w:r>
            <w:r>
              <w:rPr>
                <w:rFonts w:ascii="Times New Roman" w:hAnsi="Times New Roman"/>
              </w:rPr>
              <w:t xml:space="preserve">ard (кроме карт, выпущенных АО «Россельхозбанк»)</w:t>
            </w:r>
            <w:r>
              <w:rPr>
                <w:rFonts w:ascii="Times New Roman" w:hAnsi="Times New Roman"/>
              </w:rPr>
            </w:r>
            <w:r>
              <w:rPr>
                <w:rFonts w:ascii="Times New Roman" w:hAnsi="Times New Roman"/>
              </w:rPr>
            </w:r>
          </w:p>
        </w:tc>
        <w:tc>
          <w:tcPr>
            <w:tcW w:w="2835" w:type="dxa"/>
            <w:vAlign w:val="top"/>
            <w:textDirection w:val="lrTb"/>
            <w:noWrap w:val="false"/>
          </w:tcPr>
          <w:p>
            <w:pPr>
              <w:pStyle w:val="1167"/>
              <w:ind w:left="72"/>
              <w:spacing w:before="40" w:after="40"/>
              <w:rPr>
                <w:rFonts w:ascii="Times New Roman" w:hAnsi="Times New Roman"/>
              </w:rPr>
            </w:pPr>
            <w:r>
              <w:rPr>
                <w:rFonts w:ascii="Times New Roman" w:hAnsi="Times New Roman"/>
              </w:rPr>
              <w:t xml:space="preserve">По договоренности</w:t>
            </w:r>
            <w:r>
              <w:rPr>
                <w:rFonts w:ascii="Times New Roman" w:hAnsi="Times New Roman"/>
                <w:lang w:val="en-US"/>
              </w:rPr>
              <w:t xml:space="preserve"> </w:t>
            </w:r>
            <w:r>
              <w:rPr>
                <w:rFonts w:ascii="Times New Roman" w:hAnsi="Times New Roman"/>
              </w:rPr>
              <w:t xml:space="preserve">сторон</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260" w:type="dxa"/>
            <w:vAlign w:val="center"/>
            <w:textDirection w:val="lrTb"/>
            <w:noWrap w:val="false"/>
          </w:tcPr>
          <w:p>
            <w:pPr>
              <w:pStyle w:val="1167"/>
              <w:ind w:left="74"/>
              <w:jc w:val="both"/>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w:t>
              <w:br w:type="textWrapping" w:clear="all"/>
              <w:t xml:space="preserve">АО «Россельхозбанк» (МИР, UnionPay, JCB, VISA и Master</w:t>
            </w:r>
            <w:r>
              <w:rPr>
                <w:rFonts w:ascii="Times New Roman" w:hAnsi="Times New Roman"/>
                <w:lang w:val="en-US"/>
              </w:rPr>
              <w:t xml:space="preserve">c</w:t>
            </w:r>
            <w:r>
              <w:rPr>
                <w:rFonts w:ascii="Times New Roman" w:hAnsi="Times New Roman"/>
              </w:rPr>
              <w:t xml:space="preserve">ard всех категорий)</w:t>
            </w:r>
            <w:r>
              <w:rPr>
                <w:rFonts w:ascii="Times New Roman" w:hAnsi="Times New Roman"/>
              </w:rPr>
            </w:r>
            <w:r>
              <w:rPr>
                <w:rFonts w:ascii="Times New Roman" w:hAnsi="Times New Roman"/>
              </w:rPr>
            </w:r>
          </w:p>
        </w:tc>
        <w:tc>
          <w:tcPr>
            <w:tcW w:w="2835" w:type="dxa"/>
            <w:vAlign w:val="top"/>
            <w:textDirection w:val="lrTb"/>
            <w:noWrap w:val="false"/>
          </w:tcPr>
          <w:p>
            <w:pPr>
              <w:pStyle w:val="1167"/>
              <w:ind w:left="72"/>
              <w:spacing w:before="40" w:after="4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ind w:left="72"/>
              <w:jc w:val="both"/>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pStyle w:val="1167"/>
              <w:ind w:left="72"/>
              <w:jc w:val="both"/>
              <w:spacing w:before="40" w:after="40"/>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r>
              <w:rPr>
                <w:rFonts w:ascii="Times New Roman" w:hAnsi="Times New Roman"/>
              </w:rPr>
            </w:r>
          </w:p>
        </w:tc>
        <w:tc>
          <w:tcPr>
            <w:tcW w:w="2835" w:type="dxa"/>
            <w:vAlign w:val="top"/>
            <w:textDirection w:val="lrTb"/>
            <w:noWrap w:val="false"/>
          </w:tcPr>
          <w:p>
            <w:pPr>
              <w:pStyle w:val="1167"/>
              <w:ind w:left="72"/>
              <w:jc w:val="both"/>
              <w:spacing w:before="40" w:after="4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835"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835"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67"/>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835" w:type="dxa"/>
            <w:vAlign w:val="top"/>
            <w:textDirection w:val="lrTb"/>
            <w:noWrap w:val="false"/>
          </w:tcPr>
          <w:p>
            <w:pPr>
              <w:pStyle w:val="1167"/>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835"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67"/>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835"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67"/>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835" w:type="dxa"/>
            <w:vAlign w:val="top"/>
            <w:textDirection w:val="lrTb"/>
            <w:noWrap w:val="false"/>
          </w:tcPr>
          <w:p>
            <w:pPr>
              <w:pStyle w:val="1167"/>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7"/>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167"/>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835" w:type="dxa"/>
            <w:vAlign w:val="top"/>
            <w:textDirection w:val="lrTb"/>
            <w:noWrap w:val="false"/>
          </w:tcPr>
          <w:p>
            <w:pPr>
              <w:pStyle w:val="1167"/>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gridSpan w:val="2"/>
            <w:tcW w:w="2992" w:type="dxa"/>
            <w:vAlign w:val="center"/>
            <w:textDirection w:val="lrTb"/>
            <w:noWrap w:val="false"/>
          </w:tcPr>
          <w:p>
            <w:pPr>
              <w:pStyle w:val="1167"/>
              <w:ind w:left="72"/>
              <w:jc w:val="both"/>
              <w:spacing w:before="40" w:after="4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67"/>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67"/>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67"/>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67"/>
              <w:jc w:val="center"/>
              <w:spacing w:before="40" w:after="40" w:line="240" w:lineRule="auto"/>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67"/>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p>
            <w:pPr>
              <w:pStyle w:val="1167"/>
              <w:jc w:val="center"/>
              <w:spacing w:before="40" w:after="0" w:line="240" w:lineRule="auto"/>
              <w:rPr>
                <w:rFonts w:ascii="Times New Roman" w:hAnsi="Times New Roman"/>
                <w:color w:val="000000"/>
              </w:rPr>
            </w:pPr>
            <w:r>
              <w:rPr>
                <w:rFonts w:ascii="Times New Roman" w:hAnsi="Times New Roman"/>
                <w:color w:val="000000"/>
              </w:rPr>
              <w:t xml:space="preserve">лимит одного перевода – 999 999,99 руб.</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993" w:type="dxa"/>
            <w:vAlign w:val="top"/>
            <w:textDirection w:val="lrTb"/>
            <w:noWrap w:val="false"/>
          </w:tcPr>
          <w:p>
            <w:pPr>
              <w:pStyle w:val="1167"/>
              <w:jc w:val="center"/>
              <w:spacing w:before="40" w:after="40" w:line="240" w:lineRule="auto"/>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167"/>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835" w:type="dxa"/>
            <w:vAlign w:val="center"/>
            <w:textDirection w:val="lrTb"/>
            <w:noWrap w:val="false"/>
          </w:tcPr>
          <w:p>
            <w:pPr>
              <w:pStyle w:val="1167"/>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W w:w="2977" w:type="dxa"/>
            <w:vAlign w:val="top"/>
            <w:textDirection w:val="lrTb"/>
            <w:noWrap w:val="false"/>
          </w:tcPr>
          <w:p>
            <w:pPr>
              <w:pStyle w:val="1167"/>
              <w:jc w:val="center"/>
              <w:spacing w:before="40" w:after="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bl>
    <w:p>
      <w:pPr>
        <w:pStyle w:val="1167"/>
        <w:jc w:val="both"/>
        <w:spacing w:before="120" w:after="0" w:line="240" w:lineRule="auto"/>
        <w:rPr>
          <w:rFonts w:ascii="Times New Roman" w:hAnsi="Times New Roman" w:eastAsia="Times New Roman"/>
          <w:lang w:eastAsia="ru-RU"/>
        </w:rPr>
      </w:pPr>
      <w:r>
        <w:rPr>
          <w:rFonts w:ascii="Times New Roman" w:hAnsi="Times New Roman" w:eastAsia="Times New Roman"/>
          <w:u w:val="single"/>
          <w:lang w:eastAsia="ru-RU"/>
        </w:rPr>
        <w:t xml:space="preserve">Примечание:</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67"/>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2"/>
        <w:gridCol w:w="2482"/>
        <w:gridCol w:w="3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167"/>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575" w:type="pct"/>
            <w:vAlign w:val="center"/>
            <w:textDirection w:val="lrTb"/>
            <w:noWrap w:val="false"/>
          </w:tcPr>
          <w:p>
            <w:pPr>
              <w:pStyle w:val="1167"/>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224" w:type="pct"/>
            <w:vAlign w:val="center"/>
            <w:textDirection w:val="lrTb"/>
            <w:noWrap w:val="false"/>
          </w:tcPr>
          <w:p>
            <w:pPr>
              <w:pStyle w:val="1167"/>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715" w:type="pct"/>
            <w:vAlign w:val="center"/>
            <w:textDirection w:val="lrTb"/>
            <w:noWrap w:val="false"/>
          </w:tcPr>
          <w:p>
            <w:pPr>
              <w:pStyle w:val="1167"/>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67"/>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 </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67"/>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дополнительных торговых разделов на междепозитарном счете АО «Россельхозбанк» в НКО ЗАО НРД и в других депозитариях</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67"/>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1 000 руб. 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6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6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20 000 руб</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67"/>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715" w:type="pct"/>
            <w:vAlign w:val="top"/>
            <w:textDirection w:val="lrTb"/>
            <w:noWrap w:val="false"/>
          </w:tcPr>
          <w:p>
            <w:pPr>
              <w:pStyle w:val="1167"/>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514" w:type="pct"/>
            <w:vAlign w:val="top"/>
            <w:textDirection w:val="lrTb"/>
            <w:noWrap w:val="false"/>
          </w:tcPr>
          <w:p>
            <w:pPr>
              <w:pStyle w:val="1167"/>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6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67"/>
              <w:ind w:right="-17"/>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c>
          <w:tcPr>
            <w:tcW w:w="1224" w:type="pct"/>
            <w:vAlign w:val="top"/>
            <w:textDirection w:val="lrTb"/>
            <w:noWrap w:val="false"/>
          </w:tcPr>
          <w:p>
            <w:pPr>
              <w:pStyle w:val="1167"/>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Облигаций до 50 млн. руб. (включительно) - 0,06% годовых, минимум 300 руб. в месяц, свыше 50 млн. руб. - 0,05% годовых, минимум 300 руб. в месяцгодовых</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67"/>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val="en-US"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938"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715" w:type="pct"/>
            <w:vAlign w:val="top"/>
            <w:textDirection w:val="lrTb"/>
            <w:noWrap w:val="false"/>
          </w:tcPr>
          <w:p>
            <w:pPr>
              <w:pStyle w:val="1167"/>
              <w:ind w:left="-2" w:right="-18"/>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67"/>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tcW w:w="1224"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715" w:type="pct"/>
            <w:vAlign w:val="top"/>
            <w:textDirection w:val="lrTb"/>
            <w:noWrap w:val="false"/>
          </w:tcPr>
          <w:p>
            <w:pPr>
              <w:pStyle w:val="1167"/>
              <w:ind w:left="-2" w:right="-18"/>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14.2.6.</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и учет ценных бумаг, являющихся обеспечением по кредитам, выданным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224"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100 руб. в месяц </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715" w:type="pct"/>
            <w:vAlign w:val="top"/>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bottom w:val="single" w:color="000000" w:sz="4" w:space="0"/>
            </w:tcBorders>
            <w:tcW w:w="4514" w:type="pct"/>
            <w:vAlign w:val="top"/>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Хранение и учет на торговом счете ДЕПО ценных бумаг Депонентов, принятых АО «Россельхозбанк» на брокерское обслуживание</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67"/>
        <w:jc w:val="center"/>
        <w:spacing w:before="40" w:after="40" w:line="240" w:lineRule="auto"/>
        <w:rPr>
          <w:rFonts w:ascii="Times New Roman" w:hAnsi="Times New Roman" w:eastAsia="Times New Roman"/>
          <w:bCs/>
          <w:lang w:eastAsia="ru-RU"/>
        </w:rPr>
        <w:sectPr>
          <w:headerReference w:type="default" r:id="rId9"/>
          <w:footnotePr/>
          <w:endnotePr/>
          <w:type w:val="nextPage"/>
          <w:pgSz w:w="11906" w:h="16838" w:orient="portrait"/>
          <w:pgMar w:top="709" w:right="851" w:bottom="709" w:left="1134" w:header="709" w:footer="709" w:gutter="0"/>
          <w:cols w:num="1" w:sep="0" w:space="708" w:equalWidth="1"/>
          <w:docGrid w:linePitch="360"/>
          <w:titlePg/>
        </w:sect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194"/>
        <w:gridCol w:w="1496"/>
        <w:gridCol w:w="1097"/>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trPr>
        <w:tc>
          <w:tcPr>
            <w:tcW w:w="486" w:type="pct"/>
            <w:vAlign w:val="top"/>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single" w:color="000000" w:sz="4" w:space="0"/>
            </w:tcBorders>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Средневзвешенная стоимость</w:t>
            </w:r>
            <w:r>
              <w:rPr>
                <w:rFonts w:ascii="Times New Roman" w:hAnsi="Times New Roman" w:eastAsia="Times New Roman"/>
                <w:bCs/>
                <w:sz w:val="18"/>
                <w:vertAlign w:val="superscript"/>
                <w:lang w:eastAsia="ru-RU"/>
              </w:rPr>
              <w:footnoteReference w:id="9"/>
            </w:r>
            <w:r>
              <w:rPr>
                <w:rFonts w:ascii="Times New Roman" w:hAnsi="Times New Roman" w:eastAsia="Times New Roman"/>
                <w:bCs/>
                <w:sz w:val="18"/>
                <w:lang w:eastAsia="ru-RU"/>
              </w:rPr>
              <w:t xml:space="preserve"> ценных бумаг (млрд. руб.)</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541" w:type="pct"/>
            <w:vAlign w:val="center"/>
            <w:textDirection w:val="lrTb"/>
            <w:noWrap w:val="false"/>
          </w:tcPr>
          <w:p>
            <w:pPr>
              <w:pStyle w:val="1167"/>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w:t>
            </w:r>
            <w:r>
              <w:rPr>
                <w:rFonts w:ascii="Times New Roman" w:hAnsi="Times New Roman" w:eastAsia="Times New Roman"/>
                <w:bCs/>
                <w:sz w:val="18"/>
                <w:lang w:eastAsia="ru-RU"/>
              </w:rPr>
            </w:r>
            <w:r>
              <w:rPr>
                <w:rFonts w:ascii="Times New Roman" w:hAnsi="Times New Roman" w:eastAsia="Times New Roman"/>
                <w:bCs/>
                <w:sz w:val="18"/>
                <w:lang w:eastAsia="ru-RU"/>
              </w:rPr>
            </w:r>
          </w:p>
          <w:p>
            <w:pPr>
              <w:pStyle w:val="1167"/>
              <w:ind w:left="-72" w:right="-101"/>
              <w:jc w:val="center"/>
              <w:rPr>
                <w:rFonts w:ascii="Times New Roman" w:hAnsi="Times New Roman" w:eastAsia="Times New Roman"/>
                <w:bCs/>
                <w:sz w:val="18"/>
                <w:lang w:eastAsia="ru-RU"/>
              </w:rPr>
            </w:pPr>
            <w:r>
              <w:rPr>
                <w:rFonts w:ascii="Times New Roman" w:hAnsi="Times New Roman" w:eastAsia="Times New Roman"/>
                <w:bCs/>
                <w:sz w:val="18"/>
                <w:lang w:eastAsia="ru-RU"/>
              </w:rPr>
              <w:t xml:space="preserve">годовых</w:t>
            </w:r>
            <w:r>
              <w:rPr>
                <w:rFonts w:ascii="Times New Roman" w:hAnsi="Times New Roman" w:eastAsia="Times New Roman"/>
                <w:bCs/>
                <w:sz w:val="18"/>
                <w:lang w:eastAsia="ru-RU"/>
              </w:rPr>
            </w:r>
            <w:r>
              <w:rPr>
                <w:rFonts w:ascii="Times New Roman" w:hAnsi="Times New Roman" w:eastAsia="Times New Roman"/>
                <w:bCs/>
                <w:sz w:val="18"/>
                <w:lang w:eastAsia="ru-RU"/>
              </w:rPr>
            </w:r>
          </w:p>
        </w:tc>
        <w:tc>
          <w:tcPr>
            <w:tcW w:w="1659" w:type="pct"/>
            <w:vAlign w:val="top"/>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14.2.7.1.</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облигаций,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0,026%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restart"/>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ежемесячной средневзвешенной стоимости ценных бумаг на счете депо. </w:t>
            </w:r>
            <w:r>
              <w:rPr>
                <w:rFonts w:ascii="Times New Roman" w:hAnsi="Times New Roman" w:eastAsia="Times New Roman"/>
                <w:bCs/>
                <w:lang w:eastAsia="ru-RU"/>
              </w:rPr>
            </w:r>
            <w:r>
              <w:rPr>
                <w:rFonts w:ascii="Times New Roman" w:hAnsi="Times New Roman" w:eastAsia="Times New Roman"/>
                <w:bCs/>
                <w:lang w:eastAsia="ru-RU"/>
              </w:rPr>
            </w:r>
          </w:p>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1575" w:type="pct"/>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0,024 %</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5 до 10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0,0197%</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10 до 20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0,0192%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от 20 до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0,0172%</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свыше 50</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ind w:left="-2" w:right="-18"/>
              <w:jc w:val="center"/>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0,016%</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14.2.7.2.</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restart"/>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акций и  российских депозитарных расписок, выпущенных на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до 0,5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0,019%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0,5 до 1</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0,014%</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от 1 до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0,013%</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vMerge w:val="continue"/>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738"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свыше 5</w:t>
            </w:r>
            <w:r>
              <w:rPr>
                <w:rFonts w:ascii="Times New Roman" w:hAnsi="Times New Roman" w:eastAsia="Times New Roman"/>
                <w:bCs/>
                <w:lang w:eastAsia="ru-RU"/>
              </w:rPr>
            </w:r>
            <w:r>
              <w:rPr>
                <w:rFonts w:ascii="Times New Roman" w:hAnsi="Times New Roman" w:eastAsia="Times New Roman"/>
                <w:bCs/>
                <w:lang w:eastAsia="ru-RU"/>
              </w:rPr>
            </w:r>
          </w:p>
        </w:tc>
        <w:tc>
          <w:tcPr>
            <w:tcW w:w="541" w:type="pct"/>
            <w:vAlign w:val="top"/>
            <w:textDirection w:val="lrTb"/>
            <w:noWrap w:val="false"/>
          </w:tcPr>
          <w:p>
            <w:pPr>
              <w:pStyle w:val="1167"/>
              <w:jc w:val="center"/>
              <w:rPr>
                <w:rFonts w:ascii="Times New Roman" w:hAnsi="Times New Roman" w:eastAsia="Times New Roman"/>
                <w:bCs/>
                <w:lang w:eastAsia="ru-RU"/>
              </w:rPr>
            </w:pPr>
            <w:r>
              <w:rPr>
                <w:rFonts w:ascii="Times New Roman" w:hAnsi="Times New Roman" w:eastAsia="Times New Roman"/>
                <w:bCs/>
                <w:lang w:eastAsia="ru-RU"/>
              </w:rPr>
              <w:t xml:space="preserve">0,01%</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vMerge w:val="continue"/>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14.2.7.3.</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0,035% годовых минимум 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67"/>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14.2.7.4.</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jc w:val="both"/>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вне территории Российской Федерации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center"/>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67"/>
              <w:ind w:left="-2" w:right="-18"/>
              <w:spacing w:before="40" w:after="40"/>
              <w:tabs>
                <w:tab w:val="left" w:pos="4464" w:leader="none"/>
                <w:tab w:val="left" w:pos="5760" w:leader="none"/>
              </w:tabs>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rPr>
                <w:rFonts w:ascii="Times New Roman" w:hAnsi="Times New Roman" w:eastAsia="Times New Roman"/>
                <w:bCs/>
                <w:lang w:eastAsia="ru-RU"/>
              </w:rPr>
            </w:pPr>
            <w:r>
              <w:rPr>
                <w:rFonts w:ascii="Times New Roman" w:hAnsi="Times New Roman" w:eastAsia="Times New Roman"/>
                <w:bCs/>
                <w:lang w:eastAsia="ru-RU"/>
              </w:rPr>
              <w:t xml:space="preserve">14.2.7.5.</w:t>
            </w:r>
            <w:r>
              <w:rPr>
                <w:rFonts w:ascii="Times New Roman" w:hAnsi="Times New Roman" w:eastAsia="Times New Roman"/>
                <w:bCs/>
                <w:lang w:eastAsia="ru-RU"/>
              </w:rPr>
            </w:r>
            <w:r>
              <w:rPr>
                <w:rFonts w:ascii="Times New Roman" w:hAnsi="Times New Roman" w:eastAsia="Times New Roman"/>
                <w:bCs/>
                <w:lang w:eastAsia="ru-RU"/>
              </w:rPr>
            </w:r>
          </w:p>
        </w:tc>
        <w:tc>
          <w:tcPr>
            <w:tcW w:w="1575" w:type="pct"/>
            <w:vAlign w:val="top"/>
            <w:textDirection w:val="lrTb"/>
            <w:noWrap w:val="false"/>
          </w:tcPr>
          <w:p>
            <w:pPr>
              <w:pStyle w:val="1167"/>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1659"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6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p>
            <w:pPr>
              <w:pStyle w:val="1167"/>
              <w:ind w:left="180"/>
              <w:spacing w:before="40" w:after="40" w:line="240" w:lineRule="auto"/>
              <w:tabs>
                <w:tab w:val="left" w:pos="540"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279" w:type="pct"/>
            <w:vAlign w:val="top"/>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           минимум 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6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свободная от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right="-17"/>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shd w:val="clear" w:color="auto" w:fill="ffffff"/>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67"/>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АО «Россельхозбанк»,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67"/>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операциям купли-продажи ценных бумаг, совершенным   через брокера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 </w:t>
            </w:r>
            <w:r>
              <w:rPr>
                <w:rFonts w:ascii="Times New Roman" w:hAnsi="Times New Roman" w:eastAsia="Times New Roman"/>
                <w:lang w:eastAsia="ru-RU"/>
              </w:rPr>
            </w:r>
            <w:r>
              <w:rPr>
                <w:rFonts w:ascii="Times New Roman" w:hAnsi="Times New Roman" w:eastAsia="Times New Roman"/>
                <w:lang w:eastAsia="ru-RU"/>
              </w:rPr>
            </w:r>
          </w:p>
          <w:p>
            <w:pPr>
              <w:pStyle w:val="1167"/>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максимум 5000руб.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67"/>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tabs>
                <w:tab w:val="left" w:pos="290"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279" w:type="pct"/>
            <w:vAlign w:val="center"/>
            <w:vMerge w:val="restart"/>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tabs>
                <w:tab w:val="left" w:pos="346"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6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6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lang w:eastAsia="ru-RU"/>
              </w:rPr>
              <w:t xml:space="preserve">-</w:t>
              <w:tab/>
              <w:t xml:space="preserve">регистрация уступки прав по договору залога ценных  бумаг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vMerge w:val="continue"/>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регистрация перехода прав по договору залога ценных  бумаг</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vMerge w:val="continue"/>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lang w:eastAsia="ru-RU"/>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67"/>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67"/>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Оказание содействия в осуществлении депонентом прав по ценным бума</w:t>
            </w:r>
            <w:r>
              <w:rPr>
                <w:rFonts w:ascii="Times New Roman" w:hAnsi="Times New Roman" w:eastAsia="Times New Roman"/>
                <w:bCs/>
                <w:lang w:eastAsia="ru-RU"/>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1500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p>
            <w:pPr>
              <w:pStyle w:val="116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w:t>
            </w:r>
            <w:r>
              <w:rPr>
                <w:rFonts w:ascii="Times New Roman" w:hAnsi="Times New Roman" w:eastAsia="Times New Roman"/>
                <w:lang w:eastAsia="ru-RU"/>
              </w:rPr>
            </w:r>
            <w:r>
              <w:rPr>
                <w:rFonts w:ascii="Times New Roman" w:hAnsi="Times New Roman" w:eastAsia="Times New Roman"/>
                <w:lang w:eastAsia="ru-RU"/>
              </w:rPr>
            </w:r>
          </w:p>
          <w:p>
            <w:pPr>
              <w:pStyle w:val="116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сумм доходов на денежные счета, открытые в </w:t>
            </w:r>
            <w:r>
              <w:rPr>
                <w:rFonts w:ascii="Times New Roman" w:hAnsi="Times New Roman" w:eastAsia="Times New Roman"/>
                <w:bCs/>
                <w:lang w:eastAsia="ru-RU"/>
              </w:rPr>
            </w:r>
            <w:r>
              <w:rPr>
                <w:rFonts w:ascii="Times New Roman" w:hAnsi="Times New Roman" w:eastAsia="Times New Roman"/>
                <w:bCs/>
                <w:lang w:eastAsia="ru-RU"/>
              </w:rPr>
            </w:r>
          </w:p>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t xml:space="preserve">В случае, если сумма перевода меньше суммы комиссии, то перевод дохода не производится, сумма зачисляется в доход Банка.</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2 000 руб.</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p>
            <w:pPr>
              <w:pStyle w:val="1167"/>
              <w:ind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6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4514" w:type="pct"/>
            <w:vAlign w:val="top"/>
            <w:textDirection w:val="lrTb"/>
            <w:noWrap w:val="false"/>
          </w:tcPr>
          <w:p>
            <w:pPr>
              <w:pStyle w:val="1167"/>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.8.2.</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.8.3.</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.8.4.</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 за период до 1 года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 за период от 1 года до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 за период более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5000 руб.  </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.8.5.</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3000 руб.  </w:t>
            </w:r>
            <w:r>
              <w:rPr>
                <w:rFonts w:ascii="Times New Roman" w:hAnsi="Times New Roman" w:eastAsia="Arial Unicode MS"/>
                <w:lang w:eastAsia="ru-RU"/>
              </w:rPr>
            </w:r>
            <w:r>
              <w:rPr>
                <w:rFonts w:ascii="Times New Roman" w:hAnsi="Times New Roman" w:eastAsia="Arial Unicode MS"/>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2"/>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t xml:space="preserve">14.8.6.</w:t>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167"/>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tcW w:w="1575" w:type="pct"/>
            <w:vAlign w:val="top"/>
            <w:textDirection w:val="lrTb"/>
            <w:noWrap w:val="false"/>
          </w:tcPr>
          <w:p>
            <w:pPr>
              <w:pStyle w:val="1167"/>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279" w:type="pct"/>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659" w:type="pct"/>
            <w:vAlign w:val="top"/>
            <w:textDirection w:val="lrTb"/>
            <w:noWrap w:val="false"/>
          </w:tcPr>
          <w:p>
            <w:pPr>
              <w:pStyle w:val="1167"/>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67"/>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7"/>
        <w:gridCol w:w="4820"/>
        <w:gridCol w:w="198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67"/>
              <w:ind w:right="-250"/>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 п/п</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4820" w:type="dxa"/>
            <w:vAlign w:val="top"/>
            <w:textDirection w:val="lrTb"/>
            <w:noWrap w:val="false"/>
          </w:tcPr>
          <w:p>
            <w:pPr>
              <w:pStyle w:val="1167"/>
              <w:ind w:firstLine="709"/>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Наименование услуги</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1984" w:type="dxa"/>
            <w:vAlign w:val="top"/>
            <w:textDirection w:val="lrTb"/>
            <w:noWrap w:val="false"/>
          </w:tcPr>
          <w:p>
            <w:pPr>
              <w:pStyle w:val="1167"/>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Тариф</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W w:w="2410" w:type="dxa"/>
            <w:vAlign w:val="top"/>
            <w:textDirection w:val="lrTb"/>
            <w:noWrap w:val="false"/>
          </w:tcPr>
          <w:p>
            <w:pPr>
              <w:pStyle w:val="1167"/>
              <w:jc w:val="center"/>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bCs/>
                <w:sz w:val="24"/>
                <w:szCs w:val="20"/>
                <w:lang w:eastAsia="ru-RU"/>
              </w:rPr>
              <w:t xml:space="preserve">Примечание</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17" w:type="dxa"/>
            <w:vAlign w:val="top"/>
            <w:textDirection w:val="lrTb"/>
            <w:noWrap w:val="false"/>
          </w:tcPr>
          <w:p>
            <w:pPr>
              <w:pStyle w:val="1167"/>
              <w:jc w:val="both"/>
              <w:spacing w:after="0" w:line="240" w:lineRule="auto"/>
              <w:tabs>
                <w:tab w:val="center" w:pos="1260" w:leader="none"/>
                <w:tab w:val="right" w:pos="9355" w:leader="none"/>
              </w:tabs>
              <w:rPr>
                <w:rFonts w:ascii="Times New Roman" w:hAnsi="Times New Roman" w:eastAsia="Times New Roman"/>
                <w:sz w:val="24"/>
                <w:szCs w:val="20"/>
                <w:lang w:eastAsia="ru-RU"/>
              </w:rPr>
            </w:pPr>
            <w:r>
              <w:rPr>
                <w:rFonts w:ascii="Times New Roman" w:hAnsi="Times New Roman" w:eastAsia="Times New Roman"/>
                <w:sz w:val="24"/>
                <w:szCs w:val="20"/>
                <w:lang w:eastAsia="ru-RU"/>
              </w:rPr>
              <w:t xml:space="preserve">15.1.</w:t>
            </w:r>
            <w:r>
              <w:rPr>
                <w:rFonts w:ascii="Times New Roman" w:hAnsi="Times New Roman" w:eastAsia="Times New Roman"/>
                <w:sz w:val="24"/>
                <w:szCs w:val="20"/>
                <w:lang w:eastAsia="ru-RU"/>
              </w:rPr>
            </w:r>
            <w:r>
              <w:rPr>
                <w:rFonts w:ascii="Times New Roman" w:hAnsi="Times New Roman" w:eastAsia="Times New Roman"/>
                <w:sz w:val="24"/>
                <w:szCs w:val="20"/>
                <w:lang w:eastAsia="ru-RU"/>
              </w:rPr>
            </w:r>
          </w:p>
        </w:tc>
        <w:tc>
          <w:tcPr>
            <w:tcBorders>
              <w:bottom w:val="single" w:color="000000" w:sz="4" w:space="0"/>
            </w:tcBorders>
            <w:tcW w:w="4820" w:type="dxa"/>
            <w:vAlign w:val="top"/>
            <w:textDirection w:val="lrTb"/>
            <w:noWrap w:val="false"/>
          </w:tcPr>
          <w:p>
            <w:pPr>
              <w:pStyle w:val="1167"/>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eastAsia="Times New Roman"/>
                <w:lang w:eastAsia="ru-RU"/>
              </w:rPr>
            </w:r>
            <w:r>
              <w:rPr>
                <w:rFonts w:ascii="Times New Roman" w:hAnsi="Times New Roman" w:eastAsia="Times New Roman"/>
                <w:lang w:eastAsia="ru-RU"/>
              </w:rPr>
            </w:r>
          </w:p>
          <w:p>
            <w:pPr>
              <w:pStyle w:val="1167"/>
              <w:ind w:firstLine="176"/>
              <w:spacing w:after="0" w:line="240" w:lineRule="auto"/>
              <w:tabs>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Характеристика и количество монет:</w:t>
            </w:r>
            <w:r>
              <w:rPr>
                <w:rFonts w:ascii="Times New Roman" w:hAnsi="Times New Roman" w:eastAsia="Times New Roman"/>
                <w:lang w:eastAsia="ru-RU"/>
              </w:rPr>
            </w:r>
            <w:r>
              <w:rPr>
                <w:rFonts w:ascii="Times New Roman" w:hAnsi="Times New Roman" w:eastAsia="Times New Roman"/>
                <w:lang w:eastAsia="ru-RU"/>
              </w:rPr>
            </w:r>
          </w:p>
          <w:p>
            <w:pPr>
              <w:pStyle w:val="1167"/>
              <w:ind w:left="34"/>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золото, качество чеканки «анциркулейтед», 7,78 г</w:t>
            </w:r>
            <w:r>
              <w:rPr>
                <w:rFonts w:ascii="Times New Roman" w:hAnsi="Times New Roman" w:eastAsia="Times New Roman"/>
                <w:lang w:eastAsia="ru-RU"/>
              </w:rPr>
            </w:r>
            <w:r>
              <w:rPr>
                <w:rFonts w:ascii="Times New Roman" w:hAnsi="Times New Roman" w:eastAsia="Times New Roman"/>
                <w:lang w:eastAsia="ru-RU"/>
              </w:rPr>
            </w:r>
          </w:p>
          <w:p>
            <w:pPr>
              <w:pStyle w:val="1167"/>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300 до 499 шт.</w:t>
            </w:r>
            <w:r>
              <w:rPr>
                <w:rFonts w:ascii="Times New Roman" w:hAnsi="Times New Roman" w:eastAsia="Times New Roman"/>
                <w:lang w:eastAsia="ru-RU"/>
              </w:rPr>
            </w:r>
            <w:r>
              <w:rPr>
                <w:rFonts w:ascii="Times New Roman" w:hAnsi="Times New Roman" w:eastAsia="Times New Roman"/>
                <w:lang w:eastAsia="ru-RU"/>
              </w:rPr>
            </w:r>
          </w:p>
          <w:p>
            <w:pPr>
              <w:pStyle w:val="1167"/>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до 999 шт.</w:t>
            </w:r>
            <w:r>
              <w:rPr>
                <w:rFonts w:ascii="Times New Roman" w:hAnsi="Times New Roman" w:eastAsia="Times New Roman"/>
                <w:lang w:eastAsia="ru-RU"/>
              </w:rPr>
            </w:r>
            <w:r>
              <w:rPr>
                <w:rFonts w:ascii="Times New Roman" w:hAnsi="Times New Roman" w:eastAsia="Times New Roman"/>
                <w:lang w:eastAsia="ru-RU"/>
              </w:rPr>
            </w:r>
          </w:p>
          <w:p>
            <w:pPr>
              <w:pStyle w:val="1167"/>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1000 до 1499 шт.</w:t>
            </w:r>
            <w:r>
              <w:rPr>
                <w:rFonts w:ascii="Times New Roman" w:hAnsi="Times New Roman" w:eastAsia="Times New Roman"/>
                <w:lang w:eastAsia="ru-RU"/>
              </w:rPr>
            </w:r>
            <w:r>
              <w:rPr>
                <w:rFonts w:ascii="Times New Roman" w:hAnsi="Times New Roman" w:eastAsia="Times New Roman"/>
                <w:lang w:eastAsia="ru-RU"/>
              </w:rPr>
            </w:r>
          </w:p>
          <w:p>
            <w:pPr>
              <w:pStyle w:val="1167"/>
              <w:ind w:left="317"/>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1500 и более шт.</w:t>
            </w:r>
            <w:r>
              <w:rPr>
                <w:rFonts w:ascii="Times New Roman" w:hAnsi="Times New Roman" w:eastAsia="Times New Roman"/>
                <w:lang w:eastAsia="ru-RU"/>
              </w:rPr>
            </w:r>
            <w:r>
              <w:rPr>
                <w:rFonts w:ascii="Times New Roman" w:hAnsi="Times New Roman" w:eastAsia="Times New Roman"/>
                <w:lang w:eastAsia="ru-RU"/>
              </w:rPr>
            </w:r>
          </w:p>
          <w:p>
            <w:pPr>
              <w:pStyle w:val="1167"/>
              <w:spacing w:after="0" w:line="240" w:lineRule="auto"/>
              <w:tabs>
                <w:tab w:val="center" w:pos="34"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 серебро, качество чеканки «анциркулейтед», 31,1 г</w:t>
            </w:r>
            <w:r>
              <w:rPr>
                <w:rFonts w:ascii="Times New Roman" w:hAnsi="Times New Roman" w:eastAsia="Times New Roman"/>
                <w:lang w:eastAsia="ru-RU"/>
              </w:rPr>
            </w:r>
            <w:r>
              <w:rPr>
                <w:rFonts w:ascii="Times New Roman" w:hAnsi="Times New Roman" w:eastAsia="Times New Roman"/>
                <w:lang w:eastAsia="ru-RU"/>
              </w:rPr>
            </w:r>
          </w:p>
          <w:p>
            <w:pPr>
              <w:pStyle w:val="1167"/>
              <w:ind w:left="34" w:firstLine="283"/>
              <w:jc w:val="both"/>
              <w:spacing w:after="0" w:line="240" w:lineRule="auto"/>
              <w:tabs>
                <w:tab w:val="center" w:pos="317" w:leader="none"/>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от 500 и более 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1984" w:type="dxa"/>
            <w:vAlign w:val="top"/>
            <w:textDirection w:val="lrTb"/>
            <w:noWrap w:val="false"/>
          </w:tcPr>
          <w:p>
            <w:pPr>
              <w:pStyle w:val="1167"/>
              <w:ind w:firstLine="34"/>
              <w:jc w:val="center"/>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305 руб./шт.</w:t>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285 руб./шт.</w:t>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265 руб./шт.</w:t>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245 руб./шт.</w:t>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67"/>
              <w:ind w:firstLine="34"/>
              <w:jc w:val="center"/>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155 руб./шт.</w:t>
            </w:r>
            <w:r>
              <w:rPr>
                <w:rFonts w:ascii="Times New Roman" w:hAnsi="Times New Roman" w:eastAsia="Times New Roman"/>
                <w:lang w:eastAsia="ru-RU"/>
              </w:rPr>
            </w:r>
            <w:r>
              <w:rPr>
                <w:rFonts w:ascii="Times New Roman" w:hAnsi="Times New Roman" w:eastAsia="Times New Roman"/>
                <w:lang w:eastAsia="ru-RU"/>
              </w:rPr>
            </w:r>
          </w:p>
        </w:tc>
        <w:tc>
          <w:tcPr>
            <w:tcBorders>
              <w:bottom w:val="single" w:color="000000" w:sz="4" w:space="0"/>
            </w:tcBorders>
            <w:tcW w:w="2410" w:type="dxa"/>
            <w:vAlign w:val="top"/>
            <w:textDirection w:val="lrTb"/>
            <w:noWrap w:val="false"/>
          </w:tcPr>
          <w:p>
            <w:pPr>
              <w:pStyle w:val="1167"/>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before="120" w:after="120" w:line="240" w:lineRule="auto"/>
        <w:tabs>
          <w:tab w:val="left" w:pos="284" w:leader="none"/>
          <w:tab w:val="left" w:pos="993"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16. Операции с драгоценными металлами</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67"/>
              <w:jc w:val="center"/>
              <w:rPr>
                <w:b/>
                <w:sz w:val="20"/>
                <w:szCs w:val="20"/>
              </w:rPr>
            </w:pPr>
            <w:r>
              <w:rPr>
                <w:b/>
                <w:sz w:val="20"/>
                <w:szCs w:val="20"/>
              </w:rPr>
              <w:t xml:space="preserve">№</w:t>
            </w:r>
            <w:r>
              <w:rPr>
                <w:b/>
                <w:sz w:val="20"/>
                <w:szCs w:val="20"/>
              </w:rPr>
            </w:r>
            <w:r>
              <w:rPr>
                <w:b/>
                <w:sz w:val="20"/>
                <w:szCs w:val="20"/>
              </w:rPr>
            </w:r>
          </w:p>
          <w:p>
            <w:pPr>
              <w:pStyle w:val="1167"/>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67"/>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67"/>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16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67"/>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67"/>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6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16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16.1</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67"/>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Ведение банковского счета в драгоценных металлах</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Открытие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Закрытие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Ежемесячное обслуживание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выписки по банковскому счету в драгоценных металлах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16.1.4.1.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дубликата выписки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16.1.5</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Предоставление справки по банковскому счету в драгоценных металлах по запросу клиента</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30 руб. за лист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before="40" w:after="40" w:line="240" w:lineRule="auto"/>
              <w:tabs>
                <w:tab w:val="left" w:pos="284" w:leader="none"/>
                <w:tab w:val="left" w:pos="993" w:leader="none"/>
              </w:tabs>
              <w:rPr>
                <w:rFonts w:ascii="Times New Roman" w:hAnsi="Times New Roman" w:eastAsia="Times New Roman"/>
                <w:b/>
                <w:lang w:eastAsia="ru-RU"/>
              </w:rPr>
            </w:pPr>
            <w:r>
              <w:rPr>
                <w:rFonts w:ascii="Times New Roman" w:hAnsi="Times New Roman" w:eastAsia="Times New Roman"/>
                <w:b/>
                <w:lang w:eastAsia="ru-RU"/>
              </w:rPr>
              <w:t xml:space="preserve">16.2.</w:t>
            </w:r>
            <w:r>
              <w:rPr>
                <w:rFonts w:ascii="Times New Roman" w:hAnsi="Times New Roman" w:eastAsia="Times New Roman"/>
                <w:b/>
                <w:lang w:eastAsia="ru-RU"/>
              </w:rPr>
            </w:r>
            <w:r>
              <w:rPr>
                <w:rFonts w:ascii="Times New Roman" w:hAnsi="Times New Roman" w:eastAsia="Times New Roman"/>
                <w:b/>
                <w:lang w:eastAsia="ru-RU"/>
              </w:rPr>
            </w:r>
          </w:p>
        </w:tc>
        <w:tc>
          <w:tcPr>
            <w:gridSpan w:val="3"/>
            <w:tcW w:w="8965" w:type="dxa"/>
            <w:vAlign w:val="top"/>
            <w:textDirection w:val="lrTb"/>
            <w:noWrap w:val="false"/>
          </w:tcPr>
          <w:p>
            <w:pPr>
              <w:pStyle w:val="1167"/>
              <w:jc w:val="both"/>
              <w:spacing w:before="40" w:after="4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b/>
                <w:lang w:eastAsia="ru-RU"/>
              </w:rPr>
              <w:t xml:space="preserve">Операции по банковским счетам в драгоценных металлах</w:t>
            </w:r>
            <w:r>
              <w:rPr>
                <w:rFonts w:ascii="Times New Roman" w:hAnsi="Times New Roman" w:eastAsia="Times New Roman"/>
                <w:b/>
                <w:vertAlign w:val="superscript"/>
                <w:lang w:eastAsia="ru-RU"/>
              </w:rPr>
              <w:footnoteReference w:id="10"/>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Прием слитков драгоценных металлов для зачисления на банковский счет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vertAlign w:val="superscript"/>
                <w:lang w:eastAsia="ru-RU"/>
              </w:rPr>
              <w:footnoteReference w:id="11"/>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16.2.1.3.2.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Выдача слитков драгоценных металлов со списанием с банковского счета в драгоценных металлах: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Золото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0,05 % </w:t>
              <w:br w:type="textWrapping" w:clear="all"/>
              <w:t xml:space="preserve">от стоимости драгоценного металла</w:t>
            </w:r>
            <w:r>
              <w:rPr>
                <w:rFonts w:ascii="Times New Roman" w:hAnsi="Times New Roman" w:eastAsia="Times New Roman"/>
                <w:vertAlign w:val="superscript"/>
                <w:lang w:eastAsia="ru-RU"/>
              </w:rPr>
              <w:footnoteReference w:id="12"/>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16.2.2.1.3.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Серебро</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0,50 % </w:t>
              <w:br w:type="textWrapping" w:clear="all"/>
              <w:t xml:space="preserve">от стоимости драгоценного металла</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 не соответствующих стандарту «Good Delivery»</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Металлы платиновой группы</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16.2.2.3.1.</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стандартных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16.2.2.3.2.</w:t>
            </w:r>
            <w:r>
              <w:rPr>
                <w:rFonts w:ascii="Times New Roman" w:hAnsi="Times New Roman" w:eastAsia="Times New Roman"/>
                <w:lang w:eastAsia="ru-RU"/>
              </w:rPr>
            </w:r>
            <w:r>
              <w:rPr>
                <w:rFonts w:ascii="Times New Roman" w:hAnsi="Times New Roman" w:eastAsia="Times New Roman"/>
                <w:lang w:eastAsia="ru-RU"/>
              </w:rPr>
            </w:r>
          </w:p>
        </w:tc>
        <w:tc>
          <w:tcPr>
            <w:tcW w:w="3828"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 мерных слитках</w:t>
            </w:r>
            <w:r>
              <w:rPr>
                <w:rFonts w:ascii="Times New Roman" w:hAnsi="Times New Roman" w:eastAsia="Times New Roman"/>
                <w:lang w:eastAsia="ru-RU"/>
              </w:rPr>
            </w:r>
            <w:r>
              <w:rPr>
                <w:rFonts w:ascii="Times New Roman" w:hAnsi="Times New Roman" w:eastAsia="Times New Roman"/>
                <w:lang w:eastAsia="ru-RU"/>
              </w:rPr>
            </w:r>
          </w:p>
        </w:tc>
        <w:tc>
          <w:tcPr>
            <w:tcW w:w="2160" w:type="dxa"/>
            <w:vAlign w:val="top"/>
            <w:textDirection w:val="lrTb"/>
            <w:noWrap w:val="false"/>
          </w:tcPr>
          <w:p>
            <w:pPr>
              <w:pStyle w:val="1167"/>
              <w:jc w:val="center"/>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По согласованию сторон</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67"/>
              <w:jc w:val="both"/>
              <w:spacing w:after="0" w:line="240" w:lineRule="auto"/>
              <w:tabs>
                <w:tab w:val="left" w:pos="284" w:leader="none"/>
                <w:tab w:val="left" w:pos="993" w:leader="none"/>
              </w:tabs>
              <w:rPr>
                <w:rFonts w:ascii="Times New Roman" w:hAnsi="Times New Roman" w:eastAsia="Times New Roman"/>
                <w:lang w:eastAsia="ru-RU"/>
              </w:rPr>
            </w:pPr>
            <w:r>
              <w:rPr>
                <w:rFonts w:ascii="Times New Roman" w:hAnsi="Times New Roman" w:eastAsia="Times New Roman"/>
                <w:lang w:eastAsia="ru-RU"/>
              </w:rPr>
              <w:t xml:space="preserve">Взимается в день составления акта приема-передачи драгоценных металлов»</w:t>
            </w:r>
            <w:r>
              <w:rPr>
                <w:rFonts w:ascii="Times New Roman" w:hAnsi="Times New Roman" w:eastAsia="Times New Roman"/>
                <w:lang w:eastAsia="ru-RU"/>
              </w:rPr>
            </w:r>
            <w:r>
              <w:rPr>
                <w:rFonts w:ascii="Times New Roman" w:hAnsi="Times New Roman" w:eastAsia="Times New Roman"/>
                <w:lang w:eastAsia="ru-RU"/>
              </w:rPr>
            </w:r>
          </w:p>
        </w:tc>
      </w:tr>
    </w:tbl>
    <w:p>
      <w:pPr>
        <w:pStyle w:val="1167"/>
        <w:ind w:left="-425"/>
        <w:jc w:val="center"/>
        <w:keepNext/>
        <w:spacing w:after="4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67"/>
        <w:ind w:left="-425"/>
        <w:jc w:val="center"/>
        <w:keepNext/>
        <w:spacing w:after="40" w:line="240" w:lineRule="auto"/>
        <w:rPr>
          <w:rFonts w:ascii="Times New Roman" w:hAnsi="Times New Roman" w:eastAsia="Times New Roman"/>
          <w:b/>
          <w:bCs/>
          <w:color w:val="808080"/>
          <w:sz w:val="24"/>
          <w:szCs w:val="24"/>
          <w:lang w:eastAsia="ru-RU"/>
        </w:rPr>
        <w:outlineLvl w:val="3"/>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2835"/>
        <w:gridCol w:w="2127"/>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16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35" w:type="dxa"/>
            <w:vAlign w:val="center"/>
            <w:textDirection w:val="lrTb"/>
            <w:noWrap w:val="false"/>
          </w:tcPr>
          <w:p>
            <w:pPr>
              <w:pStyle w:val="116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127" w:type="dxa"/>
            <w:vAlign w:val="center"/>
            <w:textDirection w:val="lrTb"/>
            <w:noWrap w:val="false"/>
          </w:tcPr>
          <w:p>
            <w:pPr>
              <w:pStyle w:val="116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69" w:type="dxa"/>
            <w:vAlign w:val="center"/>
            <w:textDirection w:val="lrTb"/>
            <w:noWrap w:val="false"/>
          </w:tcPr>
          <w:p>
            <w:pPr>
              <w:pStyle w:val="1167"/>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одной HTML-формы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17.1.3.3.</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17.1.3.5.</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17.1.5.2.1.</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8931"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eastAsia="Times New Roman"/>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76"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2835" w:type="dxa"/>
            <w:vAlign w:val="top"/>
            <w:textDirection w:val="lrTb"/>
            <w:noWrap w:val="false"/>
          </w:tcPr>
          <w:p>
            <w:pPr>
              <w:pStyle w:val="1167"/>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2127"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69" w:type="dxa"/>
            <w:vAlign w:val="top"/>
            <w:textDirection w:val="lrTb"/>
            <w:noWrap w:val="false"/>
          </w:tcPr>
          <w:p>
            <w:pPr>
              <w:pStyle w:val="1167"/>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67"/>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Start w:id="0" w:name="_Toc317150640"/>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18.</w:t>
      </w:r>
      <w:r>
        <w:rPr>
          <w:rFonts w:ascii="Times New Roman" w:hAnsi="Times New Roman"/>
          <w:b/>
          <w:sz w:val="24"/>
          <w:szCs w:val="24"/>
        </w:rPr>
        <w:t xml:space="preserve"> Операции с использованием цифрового рубля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167"/>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167"/>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67"/>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67"/>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7"/>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67"/>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67"/>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67"/>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w:t>
      </w:r>
      <w:r>
        <w:rPr>
          <w:rFonts w:ascii="Times New Roman" w:hAnsi="Times New Roman"/>
          <w:i/>
          <w:sz w:val="16"/>
          <w:szCs w:val="16"/>
        </w:rPr>
        <w:t xml:space="preserve"> </w:t>
      </w:r>
      <w:r>
        <w:rPr>
          <w:rFonts w:ascii="Times New Roman" w:hAnsi="Times New Roman" w:eastAsia="Times New Roman"/>
          <w:i/>
          <w:sz w:val="20"/>
          <w:szCs w:val="20"/>
          <w:lang w:eastAsia="ru-RU"/>
        </w:rPr>
        <w:t xml:space="preserve">Срок действия - до 31.12.2025 (включительно)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right"/>
        <w:keepNext/>
        <w:spacing w:after="0" w:line="240" w:lineRule="auto"/>
        <w:rPr>
          <w:rFonts w:ascii="Times New Roman" w:hAnsi="Times New Roman" w:eastAsia="Times New Roman"/>
          <w:bCs/>
          <w:sz w:val="20"/>
          <w:szCs w:val="20"/>
          <w:lang w:val="en-US" w:eastAsia="en-US"/>
        </w:rPr>
        <w:outlineLvl w:val="3"/>
      </w:pPr>
      <w:r>
        <w:rPr>
          <w:rFonts w:ascii="Times New Roman" w:hAnsi="Times New Roman" w:eastAsia="Times New Roman"/>
          <w:bCs/>
          <w:sz w:val="20"/>
          <w:szCs w:val="20"/>
          <w:lang w:eastAsia="en-US"/>
        </w:rPr>
        <w:t xml:space="preserve">П</w:t>
      </w:r>
      <w:r>
        <w:rPr>
          <w:rFonts w:ascii="Times New Roman" w:hAnsi="Times New Roman" w:eastAsia="Times New Roman"/>
          <w:bCs/>
          <w:sz w:val="20"/>
          <w:szCs w:val="20"/>
          <w:lang w:val="en-US" w:eastAsia="en-US"/>
        </w:rPr>
        <w:t xml:space="preserve">риложение 1</w:t>
      </w:r>
      <w:r>
        <w:rPr>
          <w:rFonts w:ascii="Times New Roman" w:hAnsi="Times New Roman" w:eastAsia="Times New Roman"/>
          <w:bCs/>
          <w:sz w:val="20"/>
          <w:szCs w:val="20"/>
          <w:lang w:val="en-US" w:eastAsia="en-US"/>
        </w:rPr>
      </w:r>
      <w:r>
        <w:rPr>
          <w:rFonts w:ascii="Times New Roman" w:hAnsi="Times New Roman" w:eastAsia="Times New Roman"/>
          <w:bCs/>
          <w:sz w:val="20"/>
          <w:szCs w:val="20"/>
          <w:lang w:val="en-US" w:eastAsia="en-US"/>
        </w:rPr>
      </w:r>
    </w:p>
    <w:p>
      <w:pPr>
        <w:pStyle w:val="1167"/>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тарифам комиссионного вознаграждения на услуги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Якутского РФ АО «Россельхозбанк» юридическим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индивидуальным предпринимателям и физическим лицам,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right"/>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занимающимся в установленном законодательством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67"/>
        <w:jc w:val="right"/>
        <w:spacing w:after="0" w:line="240" w:lineRule="auto"/>
        <w:rPr>
          <w:rFonts w:ascii="Times New Roman" w:hAnsi="Times New Roman" w:eastAsia="Times New Roman"/>
          <w:sz w:val="24"/>
          <w:szCs w:val="24"/>
          <w:lang w:eastAsia="ru-RU"/>
        </w:rPr>
      </w:pPr>
      <w:r>
        <w:rPr>
          <w:rFonts w:ascii="Times New Roman" w:hAnsi="Times New Roman" w:eastAsia="Times New Roman"/>
          <w:sz w:val="20"/>
          <w:szCs w:val="20"/>
          <w:lang w:eastAsia="ru-RU"/>
        </w:rPr>
        <w:t xml:space="preserve">Российской Федерации порядке частной практикой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bookmarkEnd w:id="0"/>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67"/>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Перечень предприятий, осуществляющих переводы бюджетных денежных средств в форме субсидий по социальным федеральным целевым программам и муниципальным программам/подпрограммам, с которых не взимается комиссия в соответствии с пунктом</w:t>
      </w:r>
      <w:r>
        <w:rPr>
          <w:rFonts w:ascii="Times New Roman" w:hAnsi="Times New Roman" w:eastAsia="Times New Roman"/>
          <w:b/>
          <w:lang w:eastAsia="ru-RU"/>
        </w:rPr>
        <w:t xml:space="preserve"> 1.1.5.1. Тарифов комиссионного вознаграждения на услуги Якутского РФ АО «Россельхозбанк» юридическим лицам, индивидуальным предпринимателям и физическим лицам, занимающимся в установленном законодательством Российской Федерации порядке частной практикой  </w:t>
      </w:r>
      <w:r>
        <w:rPr>
          <w:rFonts w:ascii="Times New Roman" w:hAnsi="Times New Roman" w:eastAsia="Times New Roman"/>
          <w:b/>
          <w:lang w:eastAsia="ru-RU"/>
        </w:rPr>
      </w:r>
      <w:r>
        <w:rPr>
          <w:rFonts w:ascii="Times New Roman" w:hAnsi="Times New Roman" w:eastAsia="Times New Roman"/>
          <w:b/>
          <w:lang w:eastAsia="ru-RU"/>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9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 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организации (групп организаций)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«Чолбон»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«Сыа Булуу»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«Байар»</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СПоК «Сунтар-Ас»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СППК «Амма»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«Маай»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«Манчаары»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«Эрэл»</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СПК «Таатта»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СХППК «Усть-Алдан»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«Ханалас-Ас»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7"/>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7"/>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СХПК «Чурапча»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sz w:val="24"/>
          <w:szCs w:val="24"/>
        </w:rPr>
        <w:t xml:space="preserve">есяце, приходящегося на один э</w:t>
      </w:r>
      <w:r>
        <w:rPr>
          <w:rFonts w:ascii="Times New Roman" w:hAnsi="Times New Roman"/>
          <w:sz w:val="24"/>
          <w:szCs w:val="24"/>
        </w:rPr>
        <w:t xml:space="preserve">лектронный терминал/</w:t>
      </w:r>
      <w:r>
        <w:rPr>
          <w:rFonts w:ascii="Times New Roman" w:hAnsi="Times New Roman"/>
          <w:sz w:val="24"/>
          <w:szCs w:val="24"/>
        </w:rPr>
        <w:t xml:space="preserve">сервис «</w:t>
      </w:r>
      <w:r>
        <w:rPr>
          <w:rFonts w:ascii="Times New Roman" w:hAnsi="Times New Roman"/>
          <w:sz w:val="24"/>
          <w:szCs w:val="24"/>
        </w:rPr>
        <w:t xml:space="preserve">SoftPOS решение»</w:t>
      </w:r>
      <w:r>
        <w:rPr>
          <w:rFonts w:ascii="Times New Roman" w:hAnsi="Times New Roman"/>
          <w:sz w:val="24"/>
          <w:szCs w:val="24"/>
        </w:rPr>
      </w:r>
      <w:r>
        <w:rPr>
          <w:rFonts w:ascii="Times New Roman" w:hAnsi="Times New Roman"/>
          <w:sz w:val="24"/>
          <w:szCs w:val="24"/>
        </w:rPr>
      </w:r>
    </w:p>
    <w:p>
      <w:pPr>
        <w:ind w:left="0" w:right="0" w:firstLine="709"/>
        <w:jc w:val="both"/>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highlight w:val="none"/>
        </w:rPr>
        <w:t xml:space="preserve">** </w:t>
      </w:r>
      <w:r>
        <w:rPr>
          <w:rFonts w:ascii="Times New Roman" w:hAnsi="Times New Roman"/>
          <w:sz w:val="24"/>
          <w:szCs w:val="24"/>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sz w:val="24"/>
          <w:szCs w:val="24"/>
        </w:rPr>
        <w:t xml:space="preserve">(комиссия за технологическое взаимодействие для сервиса «</w:t>
      </w:r>
      <w:r>
        <w:rPr>
          <w:rFonts w:ascii="Times New Roman" w:hAnsi="Times New Roman"/>
          <w:sz w:val="24"/>
          <w:szCs w:val="24"/>
        </w:rPr>
        <w:t xml:space="preserve">SoftPOS решение»</w:t>
      </w:r>
      <w:r>
        <w:rPr>
          <w:rFonts w:ascii="Times New Roman" w:hAnsi="Times New Roman"/>
          <w:sz w:val="24"/>
          <w:szCs w:val="24"/>
        </w:rPr>
        <w:t xml:space="preserve"> не взимается</w:t>
      </w:r>
      <w:r>
        <w:rPr>
          <w:rFonts w:ascii="Times New Roman" w:hAnsi="Times New Roman"/>
          <w:sz w:val="24"/>
          <w:szCs w:val="24"/>
        </w:rPr>
        <w:t xml:space="preserve">).</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pStyle w:val="1167"/>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sectPr>
      <w:headerReference w:type="default" r:id="rId10"/>
      <w:footnotePr/>
      <w:endnotePr/>
      <w:type w:val="nextPage"/>
      <w:pgSz w:w="11906" w:h="16838" w:orient="portrait"/>
      <w:pgMar w:top="709" w:right="851" w:bottom="709"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00603000000000000"/>
  </w:font>
  <w:font w:name="Helv">
    <w:panose1 w:val="02000603000000000000"/>
  </w:font>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2"/>
        <w:jc w:val="both"/>
      </w:pPr>
      <w:r>
        <w:rPr>
          <w:rStyle w:val="1171"/>
        </w:rPr>
        <w:footnoteRef/>
      </w:r>
      <w:r>
        <w:rPr>
          <w:rStyle w:val="117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72"/>
      </w:pPr>
      <w:r>
        <w:rPr>
          <w:rStyle w:val="117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2"/>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72"/>
      </w:pPr>
      <w:r>
        <w:rPr>
          <w:rStyle w:val="117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72"/>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72"/>
        <w:rPr>
          <w:lang w:val="ru-RU"/>
        </w:rPr>
      </w:pPr>
      <w:r>
        <w:rPr>
          <w:lang w:val="ru-RU"/>
        </w:rPr>
      </w:r>
      <w:r>
        <w:rPr>
          <w:lang w:val="ru-RU"/>
        </w:rPr>
      </w:r>
      <w:r>
        <w:rPr>
          <w:lang w:val="ru-RU"/>
        </w:rPr>
      </w:r>
    </w:p>
  </w:footnote>
  <w:footnote w:id="5">
    <w:p>
      <w:pPr>
        <w:pStyle w:val="1172"/>
        <w:jc w:val="both"/>
      </w:pPr>
      <w:r>
        <w:rPr>
          <w:rStyle w:val="117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2"/>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72"/>
      </w:pPr>
      <w:r>
        <w:rPr>
          <w:rStyle w:val="117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72"/>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4"/>
        <w:ind w:left="0"/>
        <w:jc w:val="both"/>
        <w:spacing w:line="240" w:lineRule="auto"/>
        <w:tabs>
          <w:tab w:val="left" w:pos="426" w:leader="none"/>
        </w:tabs>
        <w:rPr>
          <w:sz w:val="24"/>
          <w:szCs w:val="24"/>
        </w:rPr>
      </w:pPr>
      <w:r>
        <w:rPr>
          <w:rStyle w:val="1171"/>
        </w:rPr>
        <w:footnoteRef/>
      </w:r>
      <w:r>
        <w:t xml:space="preserve"> </w:t>
      </w:r>
      <w:r>
        <w:rPr>
          <w:rFonts w:ascii="Times New Roman" w:hAnsi="Times New Roman" w:eastAsia="Times New Roman"/>
          <w:sz w:val="20"/>
          <w:szCs w:val="20"/>
          <w:lang w:val="en-US" w:eastAsia="ru-RU"/>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w:t>
      </w:r>
      <w:r>
        <w:rPr>
          <w:rFonts w:ascii="Times New Roman" w:hAnsi="Times New Roman" w:eastAsia="Times New Roman"/>
          <w:sz w:val="20"/>
          <w:szCs w:val="20"/>
          <w:lang w:val="en-US" w:eastAsia="ru-RU"/>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24"/>
          <w:szCs w:val="24"/>
        </w:rPr>
      </w:r>
      <w:r>
        <w:rPr>
          <w:sz w:val="24"/>
          <w:szCs w:val="24"/>
        </w:rPr>
      </w:r>
    </w:p>
  </w:footnote>
  <w:footnote w:id="8">
    <w:p>
      <w:pPr>
        <w:pStyle w:val="1172"/>
        <w:jc w:val="both"/>
      </w:pPr>
      <w:r>
        <w:rPr>
          <w:rStyle w:val="1171"/>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167"/>
        <w:ind w:left="-2" w:right="-18"/>
        <w:jc w:val="both"/>
        <w:spacing w:before="40" w:after="40"/>
        <w:tabs>
          <w:tab w:val="left" w:pos="4464" w:leader="none"/>
          <w:tab w:val="left" w:pos="5760" w:leader="none"/>
        </w:tabs>
        <w:rPr>
          <w:sz w:val="18"/>
          <w:szCs w:val="18"/>
        </w:rPr>
      </w:pPr>
      <w:r>
        <w:rPr>
          <w:rStyle w:val="1171"/>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p>
      <w:pPr>
        <w:pStyle w:val="1172"/>
        <w:rPr>
          <w:lang w:val="ru-RU"/>
        </w:rPr>
      </w:pPr>
      <w:r>
        <w:rPr>
          <w:lang w:val="ru-RU"/>
        </w:rPr>
      </w:r>
      <w:r>
        <w:rPr>
          <w:lang w:val="ru-RU"/>
        </w:rPr>
      </w:r>
      <w:r>
        <w:rPr>
          <w:lang w:val="ru-RU"/>
        </w:rPr>
      </w:r>
    </w:p>
  </w:footnote>
  <w:footnote w:id="10">
    <w:p>
      <w:pPr>
        <w:pStyle w:val="1172"/>
        <w:rPr>
          <w:sz w:val="18"/>
          <w:szCs w:val="18"/>
        </w:rPr>
      </w:pPr>
      <w:r>
        <w:rPr>
          <w:rStyle w:val="1171"/>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72"/>
        <w:jc w:val="both"/>
        <w:rPr>
          <w:sz w:val="18"/>
          <w:szCs w:val="18"/>
        </w:rPr>
      </w:pPr>
      <w:r>
        <w:rPr>
          <w:rStyle w:val="1171"/>
          <w:sz w:val="18"/>
          <w:szCs w:val="18"/>
        </w:rPr>
        <w:footnoteRef/>
      </w:r>
      <w:r>
        <w:rPr>
          <w:sz w:val="18"/>
          <w:szCs w:val="18"/>
        </w:rPr>
        <w:t xml:space="preserve"> </w:t>
      </w:r>
      <w:r>
        <w:rPr>
          <w:color w:val="000000"/>
          <w:sz w:val="18"/>
          <w:szCs w:val="18"/>
        </w:rPr>
        <w:t xml:space="preserve">Здесь и далее стандартные слитки, из</w:t>
      </w:r>
      <w:r>
        <w:rPr>
          <w:color w:val="000000"/>
          <w:sz w:val="18"/>
          <w:szCs w:val="18"/>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18"/>
          <w:szCs w:val="18"/>
        </w:rPr>
        <w:fldChar w:fldCharType="begin"/>
      </w:r>
      <w:r>
        <w:rPr>
          <w:sz w:val="18"/>
          <w:szCs w:val="18"/>
        </w:rPr>
        <w:instrText xml:space="preserve"> HYPERLINK "http://www.lbma.org.uk/" </w:instrText>
      </w:r>
      <w:r>
        <w:rPr>
          <w:sz w:val="18"/>
          <w:szCs w:val="18"/>
        </w:rPr>
        <w:fldChar w:fldCharType="separate"/>
      </w:r>
      <w:r>
        <w:rPr>
          <w:rStyle w:val="1186"/>
          <w:sz w:val="18"/>
          <w:szCs w:val="18"/>
        </w:rPr>
        <w:t xml:space="preserve">www.lbma.org.uk</w:t>
      </w:r>
      <w:r>
        <w:rPr>
          <w:rStyle w:val="1186"/>
          <w:sz w:val="18"/>
          <w:szCs w:val="18"/>
        </w:rPr>
        <w:fldChar w:fldCharType="end"/>
      </w:r>
      <w:r>
        <w:rPr>
          <w:rStyle w:val="1186"/>
          <w:sz w:val="18"/>
          <w:szCs w:val="18"/>
        </w:rPr>
        <w:t xml:space="preserve">.</w:t>
      </w:r>
      <w:r>
        <w:rPr>
          <w:sz w:val="18"/>
          <w:szCs w:val="18"/>
        </w:rPr>
      </w:r>
      <w:r>
        <w:rPr>
          <w:sz w:val="18"/>
          <w:szCs w:val="18"/>
        </w:rPr>
      </w:r>
    </w:p>
  </w:footnote>
  <w:footnote w:id="12">
    <w:p>
      <w:pPr>
        <w:pStyle w:val="1172"/>
        <w:jc w:val="both"/>
        <w:rPr>
          <w:sz w:val="18"/>
          <w:szCs w:val="18"/>
        </w:rPr>
      </w:pPr>
      <w:r>
        <w:rPr>
          <w:rStyle w:val="1171"/>
          <w:sz w:val="18"/>
          <w:szCs w:val="18"/>
        </w:rPr>
        <w:footnoteRef/>
      </w:r>
      <w:r>
        <w:rPr>
          <w:sz w:val="18"/>
          <w:szCs w:val="18"/>
        </w:rPr>
        <w:t xml:space="preserve"> </w:t>
      </w:r>
      <w:r>
        <w:rPr>
          <w:color w:val="000000"/>
          <w:sz w:val="18"/>
          <w:szCs w:val="18"/>
        </w:rPr>
        <w:t xml:space="preserve">Стоимость драгоценного металла здесь и д</w:t>
      </w:r>
      <w:r>
        <w:rPr>
          <w:color w:val="000000"/>
          <w:sz w:val="18"/>
          <w:szCs w:val="18"/>
        </w:rPr>
        <w:t xml:space="preserve">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167"/>
        <w:jc w:val="both"/>
        <w:rPr>
          <w:bCs/>
          <w:sz w:val="18"/>
          <w:szCs w:val="18"/>
          <w:lang w:eastAsia="en-US"/>
        </w:rPr>
      </w:pPr>
      <w:r>
        <w:rPr>
          <w:rStyle w:val="117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2"/>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4">
    <w:p>
      <w:pPr>
        <w:pStyle w:val="1167"/>
        <w:jc w:val="both"/>
        <w:rPr>
          <w:bCs/>
          <w:sz w:val="18"/>
          <w:szCs w:val="18"/>
          <w:lang w:eastAsia="en-US"/>
        </w:rPr>
      </w:pPr>
      <w:r>
        <w:rPr>
          <w:rStyle w:val="117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2"/>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81</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284" w:firstLine="0"/>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5">
    <w:multiLevelType w:val="hybridMultilevel"/>
    <w:lvl w:ilvl="0">
      <w:start w:val="1"/>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3"/>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1"/>
  </w:num>
  <w:num w:numId="5">
    <w:abstractNumId w:val="14"/>
  </w:num>
  <w:num w:numId="6">
    <w:abstractNumId w:val="6"/>
  </w:num>
  <w:num w:numId="7">
    <w:abstractNumId w:val="16"/>
  </w:num>
  <w:num w:numId="8">
    <w:abstractNumId w:val="12"/>
  </w:num>
  <w:num w:numId="9">
    <w:abstractNumId w:val="15"/>
  </w:num>
  <w:num w:numId="10">
    <w:abstractNumId w:val="8"/>
  </w:num>
  <w:num w:numId="11">
    <w:abstractNumId w:val="2"/>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9"/>
  </w:num>
  <w:num w:numId="17">
    <w:abstractNumId w:val="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9">
    <w:name w:val="Heading 1"/>
    <w:basedOn w:val="1167"/>
    <w:next w:val="1167"/>
    <w:link w:val="990"/>
    <w:uiPriority w:val="9"/>
    <w:qFormat/>
    <w:pPr>
      <w:keepLines/>
      <w:keepNext/>
      <w:spacing w:before="480" w:after="200"/>
      <w:outlineLvl w:val="0"/>
    </w:pPr>
    <w:rPr>
      <w:rFonts w:ascii="Arial" w:hAnsi="Arial" w:eastAsia="Arial" w:cs="Arial"/>
      <w:sz w:val="40"/>
      <w:szCs w:val="40"/>
    </w:rPr>
  </w:style>
  <w:style w:type="character" w:styleId="990">
    <w:name w:val="Heading 1 Char"/>
    <w:link w:val="989"/>
    <w:uiPriority w:val="9"/>
    <w:rPr>
      <w:rFonts w:ascii="Arial" w:hAnsi="Arial" w:eastAsia="Arial" w:cs="Arial"/>
      <w:sz w:val="40"/>
      <w:szCs w:val="40"/>
    </w:rPr>
  </w:style>
  <w:style w:type="paragraph" w:styleId="991">
    <w:name w:val="Heading 2"/>
    <w:basedOn w:val="1167"/>
    <w:next w:val="1167"/>
    <w:link w:val="992"/>
    <w:uiPriority w:val="9"/>
    <w:unhideWhenUsed/>
    <w:qFormat/>
    <w:pPr>
      <w:keepLines/>
      <w:keepNext/>
      <w:spacing w:before="360" w:after="200"/>
      <w:outlineLvl w:val="1"/>
    </w:pPr>
    <w:rPr>
      <w:rFonts w:ascii="Arial" w:hAnsi="Arial" w:eastAsia="Arial" w:cs="Arial"/>
      <w:sz w:val="34"/>
    </w:rPr>
  </w:style>
  <w:style w:type="character" w:styleId="992">
    <w:name w:val="Heading 2 Char"/>
    <w:link w:val="991"/>
    <w:uiPriority w:val="9"/>
    <w:rPr>
      <w:rFonts w:ascii="Arial" w:hAnsi="Arial" w:eastAsia="Arial" w:cs="Arial"/>
      <w:sz w:val="34"/>
    </w:rPr>
  </w:style>
  <w:style w:type="paragraph" w:styleId="993">
    <w:name w:val="Heading 3"/>
    <w:basedOn w:val="1167"/>
    <w:next w:val="1167"/>
    <w:link w:val="994"/>
    <w:uiPriority w:val="9"/>
    <w:unhideWhenUsed/>
    <w:qFormat/>
    <w:pPr>
      <w:keepLines/>
      <w:keepNext/>
      <w:spacing w:before="320" w:after="200"/>
      <w:outlineLvl w:val="2"/>
    </w:pPr>
    <w:rPr>
      <w:rFonts w:ascii="Arial" w:hAnsi="Arial" w:eastAsia="Arial" w:cs="Arial"/>
      <w:sz w:val="30"/>
      <w:szCs w:val="30"/>
    </w:rPr>
  </w:style>
  <w:style w:type="character" w:styleId="994">
    <w:name w:val="Heading 3 Char"/>
    <w:link w:val="993"/>
    <w:uiPriority w:val="9"/>
    <w:rPr>
      <w:rFonts w:ascii="Arial" w:hAnsi="Arial" w:eastAsia="Arial" w:cs="Arial"/>
      <w:sz w:val="30"/>
      <w:szCs w:val="30"/>
    </w:rPr>
  </w:style>
  <w:style w:type="paragraph" w:styleId="995">
    <w:name w:val="Heading 4"/>
    <w:basedOn w:val="1167"/>
    <w:next w:val="1167"/>
    <w:link w:val="996"/>
    <w:uiPriority w:val="9"/>
    <w:unhideWhenUsed/>
    <w:qFormat/>
    <w:pPr>
      <w:keepLines/>
      <w:keepNext/>
      <w:spacing w:before="320" w:after="200"/>
      <w:outlineLvl w:val="3"/>
    </w:pPr>
    <w:rPr>
      <w:rFonts w:ascii="Arial" w:hAnsi="Arial" w:eastAsia="Arial" w:cs="Arial"/>
      <w:b/>
      <w:bCs/>
      <w:sz w:val="26"/>
      <w:szCs w:val="26"/>
    </w:rPr>
  </w:style>
  <w:style w:type="character" w:styleId="996">
    <w:name w:val="Heading 4 Char"/>
    <w:link w:val="995"/>
    <w:uiPriority w:val="9"/>
    <w:rPr>
      <w:rFonts w:ascii="Arial" w:hAnsi="Arial" w:eastAsia="Arial" w:cs="Arial"/>
      <w:b/>
      <w:bCs/>
      <w:sz w:val="26"/>
      <w:szCs w:val="26"/>
    </w:rPr>
  </w:style>
  <w:style w:type="paragraph" w:styleId="997">
    <w:name w:val="Heading 5"/>
    <w:basedOn w:val="1167"/>
    <w:next w:val="1167"/>
    <w:link w:val="998"/>
    <w:uiPriority w:val="9"/>
    <w:unhideWhenUsed/>
    <w:qFormat/>
    <w:pPr>
      <w:keepLines/>
      <w:keepNext/>
      <w:spacing w:before="320" w:after="200"/>
      <w:outlineLvl w:val="4"/>
    </w:pPr>
    <w:rPr>
      <w:rFonts w:ascii="Arial" w:hAnsi="Arial" w:eastAsia="Arial" w:cs="Arial"/>
      <w:b/>
      <w:bCs/>
      <w:sz w:val="24"/>
      <w:szCs w:val="24"/>
    </w:rPr>
  </w:style>
  <w:style w:type="character" w:styleId="998">
    <w:name w:val="Heading 5 Char"/>
    <w:link w:val="997"/>
    <w:uiPriority w:val="9"/>
    <w:rPr>
      <w:rFonts w:ascii="Arial" w:hAnsi="Arial" w:eastAsia="Arial" w:cs="Arial"/>
      <w:b/>
      <w:bCs/>
      <w:sz w:val="24"/>
      <w:szCs w:val="24"/>
    </w:rPr>
  </w:style>
  <w:style w:type="paragraph" w:styleId="999">
    <w:name w:val="Heading 6"/>
    <w:basedOn w:val="1167"/>
    <w:next w:val="1167"/>
    <w:link w:val="1000"/>
    <w:uiPriority w:val="9"/>
    <w:unhideWhenUsed/>
    <w:qFormat/>
    <w:pPr>
      <w:keepLines/>
      <w:keepNext/>
      <w:spacing w:before="320" w:after="200"/>
      <w:outlineLvl w:val="5"/>
    </w:pPr>
    <w:rPr>
      <w:rFonts w:ascii="Arial" w:hAnsi="Arial" w:eastAsia="Arial" w:cs="Arial"/>
      <w:b/>
      <w:bCs/>
      <w:sz w:val="22"/>
      <w:szCs w:val="22"/>
    </w:rPr>
  </w:style>
  <w:style w:type="character" w:styleId="1000">
    <w:name w:val="Heading 6 Char"/>
    <w:link w:val="999"/>
    <w:uiPriority w:val="9"/>
    <w:rPr>
      <w:rFonts w:ascii="Arial" w:hAnsi="Arial" w:eastAsia="Arial" w:cs="Arial"/>
      <w:b/>
      <w:bCs/>
      <w:sz w:val="22"/>
      <w:szCs w:val="22"/>
    </w:rPr>
  </w:style>
  <w:style w:type="paragraph" w:styleId="1001">
    <w:name w:val="Heading 7"/>
    <w:basedOn w:val="1167"/>
    <w:next w:val="1167"/>
    <w:link w:val="1002"/>
    <w:uiPriority w:val="9"/>
    <w:unhideWhenUsed/>
    <w:qFormat/>
    <w:pPr>
      <w:keepLines/>
      <w:keepNext/>
      <w:spacing w:before="320" w:after="200"/>
      <w:outlineLvl w:val="6"/>
    </w:pPr>
    <w:rPr>
      <w:rFonts w:ascii="Arial" w:hAnsi="Arial" w:eastAsia="Arial" w:cs="Arial"/>
      <w:b/>
      <w:bCs/>
      <w:i/>
      <w:iCs/>
      <w:sz w:val="22"/>
      <w:szCs w:val="22"/>
    </w:rPr>
  </w:style>
  <w:style w:type="character" w:styleId="1002">
    <w:name w:val="Heading 7 Char"/>
    <w:link w:val="1001"/>
    <w:uiPriority w:val="9"/>
    <w:rPr>
      <w:rFonts w:ascii="Arial" w:hAnsi="Arial" w:eastAsia="Arial" w:cs="Arial"/>
      <w:b/>
      <w:bCs/>
      <w:i/>
      <w:iCs/>
      <w:sz w:val="22"/>
      <w:szCs w:val="22"/>
    </w:rPr>
  </w:style>
  <w:style w:type="paragraph" w:styleId="1003">
    <w:name w:val="Heading 8"/>
    <w:basedOn w:val="1167"/>
    <w:next w:val="1167"/>
    <w:link w:val="1004"/>
    <w:uiPriority w:val="9"/>
    <w:unhideWhenUsed/>
    <w:qFormat/>
    <w:pPr>
      <w:keepLines/>
      <w:keepNext/>
      <w:spacing w:before="320" w:after="200"/>
      <w:outlineLvl w:val="7"/>
    </w:pPr>
    <w:rPr>
      <w:rFonts w:ascii="Arial" w:hAnsi="Arial" w:eastAsia="Arial" w:cs="Arial"/>
      <w:i/>
      <w:iCs/>
      <w:sz w:val="22"/>
      <w:szCs w:val="22"/>
    </w:rPr>
  </w:style>
  <w:style w:type="character" w:styleId="1004">
    <w:name w:val="Heading 8 Char"/>
    <w:link w:val="1003"/>
    <w:uiPriority w:val="9"/>
    <w:rPr>
      <w:rFonts w:ascii="Arial" w:hAnsi="Arial" w:eastAsia="Arial" w:cs="Arial"/>
      <w:i/>
      <w:iCs/>
      <w:sz w:val="22"/>
      <w:szCs w:val="22"/>
    </w:rPr>
  </w:style>
  <w:style w:type="paragraph" w:styleId="1005">
    <w:name w:val="Heading 9"/>
    <w:basedOn w:val="1167"/>
    <w:next w:val="1167"/>
    <w:link w:val="1006"/>
    <w:uiPriority w:val="9"/>
    <w:unhideWhenUsed/>
    <w:qFormat/>
    <w:pPr>
      <w:keepLines/>
      <w:keepNext/>
      <w:spacing w:before="320" w:after="200"/>
      <w:outlineLvl w:val="8"/>
    </w:pPr>
    <w:rPr>
      <w:rFonts w:ascii="Arial" w:hAnsi="Arial" w:eastAsia="Arial" w:cs="Arial"/>
      <w:i/>
      <w:iCs/>
      <w:sz w:val="21"/>
      <w:szCs w:val="21"/>
    </w:rPr>
  </w:style>
  <w:style w:type="character" w:styleId="1006">
    <w:name w:val="Heading 9 Char"/>
    <w:link w:val="1005"/>
    <w:uiPriority w:val="9"/>
    <w:rPr>
      <w:rFonts w:ascii="Arial" w:hAnsi="Arial" w:eastAsia="Arial" w:cs="Arial"/>
      <w:i/>
      <w:iCs/>
      <w:sz w:val="21"/>
      <w:szCs w:val="21"/>
    </w:rPr>
  </w:style>
  <w:style w:type="paragraph" w:styleId="1007">
    <w:name w:val="List Paragraph"/>
    <w:basedOn w:val="1167"/>
    <w:uiPriority w:val="34"/>
    <w:qFormat/>
    <w:pPr>
      <w:contextualSpacing/>
      <w:ind w:left="720"/>
    </w:pPr>
  </w:style>
  <w:style w:type="paragraph" w:styleId="1008">
    <w:name w:val="No Spacing"/>
    <w:uiPriority w:val="1"/>
    <w:qFormat/>
    <w:pPr>
      <w:spacing w:before="0" w:after="0" w:line="240" w:lineRule="auto"/>
    </w:pPr>
  </w:style>
  <w:style w:type="paragraph" w:styleId="1009">
    <w:name w:val="Title"/>
    <w:basedOn w:val="1167"/>
    <w:next w:val="1167"/>
    <w:link w:val="1010"/>
    <w:uiPriority w:val="10"/>
    <w:qFormat/>
    <w:pPr>
      <w:contextualSpacing/>
      <w:spacing w:before="300" w:after="200"/>
    </w:pPr>
    <w:rPr>
      <w:sz w:val="48"/>
      <w:szCs w:val="48"/>
    </w:rPr>
  </w:style>
  <w:style w:type="character" w:styleId="1010">
    <w:name w:val="Title Char"/>
    <w:link w:val="1009"/>
    <w:uiPriority w:val="10"/>
    <w:rPr>
      <w:sz w:val="48"/>
      <w:szCs w:val="48"/>
    </w:rPr>
  </w:style>
  <w:style w:type="paragraph" w:styleId="1011">
    <w:name w:val="Subtitle"/>
    <w:basedOn w:val="1167"/>
    <w:next w:val="1167"/>
    <w:link w:val="1012"/>
    <w:uiPriority w:val="11"/>
    <w:qFormat/>
    <w:pPr>
      <w:spacing w:before="200" w:after="200"/>
    </w:pPr>
    <w:rPr>
      <w:sz w:val="24"/>
      <w:szCs w:val="24"/>
    </w:rPr>
  </w:style>
  <w:style w:type="character" w:styleId="1012">
    <w:name w:val="Subtitle Char"/>
    <w:link w:val="1011"/>
    <w:uiPriority w:val="11"/>
    <w:rPr>
      <w:sz w:val="24"/>
      <w:szCs w:val="24"/>
    </w:rPr>
  </w:style>
  <w:style w:type="paragraph" w:styleId="1013">
    <w:name w:val="Quote"/>
    <w:basedOn w:val="1167"/>
    <w:next w:val="1167"/>
    <w:link w:val="1014"/>
    <w:uiPriority w:val="29"/>
    <w:qFormat/>
    <w:pPr>
      <w:ind w:left="720" w:right="720"/>
    </w:pPr>
    <w:rPr>
      <w:i/>
    </w:rPr>
  </w:style>
  <w:style w:type="character" w:styleId="1014">
    <w:name w:val="Quote Char"/>
    <w:link w:val="1013"/>
    <w:uiPriority w:val="29"/>
    <w:rPr>
      <w:i/>
    </w:rPr>
  </w:style>
  <w:style w:type="paragraph" w:styleId="1015">
    <w:name w:val="Intense Quote"/>
    <w:basedOn w:val="1167"/>
    <w:next w:val="1167"/>
    <w:link w:val="101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16">
    <w:name w:val="Intense Quote Char"/>
    <w:link w:val="1015"/>
    <w:uiPriority w:val="30"/>
    <w:rPr>
      <w:i/>
    </w:rPr>
  </w:style>
  <w:style w:type="paragraph" w:styleId="1017">
    <w:name w:val="Header"/>
    <w:basedOn w:val="1167"/>
    <w:link w:val="1018"/>
    <w:uiPriority w:val="99"/>
    <w:unhideWhenUsed/>
    <w:pPr>
      <w:spacing w:after="0" w:line="240" w:lineRule="auto"/>
      <w:tabs>
        <w:tab w:val="center" w:pos="7143" w:leader="none"/>
        <w:tab w:val="right" w:pos="14287" w:leader="none"/>
      </w:tabs>
    </w:pPr>
  </w:style>
  <w:style w:type="character" w:styleId="1018">
    <w:name w:val="Header Char"/>
    <w:link w:val="1017"/>
    <w:uiPriority w:val="99"/>
  </w:style>
  <w:style w:type="paragraph" w:styleId="1019">
    <w:name w:val="Footer"/>
    <w:basedOn w:val="1167"/>
    <w:link w:val="1022"/>
    <w:uiPriority w:val="99"/>
    <w:unhideWhenUsed/>
    <w:pPr>
      <w:spacing w:after="0" w:line="240" w:lineRule="auto"/>
      <w:tabs>
        <w:tab w:val="center" w:pos="7143" w:leader="none"/>
        <w:tab w:val="right" w:pos="14287" w:leader="none"/>
      </w:tabs>
    </w:pPr>
  </w:style>
  <w:style w:type="character" w:styleId="1020">
    <w:name w:val="Footer Char"/>
    <w:link w:val="1019"/>
    <w:uiPriority w:val="99"/>
  </w:style>
  <w:style w:type="paragraph" w:styleId="1021">
    <w:name w:val="Caption"/>
    <w:basedOn w:val="1167"/>
    <w:next w:val="1167"/>
    <w:uiPriority w:val="35"/>
    <w:semiHidden/>
    <w:unhideWhenUsed/>
    <w:qFormat/>
    <w:pPr>
      <w:spacing w:line="276" w:lineRule="auto"/>
    </w:pPr>
    <w:rPr>
      <w:b/>
      <w:bCs/>
      <w:color w:val="4f81bd" w:themeColor="accent1"/>
      <w:sz w:val="18"/>
      <w:szCs w:val="18"/>
    </w:rPr>
  </w:style>
  <w:style w:type="character" w:styleId="1022">
    <w:name w:val="Caption Char"/>
    <w:basedOn w:val="1021"/>
    <w:link w:val="1019"/>
    <w:uiPriority w:val="99"/>
  </w:style>
  <w:style w:type="table" w:styleId="102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2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2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3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3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3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3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4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4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5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5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5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6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6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6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6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7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7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7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7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8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9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9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9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0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0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0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0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1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1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2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2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2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2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4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4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4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9">
    <w:name w:val="Hyperlink"/>
    <w:uiPriority w:val="99"/>
    <w:unhideWhenUsed/>
    <w:rPr>
      <w:color w:val="0000ff" w:themeColor="hyperlink"/>
      <w:u w:val="single"/>
    </w:rPr>
  </w:style>
  <w:style w:type="paragraph" w:styleId="1150">
    <w:name w:val="footnote text"/>
    <w:basedOn w:val="1167"/>
    <w:link w:val="1151"/>
    <w:uiPriority w:val="99"/>
    <w:semiHidden/>
    <w:unhideWhenUsed/>
    <w:pPr>
      <w:spacing w:after="40" w:line="240" w:lineRule="auto"/>
    </w:pPr>
    <w:rPr>
      <w:sz w:val="18"/>
    </w:rPr>
  </w:style>
  <w:style w:type="character" w:styleId="1151">
    <w:name w:val="Footnote Text Char"/>
    <w:link w:val="1150"/>
    <w:uiPriority w:val="99"/>
    <w:rPr>
      <w:sz w:val="18"/>
    </w:rPr>
  </w:style>
  <w:style w:type="character" w:styleId="1152">
    <w:name w:val="footnote reference"/>
    <w:uiPriority w:val="99"/>
    <w:unhideWhenUsed/>
    <w:rPr>
      <w:vertAlign w:val="superscript"/>
    </w:rPr>
  </w:style>
  <w:style w:type="paragraph" w:styleId="1153">
    <w:name w:val="endnote text"/>
    <w:basedOn w:val="1167"/>
    <w:link w:val="1154"/>
    <w:uiPriority w:val="99"/>
    <w:semiHidden/>
    <w:unhideWhenUsed/>
    <w:pPr>
      <w:spacing w:after="0" w:line="240" w:lineRule="auto"/>
    </w:pPr>
    <w:rPr>
      <w:sz w:val="20"/>
    </w:rPr>
  </w:style>
  <w:style w:type="character" w:styleId="1154">
    <w:name w:val="Endnote Text Char"/>
    <w:link w:val="1153"/>
    <w:uiPriority w:val="99"/>
    <w:rPr>
      <w:sz w:val="20"/>
    </w:rPr>
  </w:style>
  <w:style w:type="character" w:styleId="1155">
    <w:name w:val="endnote reference"/>
    <w:uiPriority w:val="99"/>
    <w:semiHidden/>
    <w:unhideWhenUsed/>
    <w:rPr>
      <w:vertAlign w:val="superscript"/>
    </w:rPr>
  </w:style>
  <w:style w:type="paragraph" w:styleId="1156">
    <w:name w:val="toc 1"/>
    <w:basedOn w:val="1167"/>
    <w:next w:val="1167"/>
    <w:uiPriority w:val="39"/>
    <w:unhideWhenUsed/>
    <w:pPr>
      <w:ind w:left="0" w:right="0" w:firstLine="0"/>
      <w:spacing w:after="57"/>
    </w:pPr>
  </w:style>
  <w:style w:type="paragraph" w:styleId="1157">
    <w:name w:val="toc 2"/>
    <w:basedOn w:val="1167"/>
    <w:next w:val="1167"/>
    <w:uiPriority w:val="39"/>
    <w:unhideWhenUsed/>
    <w:pPr>
      <w:ind w:left="283" w:right="0" w:firstLine="0"/>
      <w:spacing w:after="57"/>
    </w:pPr>
  </w:style>
  <w:style w:type="paragraph" w:styleId="1158">
    <w:name w:val="toc 3"/>
    <w:basedOn w:val="1167"/>
    <w:next w:val="1167"/>
    <w:uiPriority w:val="39"/>
    <w:unhideWhenUsed/>
    <w:pPr>
      <w:ind w:left="567" w:right="0" w:firstLine="0"/>
      <w:spacing w:after="57"/>
    </w:pPr>
  </w:style>
  <w:style w:type="paragraph" w:styleId="1159">
    <w:name w:val="toc 4"/>
    <w:basedOn w:val="1167"/>
    <w:next w:val="1167"/>
    <w:uiPriority w:val="39"/>
    <w:unhideWhenUsed/>
    <w:pPr>
      <w:ind w:left="850" w:right="0" w:firstLine="0"/>
      <w:spacing w:after="57"/>
    </w:pPr>
  </w:style>
  <w:style w:type="paragraph" w:styleId="1160">
    <w:name w:val="toc 5"/>
    <w:basedOn w:val="1167"/>
    <w:next w:val="1167"/>
    <w:uiPriority w:val="39"/>
    <w:unhideWhenUsed/>
    <w:pPr>
      <w:ind w:left="1134" w:right="0" w:firstLine="0"/>
      <w:spacing w:after="57"/>
    </w:pPr>
  </w:style>
  <w:style w:type="paragraph" w:styleId="1161">
    <w:name w:val="toc 6"/>
    <w:basedOn w:val="1167"/>
    <w:next w:val="1167"/>
    <w:uiPriority w:val="39"/>
    <w:unhideWhenUsed/>
    <w:pPr>
      <w:ind w:left="1417" w:right="0" w:firstLine="0"/>
      <w:spacing w:after="57"/>
    </w:pPr>
  </w:style>
  <w:style w:type="paragraph" w:styleId="1162">
    <w:name w:val="toc 7"/>
    <w:basedOn w:val="1167"/>
    <w:next w:val="1167"/>
    <w:uiPriority w:val="39"/>
    <w:unhideWhenUsed/>
    <w:pPr>
      <w:ind w:left="1701" w:right="0" w:firstLine="0"/>
      <w:spacing w:after="57"/>
    </w:pPr>
  </w:style>
  <w:style w:type="paragraph" w:styleId="1163">
    <w:name w:val="toc 8"/>
    <w:basedOn w:val="1167"/>
    <w:next w:val="1167"/>
    <w:uiPriority w:val="39"/>
    <w:unhideWhenUsed/>
    <w:pPr>
      <w:ind w:left="1984" w:right="0" w:firstLine="0"/>
      <w:spacing w:after="57"/>
    </w:pPr>
  </w:style>
  <w:style w:type="paragraph" w:styleId="1164">
    <w:name w:val="toc 9"/>
    <w:basedOn w:val="1167"/>
    <w:next w:val="1167"/>
    <w:uiPriority w:val="39"/>
    <w:unhideWhenUsed/>
    <w:pPr>
      <w:ind w:left="2268" w:right="0" w:firstLine="0"/>
      <w:spacing w:after="57"/>
    </w:pPr>
  </w:style>
  <w:style w:type="paragraph" w:styleId="1165">
    <w:name w:val="TOC Heading"/>
    <w:uiPriority w:val="39"/>
    <w:unhideWhenUsed/>
  </w:style>
  <w:style w:type="paragraph" w:styleId="1166">
    <w:name w:val="table of figures"/>
    <w:basedOn w:val="1167"/>
    <w:next w:val="1167"/>
    <w:uiPriority w:val="99"/>
    <w:unhideWhenUsed/>
    <w:pPr>
      <w:spacing w:after="0" w:afterAutospacing="0"/>
    </w:pPr>
  </w:style>
  <w:style w:type="paragraph" w:styleId="1167" w:default="1">
    <w:name w:val="Normal"/>
    <w:next w:val="1167"/>
    <w:link w:val="1167"/>
    <w:qFormat/>
    <w:pPr>
      <w:spacing w:after="200" w:line="276" w:lineRule="auto"/>
    </w:pPr>
    <w:rPr>
      <w:sz w:val="22"/>
      <w:szCs w:val="22"/>
      <w:lang w:val="ru-RU" w:eastAsia="en-US" w:bidi="ar-SA"/>
    </w:rPr>
  </w:style>
  <w:style w:type="character" w:styleId="1168">
    <w:name w:val="Основной шрифт абзаца"/>
    <w:next w:val="1168"/>
    <w:link w:val="1167"/>
    <w:uiPriority w:val="1"/>
    <w:unhideWhenUsed/>
  </w:style>
  <w:style w:type="table" w:styleId="1169">
    <w:name w:val="Обычная таблица"/>
    <w:next w:val="1169"/>
    <w:link w:val="1167"/>
    <w:uiPriority w:val="99"/>
    <w:semiHidden/>
    <w:unhideWhenUsed/>
    <w:qFormat/>
    <w:tblPr/>
  </w:style>
  <w:style w:type="numbering" w:styleId="1170">
    <w:name w:val="Нет списка"/>
    <w:next w:val="1170"/>
    <w:link w:val="1167"/>
    <w:uiPriority w:val="99"/>
    <w:semiHidden/>
    <w:unhideWhenUsed/>
  </w:style>
  <w:style w:type="character" w:styleId="117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71"/>
    <w:link w:val="1167"/>
    <w:uiPriority w:val="99"/>
    <w:qFormat/>
    <w:rPr>
      <w:rFonts w:ascii="Times New Roman" w:hAnsi="Times New Roman" w:cs="Times New Roman"/>
      <w:vertAlign w:val="superscript"/>
    </w:rPr>
  </w:style>
  <w:style w:type="paragraph" w:styleId="117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7"/>
    <w:next w:val="1172"/>
    <w:link w:val="1173"/>
    <w:qFormat/>
    <w:pPr>
      <w:spacing w:after="0" w:line="240" w:lineRule="auto"/>
    </w:pPr>
    <w:rPr>
      <w:rFonts w:ascii="Times New Roman" w:hAnsi="Times New Roman" w:eastAsia="Times New Roman"/>
      <w:sz w:val="20"/>
      <w:szCs w:val="20"/>
      <w:lang w:val="en-US" w:eastAsia="ru-RU"/>
    </w:rPr>
  </w:style>
  <w:style w:type="character" w:styleId="1173">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3"/>
    <w:link w:val="1172"/>
    <w:rPr>
      <w:rFonts w:ascii="Times New Roman" w:hAnsi="Times New Roman" w:eastAsia="Times New Roman" w:cs="Times New Roman"/>
      <w:sz w:val="20"/>
      <w:szCs w:val="20"/>
      <w:lang w:eastAsia="ru-RU"/>
    </w:rPr>
  </w:style>
  <w:style w:type="paragraph" w:styleId="1174">
    <w:name w:val="Абзац списка,Table-Normal,RSHB_Table-Normal"/>
    <w:basedOn w:val="1167"/>
    <w:next w:val="1174"/>
    <w:link w:val="1167"/>
    <w:uiPriority w:val="34"/>
    <w:qFormat/>
    <w:pPr>
      <w:contextualSpacing/>
      <w:ind w:left="720"/>
    </w:pPr>
  </w:style>
  <w:style w:type="paragraph" w:styleId="1175">
    <w:name w:val="Default"/>
    <w:next w:val="1175"/>
    <w:link w:val="1167"/>
    <w:rPr>
      <w:rFonts w:ascii="Times New Roman" w:hAnsi="Times New Roman"/>
      <w:color w:val="000000"/>
      <w:sz w:val="24"/>
      <w:szCs w:val="24"/>
      <w:lang w:val="ru-RU" w:eastAsia="en-US" w:bidi="ar-SA"/>
    </w:rPr>
  </w:style>
  <w:style w:type="paragraph" w:styleId="1176">
    <w:name w:val="Текст выноски"/>
    <w:basedOn w:val="1167"/>
    <w:next w:val="1176"/>
    <w:link w:val="1177"/>
    <w:uiPriority w:val="99"/>
    <w:semiHidden/>
    <w:unhideWhenUsed/>
    <w:pPr>
      <w:spacing w:after="0" w:line="240" w:lineRule="auto"/>
    </w:pPr>
    <w:rPr>
      <w:rFonts w:ascii="Tahoma" w:hAnsi="Tahoma"/>
      <w:sz w:val="16"/>
      <w:szCs w:val="16"/>
      <w:lang w:val="en-US" w:eastAsia="en-US"/>
    </w:rPr>
  </w:style>
  <w:style w:type="character" w:styleId="1177">
    <w:name w:val="Текст выноски Знак"/>
    <w:next w:val="1177"/>
    <w:link w:val="1176"/>
    <w:uiPriority w:val="99"/>
    <w:semiHidden/>
    <w:rPr>
      <w:rFonts w:ascii="Tahoma" w:hAnsi="Tahoma" w:cs="Tahoma"/>
      <w:sz w:val="16"/>
      <w:szCs w:val="16"/>
    </w:rPr>
  </w:style>
  <w:style w:type="paragraph" w:styleId="1178">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67"/>
    <w:next w:val="1178"/>
    <w:link w:val="1179"/>
    <w:uiPriority w:val="99"/>
    <w:unhideWhenUsed/>
    <w:pPr>
      <w:spacing w:after="0" w:line="240" w:lineRule="auto"/>
      <w:tabs>
        <w:tab w:val="center" w:pos="4677" w:leader="none"/>
        <w:tab w:val="right" w:pos="9355" w:leader="none"/>
      </w:tabs>
    </w:pPr>
  </w:style>
  <w:style w:type="character" w:styleId="1179">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68"/>
    <w:next w:val="1179"/>
    <w:link w:val="1178"/>
    <w:uiPriority w:val="99"/>
  </w:style>
  <w:style w:type="paragraph" w:styleId="1180">
    <w:name w:val="Нижний колонтитул"/>
    <w:basedOn w:val="1167"/>
    <w:next w:val="1180"/>
    <w:link w:val="1181"/>
    <w:uiPriority w:val="99"/>
    <w:unhideWhenUsed/>
    <w:pPr>
      <w:spacing w:after="0" w:line="240" w:lineRule="auto"/>
      <w:tabs>
        <w:tab w:val="center" w:pos="4677" w:leader="none"/>
        <w:tab w:val="right" w:pos="9355" w:leader="none"/>
      </w:tabs>
    </w:pPr>
  </w:style>
  <w:style w:type="character" w:styleId="1181">
    <w:name w:val="Нижний колонтитул Знак"/>
    <w:basedOn w:val="1168"/>
    <w:next w:val="1181"/>
    <w:link w:val="1180"/>
    <w:uiPriority w:val="99"/>
  </w:style>
  <w:style w:type="table" w:styleId="1182">
    <w:name w:val="Сетка таблицы"/>
    <w:basedOn w:val="1169"/>
    <w:next w:val="1182"/>
    <w:link w:val="1167"/>
    <w:uiPriority w:val="59"/>
    <w:tblPr/>
  </w:style>
  <w:style w:type="paragraph" w:styleId="1183">
    <w:name w:val="Название"/>
    <w:basedOn w:val="1167"/>
    <w:next w:val="1183"/>
    <w:link w:val="1184"/>
    <w:qFormat/>
    <w:pPr>
      <w:jc w:val="center"/>
      <w:spacing w:after="0" w:line="240" w:lineRule="auto"/>
    </w:pPr>
    <w:rPr>
      <w:rFonts w:ascii="Times New Roman" w:hAnsi="Times New Roman" w:eastAsia="Times New Roman"/>
      <w:b/>
      <w:bCs/>
      <w:sz w:val="28"/>
      <w:szCs w:val="28"/>
      <w:lang w:eastAsia="ru-RU"/>
    </w:rPr>
  </w:style>
  <w:style w:type="character" w:styleId="1184">
    <w:name w:val="Название Знак"/>
    <w:next w:val="1184"/>
    <w:link w:val="1183"/>
    <w:rPr>
      <w:rFonts w:ascii="Times New Roman" w:hAnsi="Times New Roman" w:eastAsia="Times New Roman"/>
      <w:b/>
      <w:bCs/>
      <w:sz w:val="28"/>
      <w:szCs w:val="28"/>
    </w:rPr>
  </w:style>
  <w:style w:type="paragraph" w:styleId="1185">
    <w:name w:val="Нормальный"/>
    <w:next w:val="1185"/>
    <w:link w:val="1167"/>
    <w:rPr>
      <w:rFonts w:ascii="TimesET" w:hAnsi="TimesET" w:eastAsia="Times New Roman" w:cs="TimesET"/>
      <w:b/>
      <w:bCs/>
      <w:i/>
      <w:iCs/>
      <w:smallCaps/>
      <w:sz w:val="24"/>
      <w:szCs w:val="24"/>
      <w:lang w:val="ru-RU" w:eastAsia="ru-RU" w:bidi="ar-SA"/>
    </w:rPr>
  </w:style>
  <w:style w:type="character" w:styleId="1186">
    <w:name w:val="Гиперссылка"/>
    <w:next w:val="1186"/>
    <w:link w:val="1167"/>
    <w:rPr>
      <w:rFonts w:cs="Times New Roman"/>
      <w:color w:val="0000ff"/>
      <w:u w:val="single"/>
    </w:rPr>
  </w:style>
  <w:style w:type="paragraph" w:styleId="1187">
    <w:name w:val="Текст концевой сноски"/>
    <w:basedOn w:val="1167"/>
    <w:next w:val="1187"/>
    <w:link w:val="1188"/>
    <w:uiPriority w:val="99"/>
    <w:semiHidden/>
    <w:unhideWhenUsed/>
    <w:rPr>
      <w:sz w:val="20"/>
      <w:szCs w:val="20"/>
    </w:rPr>
  </w:style>
  <w:style w:type="character" w:styleId="1188">
    <w:name w:val="Текст концевой сноски Знак"/>
    <w:next w:val="1188"/>
    <w:link w:val="1187"/>
    <w:uiPriority w:val="99"/>
    <w:semiHidden/>
    <w:rPr>
      <w:lang w:eastAsia="en-US"/>
    </w:rPr>
  </w:style>
  <w:style w:type="character" w:styleId="1189">
    <w:name w:val="Знак концевой сноски"/>
    <w:next w:val="1189"/>
    <w:link w:val="1167"/>
    <w:uiPriority w:val="99"/>
    <w:semiHidden/>
    <w:unhideWhenUsed/>
    <w:rPr>
      <w:vertAlign w:val="superscript"/>
    </w:rPr>
  </w:style>
  <w:style w:type="numbering" w:styleId="1190">
    <w:name w:val="Нет списка1"/>
    <w:next w:val="1170"/>
    <w:link w:val="1167"/>
    <w:uiPriority w:val="99"/>
    <w:semiHidden/>
    <w:unhideWhenUsed/>
  </w:style>
  <w:style w:type="table" w:styleId="1191">
    <w:name w:val="Сетка таблицы1"/>
    <w:basedOn w:val="1169"/>
    <w:next w:val="1182"/>
    <w:link w:val="1167"/>
    <w:uiPriority w:val="59"/>
    <w:tblPr/>
  </w:style>
  <w:style w:type="numbering" w:styleId="1192">
    <w:name w:val="Нет списка11"/>
    <w:next w:val="1170"/>
    <w:link w:val="1167"/>
    <w:uiPriority w:val="99"/>
    <w:semiHidden/>
    <w:unhideWhenUsed/>
  </w:style>
  <w:style w:type="character" w:styleId="1193" w:default="1">
    <w:name w:val="Default Paragraph Font"/>
    <w:uiPriority w:val="1"/>
    <w:semiHidden/>
    <w:unhideWhenUsed/>
  </w:style>
  <w:style w:type="numbering" w:styleId="1194" w:default="1">
    <w:name w:val="No List"/>
    <w:uiPriority w:val="99"/>
    <w:semiHidden/>
    <w:unhideWhenUsed/>
  </w:style>
  <w:style w:type="table" w:styleId="119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15</cp:revision>
  <dcterms:created xsi:type="dcterms:W3CDTF">2024-05-24T06:49:00Z</dcterms:created>
  <dcterms:modified xsi:type="dcterms:W3CDTF">2025-08-14T00:16:59Z</dcterms:modified>
  <cp:version>1048576</cp:version>
</cp:coreProperties>
</file>