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bCs/>
          <w:color w:val="000000"/>
        </w:rPr>
        <w:t xml:space="preserve">Сообщение об изменении или корректировке информации, </w:t>
      </w:r>
      <w:r>
        <w:rPr>
          <w:color w:val="000000"/>
        </w:rPr>
      </w:r>
    </w:p>
    <w:p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ранее опубликованной в Ленте новостей </w:t>
      </w:r>
      <w:r>
        <w:rPr>
          <w:bCs/>
          <w:color w:val="000000"/>
        </w:rPr>
      </w:r>
    </w:p>
    <w:p>
      <w:pPr>
        <w:jc w:val="center"/>
      </w:pPr>
      <w:r/>
      <w:r/>
    </w:p>
    <w:p>
      <w:pPr>
        <w:numPr>
          <w:ilvl w:val="0"/>
          <w:numId w:val="3"/>
        </w:numPr>
        <w:jc w:val="center"/>
      </w:pPr>
      <w:r>
        <w:t xml:space="preserve">Общие сведения</w:t>
      </w:r>
      <w:r/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>
        <w:tblPrEx/>
        <w:trPr>
          <w:cantSplit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537" w:right="57" w:hanging="567"/>
              <w:jc w:val="both"/>
            </w:pPr>
            <w:r>
              <w:t xml:space="preserve">1.1.   Полное фирменное наименование (для коммерческой организации) или наименование (для некоммерческой организации) эмитента: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ind w:left="120" w:right="57"/>
              <w:rPr>
                <w:b/>
                <w:i/>
              </w:rPr>
            </w:pPr>
            <w:r>
              <w:rPr>
                <w:b/>
                <w:i/>
              </w:rPr>
              <w:t xml:space="preserve">Акционерное общество «Российский Сельскохозяйственный банк»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537" w:right="57" w:hanging="567"/>
              <w:jc w:val="both"/>
            </w:pPr>
            <w:r>
              <w:t xml:space="preserve">1.2.   Адрес эмитента, указанный в едином государственном реестре юридических лиц: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ind w:left="120" w:right="57"/>
              <w:rPr>
                <w:b/>
                <w:i/>
              </w:rPr>
            </w:pPr>
            <w:r>
              <w:rPr>
                <w:b/>
                <w:i/>
              </w:rPr>
              <w:t xml:space="preserve">119034, город Москва,  Гагаринский переулок, дом 3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537" w:right="119" w:hanging="567"/>
              <w:jc w:val="both"/>
            </w:pPr>
            <w:r>
              <w:t xml:space="preserve">1.3.   Основной государственный регистрационный номер (ОГРН) эмитента (при наличии):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ind w:left="537" w:right="57" w:hanging="4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1027700342890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537" w:right="57" w:hanging="567"/>
              <w:jc w:val="both"/>
            </w:pPr>
            <w:r>
              <w:t xml:space="preserve">1.4.   Идентификационный номер налогоплательщика (ИНН) эмитента (при наличии):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ind w:left="537" w:right="57" w:hanging="4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7725114488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537" w:right="57" w:hanging="567"/>
              <w:jc w:val="both"/>
            </w:pPr>
            <w:r>
              <w:t xml:space="preserve">1.5.   Уникальный код эмитента, присвоенный Банком России: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ind w:left="537" w:right="57" w:hanging="4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03349-</w:t>
            </w: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537" w:right="57" w:hanging="567"/>
              <w:jc w:val="both"/>
            </w:pPr>
            <w:r>
              <w:t xml:space="preserve">1.6.   Адрес страницы в сети Интернет, используемой эмитентом для раскрытия информации: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ind w:left="120" w:right="-27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http</w:t>
            </w:r>
            <w:r>
              <w:rPr>
                <w:b/>
                <w:i/>
              </w:rPr>
              <w:t xml:space="preserve">://</w:t>
            </w:r>
            <w:r>
              <w:rPr>
                <w:b/>
                <w:i/>
                <w:lang w:val="en-US"/>
              </w:rPr>
              <w:t xml:space="preserve">www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  <w:lang w:val="en-US"/>
              </w:rPr>
              <w:t xml:space="preserve">e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  <w:lang w:val="en-US"/>
              </w:rPr>
              <w:t xml:space="preserve">disclosure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  <w:lang w:val="en-US"/>
              </w:rPr>
              <w:t xml:space="preserve">ru</w:t>
            </w:r>
            <w:r>
              <w:rPr>
                <w:b/>
                <w:i/>
              </w:rPr>
              <w:t xml:space="preserve">/</w:t>
            </w:r>
            <w:r>
              <w:rPr>
                <w:b/>
                <w:i/>
                <w:lang w:val="en-US"/>
              </w:rPr>
              <w:t xml:space="preserve">portal</w:t>
            </w:r>
            <w:r>
              <w:rPr>
                <w:b/>
                <w:i/>
              </w:rPr>
              <w:t xml:space="preserve">/</w:t>
            </w:r>
            <w:r>
              <w:rPr>
                <w:b/>
                <w:i/>
                <w:lang w:val="en-US"/>
              </w:rPr>
              <w:t xml:space="preserve">company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  <w:lang w:val="en-US"/>
              </w:rPr>
              <w:t xml:space="preserve">aspx</w:t>
            </w:r>
            <w:r>
              <w:rPr>
                <w:b/>
                <w:i/>
              </w:rPr>
              <w:t xml:space="preserve">?</w:t>
            </w:r>
            <w:r>
              <w:rPr>
                <w:b/>
                <w:i/>
                <w:lang w:val="en-US"/>
              </w:rPr>
              <w:t xml:space="preserve">id</w:t>
            </w:r>
            <w:r>
              <w:rPr>
                <w:b/>
                <w:i/>
              </w:rPr>
              <w:t xml:space="preserve">=3207, </w:t>
            </w:r>
            <w:r>
              <w:rPr>
                <w:b/>
                <w:i/>
              </w:rPr>
            </w:r>
          </w:p>
          <w:p>
            <w:pPr>
              <w:ind w:left="120" w:right="-27"/>
              <w:rPr>
                <w:b/>
                <w:i/>
                <w:color w:val="000000"/>
              </w:rPr>
            </w:pPr>
            <w:r/>
            <w:hyperlink r:id="rId12" w:tooltip="http://www.rshb.ru" w:history="1">
              <w:r>
                <w:rPr>
                  <w:rStyle w:val="869"/>
                  <w:b/>
                  <w:i/>
                  <w:color w:val="000000"/>
                  <w:u w:val="none"/>
                  <w:lang w:val="en-US"/>
                </w:rPr>
                <w:t xml:space="preserve">http</w:t>
              </w:r>
              <w:r>
                <w:rPr>
                  <w:rStyle w:val="869"/>
                  <w:b/>
                  <w:i/>
                  <w:color w:val="000000"/>
                  <w:u w:val="none"/>
                </w:rPr>
                <w:t xml:space="preserve">://</w:t>
              </w:r>
              <w:r>
                <w:rPr>
                  <w:rStyle w:val="869"/>
                  <w:b/>
                  <w:i/>
                  <w:color w:val="000000"/>
                  <w:u w:val="none"/>
                  <w:lang w:val="en-US"/>
                </w:rPr>
                <w:t xml:space="preserve">www</w:t>
              </w:r>
              <w:r>
                <w:rPr>
                  <w:rStyle w:val="869"/>
                  <w:b/>
                  <w:i/>
                  <w:color w:val="000000"/>
                  <w:u w:val="none"/>
                </w:rPr>
                <w:t xml:space="preserve">.</w:t>
              </w:r>
              <w:r>
                <w:rPr>
                  <w:rStyle w:val="869"/>
                  <w:b/>
                  <w:i/>
                  <w:color w:val="000000"/>
                  <w:u w:val="none"/>
                  <w:lang w:val="en-US"/>
                </w:rPr>
                <w:t xml:space="preserve">rshb</w:t>
              </w:r>
              <w:r>
                <w:rPr>
                  <w:rStyle w:val="869"/>
                  <w:b/>
                  <w:i/>
                  <w:color w:val="000000"/>
                  <w:u w:val="none"/>
                </w:rPr>
                <w:t xml:space="preserve">.</w:t>
              </w:r>
              <w:r>
                <w:rPr>
                  <w:rStyle w:val="869"/>
                  <w:b/>
                  <w:i/>
                  <w:color w:val="000000"/>
                  <w:u w:val="none"/>
                  <w:lang w:val="en-US"/>
                </w:rPr>
                <w:t xml:space="preserve">ru</w:t>
              </w:r>
            </w:hyperlink>
            <w:r/>
            <w:r>
              <w:rPr>
                <w:b/>
                <w:i/>
                <w:color w:val="000000"/>
              </w:rPr>
            </w:r>
          </w:p>
        </w:tc>
      </w:tr>
      <w:tr>
        <w:tblPrEx/>
        <w:trPr>
          <w:trHeight w:val="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ind w:left="537" w:right="57" w:hanging="567"/>
              <w:jc w:val="both"/>
              <w:rPr>
                <w:bCs/>
              </w:rPr>
            </w:pPr>
            <w:r>
              <w:t xml:space="preserve">1.7.   </w:t>
            </w:r>
            <w:r>
              <w:rPr>
                <w:bCs/>
              </w:rPr>
              <w:t xml:space="preserve">Дата наступления события (существенного факта), о котором составлено сообщение:</w:t>
            </w:r>
            <w:r>
              <w:rPr>
                <w:bCs/>
              </w:rPr>
            </w:r>
          </w:p>
          <w:p>
            <w:pPr>
              <w:ind w:right="57"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537" w:right="57" w:hanging="567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ind w:left="537" w:right="-27" w:hanging="417"/>
              <w:rPr>
                <w:b/>
                <w:i/>
              </w:rPr>
            </w:pPr>
            <w:r>
              <w:rPr>
                <w:b/>
                <w:i/>
              </w:rPr>
              <w:t xml:space="preserve">31.01.2025</w:t>
            </w:r>
            <w:r>
              <w:rPr>
                <w:b/>
                <w:i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>
        <w:t xml:space="preserve">2. Содержание сообщения</w:t>
      </w:r>
      <w:r/>
    </w:p>
    <w:p>
      <w:pPr>
        <w:ind w:left="567" w:hanging="567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567" w:hanging="567"/>
        <w:jc w:val="both"/>
        <w:rPr>
          <w:bCs/>
          <w:color w:val="000000"/>
        </w:rPr>
      </w:pPr>
      <w:r>
        <w:rPr>
          <w:color w:val="000000"/>
        </w:rPr>
        <w:t xml:space="preserve">2.1.  Сведения о </w:t>
      </w:r>
      <w:r>
        <w:rPr>
          <w:color w:val="000000"/>
        </w:rPr>
        <w:t xml:space="preserve">том, что сообщение или документ публикуется в порядке изменения (корректировки) информации, содержащейся в ранее опубликованном сообщении или документе (отчете эмитента, годовом отчете акционерного общества, списке аффилированных лиц акционерного общества)</w:t>
      </w:r>
      <w:r>
        <w:rPr>
          <w:bCs/>
          <w:color w:val="000000"/>
        </w:rPr>
        <w:t xml:space="preserve">:</w:t>
      </w:r>
      <w:r>
        <w:rPr>
          <w:bCs/>
          <w:color w:val="000000"/>
        </w:rPr>
      </w:r>
    </w:p>
    <w:p>
      <w:pPr>
        <w:ind w:left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Настоящее сообщение публикуется в порядке изменения (корректировки) информации, содержащейся в ранее опубликованном сообщении.</w:t>
      </w:r>
      <w:r>
        <w:rPr>
          <w:b/>
          <w:i/>
          <w:color w:val="000000"/>
        </w:rPr>
      </w:r>
    </w:p>
    <w:p>
      <w:pPr>
        <w:ind w:left="567" w:hanging="567"/>
        <w:jc w:val="both"/>
        <w:rPr>
          <w:color w:val="000000"/>
        </w:rPr>
      </w:pPr>
      <w:r>
        <w:rPr>
          <w:color w:val="000000"/>
        </w:rPr>
        <w:t xml:space="preserve">2.2.  </w:t>
      </w:r>
      <w:r>
        <w:t xml:space="preserve">Ссылка на ранее опубликованное сообщение или ранее опубликованный текст документа (отчета эмитента, годового отчета акцио</w:t>
      </w:r>
      <w:r>
        <w:t xml:space="preserve">нерного общества, списка аффилированных лиц акционерного общества), информация в котором изменяется (корректируется):</w:t>
      </w:r>
      <w:r>
        <w:rPr>
          <w:color w:val="000000"/>
        </w:rPr>
      </w:r>
    </w:p>
    <w:p>
      <w:pPr>
        <w:ind w:left="567"/>
        <w:jc w:val="both"/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b/>
          <w:bCs/>
          <w:i/>
        </w:rPr>
        <w:t xml:space="preserve">Ссылка на ранее опубликованное сообщение, информация в котором изменяется (корректируется): </w:t>
      </w:r>
      <w:r>
        <w:rPr>
          <w:b/>
          <w:bCs/>
          <w:i/>
        </w:rPr>
        <w:t xml:space="preserve">"Выплаченные доходы или иные выплаты, причитаю</w:t>
      </w:r>
      <w:r>
        <w:rPr>
          <w:b/>
          <w:bCs/>
          <w:i/>
        </w:rPr>
        <w:t xml:space="preserve">щиеся владельцам ценных бумаг эмитента"</w:t>
      </w:r>
      <w:r>
        <w:rPr>
          <w:b/>
          <w:bCs/>
          <w:i/>
        </w:rPr>
        <w:t xml:space="preserve"> (опубликовано 30.01.2025 </w:t>
      </w:r>
      <w:r>
        <w:rPr>
          <w:b/>
          <w:bCs/>
          <w:i/>
        </w:rPr>
        <w:t xml:space="preserve">17:26:05)</w:t>
      </w:r>
      <w:r>
        <w:rPr>
          <w:b/>
          <w:bCs/>
          <w:i/>
        </w:rPr>
        <w:t xml:space="preserve"> </w:t>
      </w:r>
      <w:r>
        <w:rPr>
          <w:b/>
          <w:bCs/>
          <w:i/>
        </w:rPr>
        <w:br w:type="textWrapping" w:clear="all"/>
      </w: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 xml:space="preserve">https://www.e-disclosure.ru/portal/event.aspx?EventId=LQLuexsNsEqHI50abdTGpg-B-B</w:t>
      </w:r>
      <w:bookmarkStart w:id="0" w:name="_GoBack"/>
      <w:r/>
      <w:bookmarkEnd w:id="0"/>
      <w:r/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ind w:left="567" w:hanging="567"/>
        <w:jc w:val="both"/>
        <w:rPr>
          <w:color w:val="000000"/>
        </w:rPr>
      </w:pPr>
      <w:r>
        <w:rPr>
          <w:rStyle w:val="889"/>
          <w:rFonts w:ascii="Times New Roman" w:hAnsi="Times New Roman" w:cs="Times New Roman"/>
          <w:bCs/>
          <w:sz w:val="24"/>
          <w:szCs w:val="24"/>
        </w:rPr>
        <w:t xml:space="preserve">2.3.  </w:t>
      </w:r>
      <w:r>
        <w:rPr>
          <w:rStyle w:val="889"/>
          <w:rFonts w:ascii="Times New Roman" w:hAnsi="Times New Roman" w:cs="Times New Roman"/>
          <w:bCs/>
          <w:sz w:val="24"/>
          <w:szCs w:val="24"/>
        </w:rPr>
        <w:tab/>
      </w:r>
      <w:r>
        <w:rPr>
          <w:color w:val="000000"/>
        </w:rPr>
        <w:t xml:space="preserve">К</w:t>
      </w:r>
      <w:r>
        <w:rPr>
          <w:color w:val="000000"/>
        </w:rPr>
        <w:t xml:space="preserve">раткое описание внесенных изменений и причин (обстоятельств), послуживших основанием их внесения: </w:t>
      </w:r>
      <w:r>
        <w:rPr>
          <w:color w:val="000000"/>
        </w:rPr>
      </w:r>
    </w:p>
    <w:p>
      <w:pPr>
        <w:ind w:left="567" w:hanging="567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567" w:hanging="567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567" w:hanging="567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567"/>
        <w:jc w:val="both"/>
        <w:rPr>
          <w:b/>
          <w:i/>
        </w:rPr>
      </w:pPr>
      <w:r>
        <w:rPr>
          <w:b/>
          <w:i/>
        </w:rPr>
        <w:t xml:space="preserve">В связи с допущенной технической ошибкой в пункте 2.4 изменен общий размер выплаты в части купонного дохода и выплаты номинальной стоимости. </w:t>
      </w:r>
      <w:r>
        <w:rPr>
          <w:b/>
          <w:i/>
        </w:rPr>
      </w:r>
    </w:p>
    <w:p>
      <w:pPr>
        <w:ind w:left="567" w:hanging="567"/>
        <w:rPr>
          <w:bCs/>
          <w:color w:val="000000"/>
        </w:rPr>
      </w:pPr>
      <w:r>
        <w:rPr>
          <w:bCs/>
          <w:color w:val="000000"/>
        </w:rPr>
        <w:t xml:space="preserve">2.4. </w:t>
      </w:r>
      <w:r>
        <w:rPr>
          <w:bCs/>
          <w:color w:val="000000"/>
        </w:rPr>
        <w:tab/>
      </w:r>
      <w:r>
        <w:rPr>
          <w:bCs/>
          <w:iCs/>
        </w:rPr>
        <w:t xml:space="preserve">Полный</w:t>
      </w:r>
      <w:r>
        <w:rPr>
          <w:bCs/>
          <w:iCs/>
        </w:rPr>
        <w:t xml:space="preserve"> текст публикуемого сообщения с учетом внесенных изменений или полный текст измененной (скорректированной) информации:</w:t>
      </w:r>
      <w:r>
        <w:rPr>
          <w:b/>
          <w:bCs/>
          <w:i/>
          <w:iCs/>
        </w:rPr>
        <w:t xml:space="preserve"> </w:t>
      </w:r>
      <w:r>
        <w:rPr>
          <w:bCs/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p>
      <w:pP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Сообщение о существенном факте</w:t>
      </w:r>
      <w:r>
        <w:rPr>
          <w:b/>
          <w:bCs/>
          <w:i/>
          <w:color w:val="000000"/>
        </w:rPr>
      </w:r>
    </w:p>
    <w:p>
      <w:pP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«</w:t>
      </w:r>
      <w:r>
        <w:rPr>
          <w:b/>
          <w:i/>
          <w:iCs/>
          <w:color w:val="000000"/>
        </w:rPr>
        <w:t xml:space="preserve">О </w:t>
      </w:r>
      <w:r>
        <w:rPr>
          <w:b/>
          <w:i/>
          <w:iCs/>
          <w:color w:val="000000"/>
        </w:rPr>
        <w:t xml:space="preserve">выплаченных доходах по ценным бумагам эмитента, а также об иных выплатах, причитающихся владельцам ценных бумаг эмитента</w:t>
      </w:r>
      <w:r>
        <w:rPr>
          <w:b/>
          <w:bCs/>
          <w:i/>
          <w:color w:val="000000"/>
        </w:rPr>
        <w:t xml:space="preserve">»</w:t>
      </w:r>
      <w:r>
        <w:rPr>
          <w:b/>
          <w:bCs/>
          <w:i/>
          <w:color w:val="000000"/>
        </w:rPr>
      </w:r>
    </w:p>
    <w:p>
      <w:pP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</w:r>
      <w:r>
        <w:rPr>
          <w:b/>
          <w:bCs/>
          <w:i/>
          <w:color w:val="000000"/>
        </w:rPr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9855"/>
      </w:tblGrid>
      <w:tr>
        <w:tblPrEx/>
        <w:trPr>
          <w:trHeight w:val="3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5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5" w:type="dxa"/>
            <w:textDirection w:val="lrTb"/>
            <w:noWrap w:val="false"/>
          </w:tcPr>
          <w:p>
            <w:pPr>
              <w:pStyle w:val="705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pStyle w:val="705"/>
              <w:numPr>
                <w:ilvl w:val="0"/>
                <w:numId w:val="4"/>
              </w:num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 xml:space="preserve">Общие сведения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tbl>
            <w:tblPr>
              <w:tblW w:w="9639" w:type="dxa"/>
              <w:tblInd w:w="0" w:type="dxa"/>
              <w:tblLayout w:type="fixed"/>
              <w:tblCellMar>
                <w:left w:w="28" w:type="dxa"/>
                <w:top w:w="0" w:type="dxa"/>
                <w:right w:w="2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9582"/>
            </w:tblGrid>
            <w:tr>
              <w:tblPrEx/>
              <w:trPr>
                <w:cantSplit/>
                <w:gridAfter w:val="1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567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1.1. 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 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Полное фирменное наименование (для коммерческой организации) или наименование (для некоммерческой организации) эмитента: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582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120" w:right="57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Акционерное общество «Российский Сельскохозяйственный банк»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567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1.2. 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 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Адрес эмитента, указанный в едином государственном реестре юридических лиц: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582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120" w:right="57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119034, город Москва,  Гагаринский переулок, дом 3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119" w:hanging="567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1.3. 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 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Основной государственный регистрационный номер (ОГРН) эмитента (при наличии):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582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41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1027700342890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567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1.4. 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 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Идентификационный номер налогоплательщика (ИНН) эмитента (при наличии):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582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41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7725114488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567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1.5. 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 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Уникальный код эмитента, присвоенный Банком России: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582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41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03349-В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567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1.6. 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 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Адрес страницы в сети Интернет, используемой эмитентом для раскрытия информации: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582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120" w:right="-27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http</w:t>
                  </w:r>
                  <w:r>
                    <w:rPr>
                      <w:b/>
                      <w:bCs/>
                      <w:i/>
                      <w:iCs/>
                    </w:rPr>
                    <w:t xml:space="preserve">://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www</w:t>
                  </w:r>
                  <w:r>
                    <w:rPr>
                      <w:b/>
                      <w:bCs/>
                      <w:i/>
                      <w:iCs/>
                    </w:rPr>
                    <w:t xml:space="preserve">.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e</w:t>
                  </w:r>
                  <w:r>
                    <w:rPr>
                      <w:b/>
                      <w:bCs/>
                      <w:i/>
                      <w:iCs/>
                    </w:rPr>
                    <w:t xml:space="preserve">-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disclosure</w:t>
                  </w:r>
                  <w:r>
                    <w:rPr>
                      <w:b/>
                      <w:bCs/>
                      <w:i/>
                      <w:iCs/>
                    </w:rPr>
                    <w:t xml:space="preserve">.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ru</w:t>
                  </w:r>
                  <w:r>
                    <w:rPr>
                      <w:b/>
                      <w:bCs/>
                      <w:i/>
                      <w:iCs/>
                    </w:rPr>
                    <w:t xml:space="preserve">/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portal</w:t>
                  </w:r>
                  <w:r>
                    <w:rPr>
                      <w:b/>
                      <w:bCs/>
                      <w:i/>
                      <w:iCs/>
                    </w:rPr>
                    <w:t xml:space="preserve">/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company</w:t>
                  </w:r>
                  <w:r>
                    <w:rPr>
                      <w:b/>
                      <w:bCs/>
                      <w:i/>
                      <w:iCs/>
                    </w:rPr>
                    <w:t xml:space="preserve">.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aspx</w:t>
                  </w:r>
                  <w:r>
                    <w:rPr>
                      <w:b/>
                      <w:bCs/>
                      <w:i/>
                      <w:iCs/>
                    </w:rPr>
                    <w:t xml:space="preserve">?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id</w:t>
                  </w:r>
                  <w:r>
                    <w:rPr>
                      <w:b/>
                      <w:bCs/>
                      <w:i/>
                      <w:iCs/>
                    </w:rPr>
                    <w:t xml:space="preserve">=3207,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  <w:p>
                  <w:pPr>
                    <w:pStyle w:val="705"/>
                    <w:ind w:left="120" w:right="-27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fldChar w:fldCharType="begin"/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instrText xml:space="preserve"> 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instrText xml:space="preserve">HYPERLINK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instrText xml:space="preserve"> "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instrText xml:space="preserve">http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instrText xml:space="preserve">://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instrText xml:space="preserve">www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instrText xml:space="preserve">.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instrText xml:space="preserve">rshb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instrText xml:space="preserve">.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instrText xml:space="preserve">ru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instrText xml:space="preserve">" </w:instrText>
                  </w: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fldChar w:fldCharType="separate"/>
                  </w:r>
                  <w:r>
                    <w:rPr>
                      <w:rStyle w:val="1_1743"/>
                      <w:b/>
                      <w:bCs/>
                      <w:i/>
                      <w:iCs/>
                      <w:color w:val="000000"/>
                      <w:u w:val="none"/>
                      <w:lang w:val="en-US"/>
                    </w:rPr>
                    <w:t xml:space="preserve">http</w:t>
                  </w:r>
                  <w:r>
                    <w:rPr>
                      <w:rStyle w:val="1_1743"/>
                      <w:b/>
                      <w:bCs/>
                      <w:i/>
                      <w:iCs/>
                      <w:color w:val="000000"/>
                      <w:u w:val="none"/>
                    </w:rPr>
                    <w:t xml:space="preserve">://</w:t>
                  </w:r>
                  <w:r>
                    <w:rPr>
                      <w:rStyle w:val="1_1743"/>
                      <w:b/>
                      <w:bCs/>
                      <w:i/>
                      <w:iCs/>
                      <w:color w:val="000000"/>
                      <w:u w:val="none"/>
                      <w:lang w:val="en-US"/>
                    </w:rPr>
                    <w:t xml:space="preserve">www</w:t>
                  </w:r>
                  <w:r>
                    <w:rPr>
                      <w:rStyle w:val="1_1743"/>
                      <w:b/>
                      <w:bCs/>
                      <w:i/>
                      <w:iCs/>
                      <w:color w:val="000000"/>
                      <w:u w:val="none"/>
                    </w:rPr>
                    <w:t xml:space="preserve">.</w:t>
                  </w:r>
                  <w:r>
                    <w:rPr>
                      <w:rStyle w:val="1_1743"/>
                      <w:b/>
                      <w:bCs/>
                      <w:i/>
                      <w:iCs/>
                      <w:color w:val="000000"/>
                      <w:u w:val="none"/>
                      <w:lang w:val="en-US"/>
                    </w:rPr>
                    <w:t xml:space="preserve">rshb</w:t>
                  </w:r>
                  <w:r>
                    <w:rPr>
                      <w:rStyle w:val="1_1743"/>
                      <w:b/>
                      <w:bCs/>
                      <w:i/>
                      <w:iCs/>
                      <w:color w:val="000000"/>
                      <w:u w:val="none"/>
                    </w:rPr>
                    <w:t xml:space="preserve">.</w:t>
                  </w:r>
                  <w:r>
                    <w:rPr>
                      <w:rStyle w:val="1_1743"/>
                      <w:b/>
                      <w:bCs/>
                      <w:i/>
                      <w:iCs/>
                      <w:color w:val="000000"/>
                      <w:u w:val="none"/>
                      <w:lang w:val="en-US"/>
                    </w:rPr>
                    <w:t xml:space="preserve">ru</w:t>
                  </w:r>
                  <w:r>
                    <w:rPr>
                      <w:b/>
                      <w:bCs/>
                      <w:i/>
                      <w:iCs/>
                      <w:color w:val="000000"/>
                      <w:lang w:val="en-US"/>
                    </w:rPr>
                    <w:fldChar w:fldCharType="end"/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</w:r>
                </w:p>
              </w:tc>
            </w:tr>
            <w:tr>
              <w:tblPrEx/>
              <w:trPr>
                <w:trHeight w:val="68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7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57" w:hanging="567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1.7. 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 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Дата наступления события (существенного факта), о котором составлено сообщение: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582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ind w:left="537" w:right="-27" w:hanging="417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29</w:t>
                  </w:r>
                  <w:r>
                    <w:rPr>
                      <w:b/>
                      <w:bCs/>
                      <w:i/>
                      <w:iCs/>
                    </w:rPr>
                    <w:t xml:space="preserve">.</w:t>
                  </w:r>
                  <w:r>
                    <w:rPr>
                      <w:b/>
                      <w:bCs/>
                      <w:i/>
                      <w:iCs/>
                    </w:rPr>
                    <w:t xml:space="preserve">01</w:t>
                  </w:r>
                  <w:r>
                    <w:rPr>
                      <w:b/>
                      <w:bCs/>
                      <w:i/>
                      <w:iCs/>
                    </w:rPr>
                    <w:t xml:space="preserve">.202</w:t>
                  </w:r>
                  <w:r>
                    <w:rPr>
                      <w:b/>
                      <w:bCs/>
                      <w:i/>
                      <w:iCs/>
                    </w:rPr>
                    <w:t xml:space="preserve">5</w:t>
                  </w:r>
                  <w:r>
                    <w:rPr>
                      <w:b/>
                      <w:bCs/>
                      <w:i/>
                      <w:iCs/>
                    </w:rPr>
                  </w:r>
                  <w:r>
                    <w:rPr>
                      <w:b/>
                      <w:bCs/>
                      <w:i/>
                      <w:iCs/>
                    </w:rPr>
                  </w:r>
                </w:p>
              </w:tc>
            </w:tr>
          </w:tbl>
          <w:p>
            <w:pPr>
              <w:pStyle w:val="705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5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 xml:space="preserve">2. Содержание сообщения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pStyle w:val="705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«</w:t>
            </w:r>
            <w:r>
              <w:rPr>
                <w:b/>
                <w:bCs/>
                <w:i/>
                <w:iCs/>
                <w:color w:val="000000"/>
              </w:rPr>
              <w:t xml:space="preserve">О выплаченных доходах по ценным бумагам эмитента, а также об иных выплатах, причитающихся владельцам ценных бумаг эмитента</w:t>
            </w:r>
            <w:r>
              <w:rPr>
                <w:b/>
                <w:bCs/>
                <w:i/>
                <w:iCs/>
                <w:color w:val="000000"/>
              </w:rPr>
              <w:t xml:space="preserve">»</w: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  <w:p>
            <w:pPr>
              <w:pStyle w:val="705"/>
              <w:jc w:val="center"/>
            </w:pPr>
            <w:r/>
            <w:r/>
            <w:r/>
          </w:p>
        </w:tc>
      </w:tr>
    </w:tbl>
    <w:p>
      <w:pPr>
        <w:ind w:left="567" w:hanging="567"/>
        <w:jc w:val="both"/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ind w:left="567" w:hanging="567"/>
        <w:jc w:val="both"/>
        <w:rPr>
          <w:rStyle w:val="889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 xml:space="preserve">2.1.   </w:t>
      </w: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b/>
          <w:bCs/>
          <w:i/>
          <w:iCs/>
        </w:rPr>
        <w:t xml:space="preserve">Идентификационные признаки ценных бумаг эмитента, по которым выплачены доходы и (или) осуществлены иные выплаты, причитающиеся их владельцам</w:t>
      </w: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 xml:space="preserve">: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889"/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ind w:left="567" w:hanging="567"/>
        <w:jc w:val="both"/>
        <w:rPr>
          <w:b/>
          <w:i/>
        </w:rPr>
      </w:pPr>
      <w:r>
        <w:rPr>
          <w:b/>
          <w:i/>
        </w:rPr>
        <w:t xml:space="preserve">         Вид, категория (тип): Биржевые облигации на предъявителя;</w:t>
      </w:r>
      <w:r>
        <w:rPr>
          <w:b/>
          <w:i/>
        </w:rPr>
      </w:r>
    </w:p>
    <w:p>
      <w:pPr>
        <w:ind w:left="567" w:hanging="567"/>
        <w:jc w:val="both"/>
        <w:rPr>
          <w:b/>
          <w:i/>
        </w:rPr>
      </w:pPr>
      <w:r>
        <w:rPr>
          <w:b/>
          <w:i/>
        </w:rPr>
        <w:t xml:space="preserve">         Серия: БО-08;</w:t>
      </w:r>
      <w:r>
        <w:rPr>
          <w:b/>
          <w:i/>
        </w:rPr>
      </w:r>
    </w:p>
    <w:p>
      <w:pPr>
        <w:ind w:left="567" w:hanging="567"/>
        <w:jc w:val="both"/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 xml:space="preserve">         Регистрационный номер выпуска (дополнительного выпуска) ценных бумаг (программы облигаций) и дата его (ее) регистрации (идентификационный номер выпуска (дополнительного выпуска) ценных бумаг и дата его присвоения):</w:t>
      </w: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ind w:left="567" w:hanging="567"/>
        <w:jc w:val="both"/>
        <w:rPr>
          <w:b/>
          <w:i/>
          <w:color w:val="000000"/>
        </w:rPr>
      </w:pPr>
      <w:r>
        <w:rPr>
          <w:b/>
          <w:bCs/>
          <w:i/>
        </w:rPr>
        <w:t xml:space="preserve">         </w:t>
      </w: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 xml:space="preserve">Идентификационный номер</w:t>
      </w: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 xml:space="preserve"> выпуска ценных бумаг эмитента</w:t>
      </w:r>
      <w:r>
        <w:rPr>
          <w:b/>
          <w:bCs/>
          <w:i/>
          <w:color w:val="000000"/>
        </w:rPr>
        <w:t xml:space="preserve">:</w:t>
      </w:r>
      <w:r>
        <w:rPr>
          <w:b/>
          <w:i/>
          <w:color w:val="000000"/>
        </w:rPr>
        <w:t xml:space="preserve"> 4</w:t>
      </w:r>
      <w:r>
        <w:rPr>
          <w:b/>
          <w:i/>
          <w:color w:val="000000"/>
          <w:lang w:val="en-US"/>
        </w:rPr>
        <w:t xml:space="preserve">B</w:t>
      </w:r>
      <w:r>
        <w:rPr>
          <w:b/>
          <w:i/>
          <w:color w:val="000000"/>
        </w:rPr>
        <w:t xml:space="preserve">020803349B.</w:t>
      </w:r>
      <w:r>
        <w:rPr>
          <w:b/>
          <w:i/>
          <w:color w:val="000000"/>
        </w:rPr>
      </w:r>
    </w:p>
    <w:p>
      <w:pPr>
        <w:ind w:left="567" w:hanging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b/>
          <w:bCs/>
          <w:i/>
          <w:color w:val="000000"/>
        </w:rPr>
        <w:t xml:space="preserve">Дата его присвоения</w:t>
      </w:r>
      <w:r>
        <w:rPr>
          <w:rStyle w:val="904"/>
          <w:i/>
          <w:color w:val="000000"/>
        </w:rPr>
        <w:t xml:space="preserve">:</w:t>
      </w:r>
      <w:r>
        <w:rPr>
          <w:b/>
          <w:i/>
          <w:color w:val="000000"/>
        </w:rPr>
        <w:t xml:space="preserve"> 11.02.2014.</w:t>
      </w:r>
      <w:r>
        <w:rPr>
          <w:b/>
          <w:i/>
          <w:color w:val="000000"/>
        </w:rPr>
      </w:r>
    </w:p>
    <w:p>
      <w:pPr>
        <w:jc w:val="both"/>
        <w:rPr>
          <w:rStyle w:val="889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         Международный код (номер) идентификации ценных бумаг (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ISIN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): 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br/>
        <w:t xml:space="preserve">         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RU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000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A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0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JV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805.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</w:r>
    </w:p>
    <w:p>
      <w:pPr>
        <w:jc w:val="both"/>
        <w:rPr>
          <w:rStyle w:val="889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         Международный код классификации финансовых инструментов (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CFI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):</w:t>
      </w:r>
      <w:r>
        <w:rPr>
          <w:rFonts w:ascii="Arial" w:hAnsi="Arial" w:cs="Arial"/>
          <w:b/>
          <w:i/>
          <w:color w:val="333333"/>
          <w:sz w:val="21"/>
          <w:szCs w:val="21"/>
        </w:rPr>
        <w:t xml:space="preserve"> 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DBVXFB.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</w:r>
    </w:p>
    <w:p>
      <w:pPr>
        <w:ind w:left="567" w:right="-158"/>
        <w:jc w:val="both"/>
        <w:rPr>
          <w:b/>
          <w:i/>
        </w:rPr>
      </w:pPr>
      <w:r>
        <w:rPr>
          <w:b/>
          <w:i/>
        </w:rPr>
        <w:t xml:space="preserve">Иные идентификационные признаки ценных бумаг, указанные в решении о выпуске ценных бумаг:</w:t>
      </w:r>
      <w:r>
        <w:rPr>
          <w:b/>
          <w:i/>
          <w:color w:val="000000"/>
        </w:rPr>
        <w:t xml:space="preserve"> Биржевые</w:t>
      </w:r>
      <w:r>
        <w:rPr>
          <w:b/>
          <w:i/>
          <w:color w:val="000000"/>
        </w:rPr>
        <w:t xml:space="preserve"> неконвертируемые процентные документарные облигации на предъявителя с обязательным централизованным хранением, с возможностью досрочного погашения по требованию владельцев и по усмотрению Эмитента, со сроком погашения в 3640-й (Три тысячи шестьсот сороков</w:t>
      </w:r>
      <w:r>
        <w:rPr>
          <w:b/>
          <w:i/>
          <w:color w:val="000000"/>
        </w:rPr>
        <w:t xml:space="preserve">ой) день с </w:t>
      </w:r>
      <w:r>
        <w:rPr>
          <w:b/>
          <w:i/>
          <w:color w:val="000000"/>
        </w:rPr>
        <w:t xml:space="preserve">даты начала размещения биржевых облигаций, размещаемых путем открытой подписки, серии БО-08 (далее - «Биржевые облигации серии БО-08»).</w:t>
      </w:r>
      <w:r>
        <w:rPr>
          <w:b/>
          <w:i/>
        </w:rPr>
        <w:t xml:space="preserve"> </w:t>
      </w:r>
      <w:r>
        <w:rPr>
          <w:b/>
          <w:i/>
        </w:rPr>
      </w:r>
    </w:p>
    <w:p>
      <w:pPr>
        <w:ind w:left="567" w:hanging="567"/>
        <w:jc w:val="both"/>
        <w:rPr>
          <w:b/>
          <w:i/>
          <w:color w:val="000000"/>
        </w:rPr>
      </w:pPr>
      <w:r>
        <w:rPr>
          <w:rStyle w:val="889"/>
          <w:rFonts w:ascii="Times New Roman" w:hAnsi="Times New Roman" w:cs="Times New Roman"/>
          <w:b/>
          <w:bCs/>
          <w:i/>
          <w:sz w:val="24"/>
          <w:szCs w:val="24"/>
        </w:rPr>
        <w:t xml:space="preserve">2.2.   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Категория выплат по ценным бумагам эмитента и (или) иных выплат, причитающихся владельцам ценных бума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г эмитента (дивиденды по акциям; проценты (купонный доход) по облигациям; номинальная стоимость (часть номинальной стоимости) облигаций; иные выплаты): </w:t>
      </w:r>
      <w:r>
        <w:rPr>
          <w:b/>
          <w:i/>
          <w:color w:val="000000"/>
        </w:rPr>
        <w:t xml:space="preserve">номинальная стоимость и проценты (купонный доход) по облигациям.</w:t>
      </w:r>
      <w:r>
        <w:rPr>
          <w:b/>
          <w:i/>
          <w:color w:val="000000"/>
        </w:rPr>
      </w:r>
    </w:p>
    <w:p>
      <w:pPr>
        <w:ind w:left="567" w:right="57" w:hanging="567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2.3.   Отчетный (купонный) период (год;</w:t>
      </w:r>
      <w:r>
        <w:rPr>
          <w:b/>
          <w:bCs/>
          <w:i/>
          <w:color w:val="000000"/>
        </w:rPr>
        <w:t xml:space="preserve"> 3, 6, 9 месяцев года; иной период; даты начала и окончания купонного периода), за который выплачивались доходы по ценным бумагам эмитента: </w:t>
      </w:r>
      <w:r>
        <w:rPr>
          <w:b/>
          <w:bCs/>
          <w:i/>
          <w:color w:val="000000"/>
        </w:rPr>
      </w:r>
    </w:p>
    <w:p>
      <w:pPr>
        <w:ind w:left="567" w:right="57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- 40 (Сороковой) купонный период с 30.10.2024 по 29.01.2025;</w:t>
      </w:r>
      <w:r>
        <w:rPr>
          <w:b/>
          <w:bCs/>
          <w:i/>
          <w:color w:val="000000"/>
        </w:rPr>
      </w:r>
    </w:p>
    <w:p>
      <w:pPr>
        <w:ind w:left="567" w:right="57"/>
        <w:jc w:val="both"/>
        <w:rPr>
          <w:b/>
          <w:bCs/>
          <w:i/>
        </w:rPr>
      </w:pPr>
      <w:r>
        <w:rPr>
          <w:b/>
          <w:bCs/>
          <w:i/>
        </w:rPr>
        <w:t xml:space="preserve">-</w:t>
      </w:r>
      <w:r>
        <w:rPr>
          <w:b/>
          <w:bCs/>
          <w:i/>
        </w:rPr>
        <w:tab/>
        <w:t xml:space="preserve"> выплата номинальной стоимости производится в связи </w:t>
      </w:r>
      <w:r>
        <w:rPr>
          <w:b/>
          <w:bCs/>
          <w:i/>
        </w:rPr>
        <w:t xml:space="preserve">с окончанием (истечением) срока обращения Облигаций серии </w:t>
      </w:r>
      <w:r>
        <w:rPr>
          <w:b/>
          <w:bCs/>
          <w:i/>
          <w:iCs/>
        </w:rPr>
        <w:t xml:space="preserve">БO-08</w:t>
      </w:r>
      <w:r>
        <w:rPr>
          <w:b/>
          <w:bCs/>
          <w:i/>
        </w:rPr>
        <w:t xml:space="preserve"> в соответствии с </w:t>
      </w:r>
      <w:r>
        <w:rPr>
          <w:b/>
          <w:i/>
        </w:rPr>
        <w:t xml:space="preserve">Решением о выпуске ценных бумаг</w:t>
      </w:r>
      <w:r>
        <w:rPr>
          <w:b/>
          <w:bCs/>
          <w:i/>
        </w:rPr>
        <w:t xml:space="preserve"> от 11.02.2014.</w:t>
      </w:r>
      <w:r>
        <w:rPr>
          <w:b/>
          <w:bCs/>
          <w:i/>
        </w:rPr>
      </w:r>
    </w:p>
    <w:p>
      <w:pPr>
        <w:ind w:left="567" w:right="57" w:hanging="567"/>
        <w:jc w:val="both"/>
        <w:rPr>
          <w:b/>
          <w:bCs/>
          <w:i/>
        </w:rPr>
      </w:pPr>
      <w:r>
        <w:rPr>
          <w:b/>
          <w:bCs/>
          <w:i/>
          <w:color w:val="000000"/>
        </w:rPr>
        <w:t xml:space="preserve">2.</w:t>
      </w:r>
      <w:r>
        <w:rPr>
          <w:b/>
          <w:i/>
        </w:rPr>
        <w:t xml:space="preserve">4. </w:t>
      </w:r>
      <w:r>
        <w:rPr>
          <w:b/>
          <w:bCs/>
          <w:i/>
        </w:rPr>
        <w:t xml:space="preserve"> Общий размер выплаченных доходов по ценным бумагам эмитента, а также иных выплат, причитающихся владельцам ценных бумаг эм</w:t>
      </w:r>
      <w:r>
        <w:rPr>
          <w:b/>
          <w:bCs/>
          <w:i/>
        </w:rPr>
        <w:t xml:space="preserve">итента: 1</w:t>
      </w:r>
      <w:r>
        <w:rPr>
          <w:b/>
          <w:bCs/>
          <w:i/>
          <w:color w:val="000000"/>
        </w:rPr>
        <w:t xml:space="preserve"> </w:t>
      </w:r>
      <w:r>
        <w:rPr>
          <w:b/>
          <w:bCs/>
          <w:i/>
        </w:rPr>
        <w:t xml:space="preserve">902</w:t>
      </w:r>
      <w:r>
        <w:rPr>
          <w:b/>
          <w:bCs/>
          <w:i/>
          <w:color w:val="000000"/>
        </w:rPr>
        <w:t xml:space="preserve"> </w:t>
      </w:r>
      <w:r>
        <w:rPr>
          <w:b/>
          <w:bCs/>
          <w:i/>
        </w:rPr>
        <w:t xml:space="preserve">388</w:t>
      </w:r>
      <w:r>
        <w:rPr>
          <w:b/>
          <w:bCs/>
          <w:i/>
          <w:color w:val="000000"/>
        </w:rPr>
        <w:t xml:space="preserve"> </w:t>
      </w:r>
      <w:r>
        <w:rPr>
          <w:b/>
          <w:bCs/>
          <w:i/>
        </w:rPr>
        <w:t xml:space="preserve">269,60 рублей (Один миллиард девятьсот два миллиона триста восемьдесят восемь тысяч двести шестьдесят девять рублей 60 копеек) по Биржевым облигациям серии БО-08 при </w:t>
      </w:r>
      <w:r>
        <w:rPr>
          <w:b/>
          <w:bCs/>
          <w:i/>
          <w:color w:val="000000"/>
        </w:rPr>
        <w:t xml:space="preserve">выплате номинальной стоимости в связи с окончанием (истечением) срока обращения и</w:t>
      </w:r>
      <w:r>
        <w:rPr>
          <w:b/>
          <w:bCs/>
          <w:i/>
        </w:rPr>
        <w:t xml:space="preserve"> </w:t>
      </w:r>
      <w:r>
        <w:rPr>
          <w:b/>
          <w:bCs/>
          <w:i/>
        </w:rPr>
        <w:t xml:space="preserve">за </w:t>
      </w:r>
      <w:r>
        <w:rPr>
          <w:b/>
          <w:bCs/>
          <w:i/>
          <w:color w:val="000000"/>
        </w:rPr>
        <w:t xml:space="preserve">40 (Сороковой) купонный период</w:t>
      </w:r>
      <w:r>
        <w:rPr>
          <w:b/>
          <w:bCs/>
          <w:i/>
        </w:rPr>
        <w:t xml:space="preserve">. </w:t>
      </w:r>
      <w:r>
        <w:rPr>
          <w:b/>
          <w:bCs/>
          <w:i/>
        </w:rPr>
      </w:r>
    </w:p>
    <w:p>
      <w:pPr>
        <w:ind w:left="567" w:right="57"/>
        <w:jc w:val="both"/>
        <w:rPr>
          <w:b/>
          <w:bCs/>
          <w:i/>
        </w:rPr>
      </w:pPr>
      <w:r>
        <w:rPr>
          <w:b/>
          <w:bCs/>
          <w:i/>
        </w:rPr>
        <w:t xml:space="preserve">Общее количество Биржевых облигаций серии БО-08, по которым производится выплата – 1 833 804 штук.</w:t>
      </w:r>
      <w:r>
        <w:rPr>
          <w:b/>
          <w:bCs/>
          <w:i/>
        </w:rPr>
      </w:r>
    </w:p>
    <w:p>
      <w:pPr>
        <w:ind w:left="567"/>
        <w:jc w:val="both"/>
        <w:rPr>
          <w:b/>
          <w:i/>
        </w:rPr>
      </w:pPr>
      <w:r>
        <w:rPr>
          <w:b/>
          <w:i/>
        </w:rPr>
        <w:t xml:space="preserve">В соответствии с Решением о выпуске ценных бумаг и Проспектом ценных бумаг Эмитентом были выкуплены Биржевые облигации се</w:t>
      </w:r>
      <w:r>
        <w:rPr>
          <w:b/>
          <w:i/>
        </w:rPr>
        <w:t xml:space="preserve">рии </w:t>
      </w:r>
      <w:r>
        <w:rPr>
          <w:b/>
          <w:bCs/>
          <w:i/>
        </w:rPr>
        <w:t xml:space="preserve">БО-08</w:t>
      </w:r>
      <w:r>
        <w:rPr>
          <w:b/>
          <w:i/>
        </w:rPr>
        <w:t xml:space="preserve"> в количестве 8 166 196 штук. Доход по выкупленным Биржевым облигациям серии </w:t>
      </w:r>
      <w:r>
        <w:rPr>
          <w:b/>
          <w:bCs/>
          <w:i/>
        </w:rPr>
        <w:t xml:space="preserve">БО-08</w:t>
      </w:r>
      <w:r>
        <w:rPr>
          <w:b/>
          <w:i/>
        </w:rPr>
        <w:t xml:space="preserve"> не начисляется и не выплачивается.</w:t>
      </w:r>
      <w:r>
        <w:rPr>
          <w:b/>
          <w:i/>
        </w:rPr>
      </w:r>
    </w:p>
    <w:p>
      <w:pPr>
        <w:ind w:left="567" w:right="57" w:hanging="567"/>
        <w:jc w:val="both"/>
        <w:rPr>
          <w:b/>
          <w:bCs/>
          <w:i/>
        </w:rPr>
      </w:pPr>
      <w:r>
        <w:rPr>
          <w:b/>
          <w:bCs/>
          <w:i/>
          <w:color w:val="000000"/>
        </w:rPr>
        <w:t xml:space="preserve">2.5</w:t>
      </w:r>
      <w:r>
        <w:rPr>
          <w:b/>
          <w:bCs/>
          <w:i/>
        </w:rPr>
        <w:t xml:space="preserve">.</w:t>
      </w:r>
      <w:r>
        <w:rPr>
          <w:b/>
          <w:bCs/>
          <w:i/>
        </w:rPr>
        <w:tab/>
        <w:t xml:space="preserve">Размер выплаченных доходов, а также иных выплат в расчете на одну ценную бумагу эмитента: </w:t>
      </w:r>
      <w:r>
        <w:rPr>
          <w:b/>
          <w:bCs/>
          <w:i/>
        </w:rPr>
      </w:r>
    </w:p>
    <w:p>
      <w:pPr>
        <w:ind w:left="567" w:right="57"/>
        <w:jc w:val="both"/>
        <w:rPr>
          <w:b/>
          <w:bCs/>
          <w:i/>
        </w:rPr>
      </w:pPr>
      <w:r>
        <w:rPr>
          <w:b/>
          <w:bCs/>
          <w:i/>
        </w:rPr>
        <w:t xml:space="preserve">- 37,40 рублей (Тридцать семь руб</w:t>
      </w:r>
      <w:r>
        <w:rPr>
          <w:b/>
          <w:bCs/>
          <w:i/>
        </w:rPr>
        <w:t xml:space="preserve">лей 40 копеек) по одной Биржевой облигации серии БО-08 за 40</w:t>
      </w:r>
      <w:r>
        <w:rPr>
          <w:b/>
          <w:bCs/>
          <w:i/>
          <w:color w:val="000000"/>
        </w:rPr>
        <w:t xml:space="preserve"> (Сороковой) купонный период</w:t>
      </w:r>
      <w:r>
        <w:rPr>
          <w:b/>
          <w:bCs/>
          <w:i/>
        </w:rPr>
        <w:t xml:space="preserve">;</w:t>
      </w:r>
      <w:r>
        <w:rPr>
          <w:b/>
          <w:bCs/>
          <w:i/>
        </w:rPr>
      </w:r>
    </w:p>
    <w:p>
      <w:pPr>
        <w:ind w:left="567" w:right="57"/>
        <w:jc w:val="both"/>
        <w:rPr>
          <w:b/>
          <w:bCs/>
          <w:i/>
        </w:rPr>
      </w:pPr>
      <w:r>
        <w:rPr>
          <w:b/>
          <w:bCs/>
          <w:i/>
        </w:rPr>
        <w:t xml:space="preserve">- 1000,00 рублей </w:t>
      </w:r>
      <w:r>
        <w:rPr>
          <w:b/>
          <w:i/>
        </w:rPr>
        <w:t xml:space="preserve">(Одна тысяча рублей 00 копеек</w:t>
      </w:r>
      <w:r>
        <w:rPr>
          <w:b/>
          <w:bCs/>
          <w:i/>
        </w:rPr>
        <w:t xml:space="preserve">) по одной Облигации серии </w:t>
      </w:r>
      <w:r>
        <w:rPr>
          <w:b/>
          <w:i/>
        </w:rPr>
        <w:t xml:space="preserve">БО-08</w:t>
      </w:r>
      <w:r>
        <w:rPr>
          <w:b/>
          <w:bCs/>
          <w:i/>
        </w:rPr>
        <w:t xml:space="preserve"> в части выплаты номинальной стоимости в связи с окончанием (истечением) срока обращения Облигаций.</w:t>
      </w:r>
      <w:r>
        <w:rPr>
          <w:b/>
          <w:bCs/>
          <w:i/>
        </w:rPr>
      </w:r>
    </w:p>
    <w:p>
      <w:pPr>
        <w:ind w:left="567" w:hanging="567"/>
        <w:jc w:val="both"/>
        <w:tabs>
          <w:tab w:val="left" w:pos="0" w:leader="none"/>
          <w:tab w:val="left" w:pos="567" w:leader="none"/>
        </w:tabs>
        <w:rPr>
          <w:b/>
          <w:bCs/>
          <w:i/>
        </w:rPr>
      </w:pPr>
      <w:r>
        <w:rPr>
          <w:b/>
          <w:bCs/>
          <w:i/>
        </w:rPr>
        <w:t xml:space="preserve">2.6.</w:t>
      </w:r>
      <w:r>
        <w:rPr>
          <w:b/>
          <w:bCs/>
          <w:i/>
        </w:rPr>
        <w:tab/>
        <w:t xml:space="preserve">Общее количество облигаций определенного выпуска, по которым выплачены доходы и (или) осуществлены иные выплаты: 1 833 804 (Один миллион восемьсот трид</w:t>
      </w:r>
      <w:r>
        <w:rPr>
          <w:b/>
          <w:bCs/>
          <w:i/>
        </w:rPr>
        <w:t xml:space="preserve">цать три тысячи восемьсот четыре) штуки.</w:t>
      </w:r>
      <w:r>
        <w:rPr>
          <w:b/>
          <w:bCs/>
          <w:i/>
        </w:rPr>
      </w:r>
    </w:p>
    <w:p>
      <w:pPr>
        <w:ind w:left="567" w:hanging="567"/>
        <w:jc w:val="both"/>
        <w:rPr>
          <w:rStyle w:val="889"/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bCs/>
          <w:i/>
        </w:rPr>
        <w:t xml:space="preserve">2.7.  </w:t>
      </w:r>
      <w:r>
        <w:rPr>
          <w:b/>
          <w:bCs/>
          <w:i/>
        </w:rPr>
        <w:tab/>
        <w:t xml:space="preserve">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</w:r>
      <w:r>
        <w:rPr>
          <w:b/>
          <w:i/>
        </w:rPr>
        <w:t xml:space="preserve"> 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  <w:t xml:space="preserve">выплата доходов производилась в безналичном порядке денежными средствами в валюте Российской Федерации.</w:t>
      </w:r>
      <w:r>
        <w:rPr>
          <w:rStyle w:val="889"/>
          <w:rFonts w:ascii="Times New Roman" w:hAnsi="Times New Roman" w:cs="Times New Roman"/>
          <w:b/>
          <w:i/>
          <w:sz w:val="24"/>
          <w:szCs w:val="24"/>
        </w:rPr>
      </w:r>
    </w:p>
    <w:p>
      <w:pPr>
        <w:ind w:left="567" w:hanging="567"/>
        <w:jc w:val="both"/>
        <w:rPr>
          <w:b/>
          <w:bCs/>
          <w:i/>
          <w:iCs/>
        </w:rPr>
      </w:pPr>
      <w:r>
        <w:rPr>
          <w:b/>
          <w:bCs/>
          <w:i/>
        </w:rPr>
        <w:t xml:space="preserve">2.8.   Д</w:t>
      </w:r>
      <w:r>
        <w:rPr>
          <w:b/>
          <w:bCs/>
          <w:i/>
          <w:iCs/>
        </w:rPr>
        <w:t xml:space="preserve">ата, на которую определялись лица, имевшие право на получение дивидендов, в случае, если выплаченными доходами по ценным бумагам эмитента являют</w:t>
      </w:r>
      <w:r>
        <w:rPr>
          <w:b/>
          <w:bCs/>
          <w:i/>
          <w:iCs/>
        </w:rPr>
        <w:t xml:space="preserve">ся дивиденды по акциям эмитента</w:t>
      </w:r>
      <w:r>
        <w:rPr>
          <w:b/>
          <w:bCs/>
          <w:i/>
        </w:rPr>
        <w:t xml:space="preserve">: выплаченными доходами по ценным бумагам эмитента не являются дивиденды. </w:t>
      </w:r>
      <w:r>
        <w:rPr>
          <w:b/>
          <w:bCs/>
          <w:i/>
          <w:iCs/>
        </w:rPr>
      </w:r>
    </w:p>
    <w:p>
      <w:pPr>
        <w:ind w:left="567" w:hanging="567"/>
        <w:jc w:val="both"/>
        <w:rPr>
          <w:b/>
          <w:bCs/>
          <w:i/>
        </w:rPr>
      </w:pPr>
      <w:r>
        <w:rPr>
          <w:b/>
          <w:bCs/>
          <w:i/>
        </w:rPr>
        <w:t xml:space="preserve">2.9.   Дата, в которую обязанность по выплате доходов по ценным бумагам эмитента и (или) осуществлению иных выплат, причитающихся владельцам ценных бу</w:t>
      </w:r>
      <w:r>
        <w:rPr>
          <w:b/>
          <w:bCs/>
          <w:i/>
        </w:rPr>
        <w:t xml:space="preserve">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29.01.2025. </w:t>
      </w:r>
      <w:r>
        <w:rPr>
          <w:b/>
          <w:bCs/>
          <w:i/>
        </w:rPr>
      </w:r>
    </w:p>
    <w:p>
      <w:pPr>
        <w:ind w:left="567" w:right="57" w:hanging="567"/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</w:p>
    <w:p>
      <w:pPr>
        <w:ind w:left="567" w:right="57" w:hanging="567"/>
        <w:jc w:val="both"/>
        <w:rPr>
          <w:b/>
          <w:bCs/>
          <w:i/>
        </w:rPr>
      </w:pPr>
      <w:r>
        <w:rPr>
          <w:b/>
          <w:bCs/>
          <w:i/>
        </w:rPr>
        <w:t xml:space="preserve">2.10. Объем (в процентах), в котором исполнено обязательство по вы</w:t>
      </w:r>
      <w:r>
        <w:rPr>
          <w:b/>
          <w:bCs/>
          <w:i/>
        </w:rPr>
        <w:t xml:space="preserve">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</w:t>
      </w:r>
      <w:r>
        <w:rPr>
          <w:b/>
          <w:bCs/>
          <w:i/>
        </w:rPr>
        <w:t xml:space="preserve">обязательство исполнено эмитентом не в п</w:t>
      </w:r>
      <w:r>
        <w:rPr>
          <w:b/>
          <w:bCs/>
          <w:i/>
        </w:rPr>
        <w:t xml:space="preserve">олном объеме: обязательство исполнено в полном объеме - 100%.</w:t>
      </w:r>
      <w:r>
        <w:rPr>
          <w:b/>
          <w:bCs/>
          <w:i/>
        </w:rPr>
      </w:r>
    </w:p>
    <w:p>
      <w:pPr>
        <w:pStyle w:val="891"/>
        <w:ind w:left="567" w:hanging="567"/>
        <w:jc w:val="both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891"/>
        <w:ind w:left="567" w:hanging="567"/>
        <w:jc w:val="both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10490"/>
      </w:tblGrid>
      <w:tr>
        <w:tblPrEx/>
        <w:trPr>
          <w:trHeight w:val="25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Подпись</w:t>
            </w:r>
            <w:r>
              <w:rPr>
                <w:b/>
                <w:i/>
              </w:rPr>
            </w:r>
          </w:p>
          <w:p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</w:tr>
      <w:tr>
        <w:tblPrEx/>
        <w:trPr>
          <w:trHeight w:val="137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90" w:type="dxa"/>
            <w:textDirection w:val="lrTb"/>
            <w:noWrap w:val="false"/>
          </w:tcPr>
          <w:p>
            <w:pPr>
              <w:ind w:left="567" w:right="57" w:hanging="567"/>
              <w:jc w:val="both"/>
              <w:rPr>
                <w:b/>
                <w:bCs/>
                <w:i/>
              </w:rPr>
            </w:pPr>
            <w:r>
              <w:rPr>
                <w:b/>
                <w:i/>
                <w:color w:val="000000"/>
              </w:rPr>
              <w:t xml:space="preserve">3.1</w:t>
            </w:r>
            <w:r>
              <w:rPr>
                <w:b/>
                <w:bCs/>
                <w:i/>
              </w:rPr>
              <w:t xml:space="preserve">.   Корпоративный секретарь </w:t>
            </w:r>
            <w:r>
              <w:rPr>
                <w:b/>
                <w:bCs/>
                <w:i/>
              </w:rPr>
            </w:r>
          </w:p>
          <w:p>
            <w:pPr>
              <w:ind w:left="567" w:right="57" w:hanging="567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АО «Россельхозбанк»                                                                                      Р.А. Ларионов</w:t>
            </w:r>
            <w:r>
              <w:rPr>
                <w:b/>
                <w:bCs/>
                <w:i/>
              </w:rPr>
            </w:r>
          </w:p>
          <w:p>
            <w:pPr>
              <w:ind w:left="142" w:right="-144" w:hanging="56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(на основании доверенности от 14.06.2023 № 568) </w:t>
            </w:r>
            <w:r>
              <w:rPr>
                <w:b/>
                <w:i/>
                <w:color w:val="000000"/>
              </w:rPr>
            </w:r>
          </w:p>
          <w:p>
            <w:pPr>
              <w:tabs>
                <w:tab w:val="left" w:pos="885" w:leader="none"/>
                <w:tab w:val="left" w:pos="1125" w:leader="none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                                   </w:t>
            </w:r>
            <w:r>
              <w:rPr>
                <w:b/>
                <w:i/>
                <w:color w:val="000000"/>
              </w:rPr>
            </w:r>
          </w:p>
          <w:p>
            <w:pPr>
              <w:ind w:left="-108"/>
              <w:tabs>
                <w:tab w:val="left" w:pos="902" w:leader="none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3.2.   Дата: 30.01.2025</w:t>
            </w:r>
            <w:r>
              <w:rPr>
                <w:b/>
                <w:i/>
                <w:color w:val="000000"/>
              </w:rPr>
            </w:r>
          </w:p>
        </w:tc>
      </w:tr>
    </w:tbl>
    <w:p>
      <w:pPr>
        <w:pStyle w:val="893"/>
        <w:ind w:left="-4361" w:firstLine="43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3"/>
        <w:ind w:left="-4361" w:firstLine="43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567" w:right="57" w:hanging="567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10490"/>
      </w:tblGrid>
      <w:tr>
        <w:tblPrEx/>
        <w:trPr>
          <w:trHeight w:val="27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90" w:type="dxa"/>
            <w:textDirection w:val="lrTb"/>
            <w:noWrap w:val="false"/>
          </w:tcPr>
          <w:p>
            <w:pPr>
              <w:jc w:val="center"/>
            </w:pPr>
            <w:r>
              <w:t xml:space="preserve">3. Подпись</w:t>
            </w:r>
            <w:r/>
          </w:p>
          <w:p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blPrEx/>
        <w:trPr>
          <w:trHeight w:val="19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90" w:type="dxa"/>
            <w:textDirection w:val="lrTb"/>
            <w:noWrap w:val="false"/>
          </w:tcPr>
          <w:p>
            <w:pPr>
              <w:ind w:left="567" w:right="57" w:hanging="567"/>
              <w:jc w:val="both"/>
              <w:rPr>
                <w:bCs/>
              </w:rPr>
            </w:pPr>
            <w:r>
              <w:rPr>
                <w:color w:val="000000"/>
              </w:rPr>
              <w:t xml:space="preserve">3.</w:t>
            </w:r>
            <w:r>
              <w:rPr>
                <w:bCs/>
              </w:rPr>
              <w:t xml:space="preserve">1.   Корпоративный секретарь </w:t>
            </w:r>
            <w:r>
              <w:rPr>
                <w:bCs/>
              </w:rPr>
            </w:r>
          </w:p>
          <w:p>
            <w:pPr>
              <w:ind w:left="567" w:right="57" w:hanging="567"/>
              <w:jc w:val="both"/>
              <w:rPr>
                <w:bCs/>
              </w:rPr>
            </w:pPr>
            <w:r>
              <w:rPr>
                <w:bCs/>
              </w:rPr>
              <w:t xml:space="preserve">         АО «Россельхозбанк»                                                                                      Р.А. Ларионов</w:t>
            </w:r>
            <w:r>
              <w:rPr>
                <w:bCs/>
              </w:rPr>
            </w:r>
          </w:p>
          <w:p>
            <w:pPr>
              <w:ind w:left="142" w:right="-144" w:hanging="568"/>
              <w:rPr>
                <w:color w:val="000000"/>
              </w:rPr>
            </w:pPr>
            <w:r>
              <w:rPr>
                <w:color w:val="000000"/>
              </w:rPr>
              <w:t xml:space="preserve">                (на основании доверенности от 14.06.2023 № 568) </w:t>
            </w:r>
            <w:r>
              <w:rPr>
                <w:color w:val="000000"/>
              </w:rPr>
            </w:r>
          </w:p>
          <w:p>
            <w:pPr>
              <w:tabs>
                <w:tab w:val="left" w:pos="885" w:leader="none"/>
                <w:tab w:val="left" w:pos="112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                                                                                 </w:t>
            </w:r>
            <w:r>
              <w:rPr>
                <w:color w:val="000000"/>
              </w:rPr>
            </w:r>
          </w:p>
          <w:p>
            <w:pPr>
              <w:ind w:left="567" w:right="57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3.2.   Дата: 31.01.2025</w:t>
            </w:r>
            <w:r>
              <w:rPr>
                <w:color w:val="000000"/>
              </w:rPr>
            </w:r>
          </w:p>
          <w:p>
            <w:pPr>
              <w:ind w:left="567" w:right="57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567" w:right="57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567" w:right="57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567" w:right="57" w:hanging="567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10490"/>
      </w:tblGrid>
      <w:tr>
        <w:tblPrEx/>
        <w:trPr>
          <w:trHeight w:val="27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blPrEx/>
        <w:trPr>
          <w:trHeight w:val="19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90" w:type="dxa"/>
            <w:textDirection w:val="lrTb"/>
            <w:noWrap w:val="false"/>
          </w:tcPr>
          <w:p>
            <w:pPr>
              <w:ind w:left="567" w:right="57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567" w:right="851" w:bottom="426" w:left="156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separate"/>
    </w:r>
    <w:r>
      <w:rPr>
        <w:rStyle w:val="892"/>
      </w:rPr>
      <w:t xml:space="preserve">2</w:t>
    </w:r>
    <w:r>
      <w:rPr>
        <w:rStyle w:val="892"/>
      </w:rPr>
      <w:fldChar w:fldCharType="end"/>
    </w:r>
    <w:r>
      <w:rPr>
        <w:rStyle w:val="892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separate"/>
    </w:r>
    <w:r>
      <w:rPr>
        <w:rStyle w:val="892"/>
      </w:rPr>
      <w:t xml:space="preserve">1</w:t>
    </w:r>
    <w:r>
      <w:rPr>
        <w:rStyle w:val="892"/>
      </w:rPr>
      <w:fldChar w:fldCharType="end"/>
    </w:r>
    <w:r>
      <w:rPr>
        <w:rStyle w:val="892"/>
      </w:rPr>
    </w:r>
  </w:p>
  <w:p>
    <w:pPr>
      <w:pStyle w:val="7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ind w:left="-142" w:firstLine="1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 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0" w:hanging="360"/>
        <w:tabs>
          <w:tab w:val="num" w:pos="5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29"/>
    <w:uiPriority w:val="10"/>
    <w:rPr>
      <w:sz w:val="48"/>
      <w:szCs w:val="48"/>
    </w:rPr>
  </w:style>
  <w:style w:type="character" w:styleId="37">
    <w:name w:val="Subtitle Char"/>
    <w:basedOn w:val="715"/>
    <w:link w:val="731"/>
    <w:uiPriority w:val="11"/>
    <w:rPr>
      <w:sz w:val="24"/>
      <w:szCs w:val="24"/>
    </w:rPr>
  </w:style>
  <w:style w:type="character" w:styleId="39">
    <w:name w:val="Quote Char"/>
    <w:link w:val="733"/>
    <w:uiPriority w:val="29"/>
    <w:rPr>
      <w:i/>
    </w:rPr>
  </w:style>
  <w:style w:type="character" w:styleId="41">
    <w:name w:val="Intense Quote Char"/>
    <w:link w:val="735"/>
    <w:uiPriority w:val="30"/>
    <w:rPr>
      <w:i/>
    </w:rPr>
  </w:style>
  <w:style w:type="character" w:styleId="43">
    <w:name w:val="Header Char"/>
    <w:basedOn w:val="715"/>
    <w:link w:val="737"/>
    <w:uiPriority w:val="99"/>
  </w:style>
  <w:style w:type="character" w:styleId="176">
    <w:name w:val="Footnote Text Char"/>
    <w:link w:val="870"/>
    <w:uiPriority w:val="99"/>
    <w:rPr>
      <w:sz w:val="18"/>
    </w:rPr>
  </w:style>
  <w:style w:type="character" w:styleId="179">
    <w:name w:val="Endnote Text Char"/>
    <w:link w:val="873"/>
    <w:uiPriority w:val="99"/>
    <w:rPr>
      <w:sz w:val="20"/>
    </w:rPr>
  </w:style>
  <w:style w:type="paragraph" w:styleId="705" w:default="1">
    <w:name w:val="Normal"/>
    <w:qFormat/>
    <w:rPr>
      <w:sz w:val="24"/>
      <w:szCs w:val="24"/>
      <w:lang w:eastAsia="ru-RU"/>
    </w:rPr>
  </w:style>
  <w:style w:type="paragraph" w:styleId="706">
    <w:name w:val="Heading 1"/>
    <w:basedOn w:val="705"/>
    <w:next w:val="705"/>
    <w:link w:val="718"/>
    <w:qFormat/>
    <w:pPr>
      <w:jc w:val="center"/>
      <w:keepNext/>
      <w:outlineLvl w:val="0"/>
    </w:pPr>
    <w:rPr>
      <w:rFonts w:eastAsia="Arial Unicode MS"/>
      <w:b/>
      <w:bCs/>
      <w:sz w:val="20"/>
      <w:szCs w:val="20"/>
    </w:rPr>
  </w:style>
  <w:style w:type="paragraph" w:styleId="707">
    <w:name w:val="Heading 2"/>
    <w:basedOn w:val="705"/>
    <w:next w:val="705"/>
    <w:link w:val="719"/>
    <w:qFormat/>
    <w:pPr>
      <w:ind w:left="-180"/>
      <w:jc w:val="center"/>
      <w:keepNext/>
      <w:outlineLvl w:val="1"/>
    </w:pPr>
    <w:rPr>
      <w:rFonts w:eastAsia="Arial Unicode MS"/>
      <w:b/>
      <w:bCs/>
      <w:sz w:val="22"/>
      <w:szCs w:val="20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738"/>
    <w:pPr>
      <w:tabs>
        <w:tab w:val="center" w:pos="4677" w:leader="none"/>
        <w:tab w:val="right" w:pos="9355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>
    <w:name w:val="Footer"/>
    <w:basedOn w:val="705"/>
    <w:link w:val="90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0" w:customStyle="1">
    <w:name w:val="Footer Char"/>
    <w:uiPriority w:val="99"/>
  </w:style>
  <w:style w:type="paragraph" w:styleId="74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16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rPr>
      <w:color w:val="0000ff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5"/>
    <w:next w:val="705"/>
    <w:uiPriority w:val="99"/>
    <w:unhideWhenUsed/>
  </w:style>
  <w:style w:type="paragraph" w:styleId="887">
    <w:name w:val="Normal (Web)"/>
    <w:basedOn w:val="705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888" w:customStyle="1">
    <w:name w:val="Название"/>
    <w:basedOn w:val="705"/>
    <w:link w:val="901"/>
    <w:qFormat/>
    <w:pPr>
      <w:ind w:left="-360"/>
      <w:jc w:val="center"/>
      <w:tabs>
        <w:tab w:val="left" w:pos="540" w:leader="none"/>
      </w:tabs>
    </w:pPr>
    <w:rPr>
      <w:b/>
      <w:bCs/>
      <w:sz w:val="20"/>
      <w:szCs w:val="20"/>
      <w:lang w:val="en-US" w:eastAsia="en-US"/>
    </w:rPr>
  </w:style>
  <w:style w:type="character" w:styleId="889" w:customStyle="1">
    <w:name w:val="normaltext1"/>
    <w:rPr>
      <w:rFonts w:ascii="Tahoma" w:hAnsi="Tahoma" w:cs="Tahoma"/>
      <w:sz w:val="16"/>
      <w:szCs w:val="16"/>
    </w:rPr>
  </w:style>
  <w:style w:type="paragraph" w:styleId="890" w:customStyle="1">
    <w:name w:val="Normal Prefix"/>
    <w:pPr>
      <w:spacing w:before="200" w:after="40"/>
      <w:widowControl w:val="off"/>
    </w:pPr>
    <w:rPr>
      <w:sz w:val="22"/>
      <w:szCs w:val="22"/>
      <w:lang w:eastAsia="ru-RU"/>
    </w:rPr>
  </w:style>
  <w:style w:type="paragraph" w:styleId="891">
    <w:name w:val="Body Text"/>
    <w:basedOn w:val="705"/>
    <w:link w:val="910"/>
    <w:rPr>
      <w:color w:val="000000"/>
      <w:sz w:val="22"/>
      <w:szCs w:val="18"/>
    </w:rPr>
  </w:style>
  <w:style w:type="character" w:styleId="892">
    <w:name w:val="page number"/>
    <w:basedOn w:val="715"/>
  </w:style>
  <w:style w:type="paragraph" w:styleId="893">
    <w:name w:val="Body Text Indent"/>
    <w:basedOn w:val="705"/>
    <w:pPr>
      <w:jc w:val="both"/>
    </w:pPr>
    <w:rPr>
      <w:sz w:val="22"/>
      <w:szCs w:val="22"/>
    </w:rPr>
  </w:style>
  <w:style w:type="paragraph" w:styleId="894" w:customStyle="1">
    <w:name w:val="Таблицы (моноширинный)"/>
    <w:basedOn w:val="705"/>
    <w:next w:val="705"/>
    <w:pPr>
      <w:jc w:val="both"/>
    </w:pPr>
    <w:rPr>
      <w:rFonts w:ascii="Courier New" w:hAnsi="Courier New" w:cs="Courier New"/>
      <w:sz w:val="20"/>
      <w:szCs w:val="20"/>
    </w:rPr>
  </w:style>
  <w:style w:type="paragraph" w:styleId="895">
    <w:name w:val="Body Text 2"/>
    <w:basedOn w:val="705"/>
    <w:pPr>
      <w:jc w:val="both"/>
    </w:pPr>
    <w:rPr>
      <w:b/>
      <w:bCs/>
      <w:sz w:val="22"/>
    </w:rPr>
  </w:style>
  <w:style w:type="paragraph" w:styleId="896">
    <w:name w:val="Body Text Indent 2"/>
    <w:basedOn w:val="705"/>
    <w:pPr>
      <w:ind w:firstLine="720"/>
      <w:jc w:val="both"/>
    </w:pPr>
    <w:rPr>
      <w:sz w:val="22"/>
    </w:rPr>
  </w:style>
  <w:style w:type="paragraph" w:styleId="897">
    <w:name w:val="Body Text 3"/>
    <w:basedOn w:val="705"/>
    <w:pPr>
      <w:jc w:val="both"/>
    </w:pPr>
    <w:rPr>
      <w:sz w:val="22"/>
      <w:szCs w:val="16"/>
    </w:rPr>
  </w:style>
  <w:style w:type="paragraph" w:styleId="898">
    <w:name w:val="Balloon Text"/>
    <w:basedOn w:val="705"/>
    <w:semiHidden/>
    <w:rPr>
      <w:rFonts w:ascii="Tahoma" w:hAnsi="Tahoma" w:cs="Tahoma"/>
      <w:sz w:val="16"/>
      <w:szCs w:val="16"/>
    </w:rPr>
  </w:style>
  <w:style w:type="paragraph" w:styleId="899" w:customStyle="1">
    <w:name w:val="ConsPlusNonformat"/>
    <w:rPr>
      <w:rFonts w:ascii="Courier New" w:hAnsi="Courier New" w:cs="Courier New"/>
      <w:lang w:eastAsia="ru-RU"/>
    </w:rPr>
  </w:style>
  <w:style w:type="character" w:styleId="900" w:customStyle="1">
    <w:name w:val="__SUBST"/>
    <w:rPr>
      <w:b/>
      <w:bCs/>
      <w:i/>
      <w:iCs/>
      <w:sz w:val="22"/>
      <w:szCs w:val="22"/>
    </w:rPr>
  </w:style>
  <w:style w:type="character" w:styleId="901" w:customStyle="1">
    <w:name w:val="Название Знак"/>
    <w:link w:val="888"/>
    <w:rPr>
      <w:b/>
      <w:bCs/>
    </w:rPr>
  </w:style>
  <w:style w:type="paragraph" w:styleId="902" w:customStyle="1">
    <w:name w:val="Default"/>
    <w:rPr>
      <w:color w:val="000000"/>
      <w:sz w:val="24"/>
      <w:szCs w:val="24"/>
      <w:lang w:eastAsia="ru-RU"/>
    </w:rPr>
  </w:style>
  <w:style w:type="character" w:styleId="903" w:customStyle="1">
    <w:name w:val="Нижний колонтитул Знак"/>
    <w:link w:val="739"/>
    <w:uiPriority w:val="99"/>
    <w:rPr>
      <w:sz w:val="24"/>
      <w:szCs w:val="24"/>
    </w:rPr>
  </w:style>
  <w:style w:type="character" w:styleId="904">
    <w:name w:val="Strong"/>
    <w:qFormat/>
    <w:rPr>
      <w:rFonts w:cs="Times New Roman"/>
      <w:b/>
      <w:bCs/>
    </w:rPr>
  </w:style>
  <w:style w:type="character" w:styleId="905">
    <w:name w:val="annotation reference"/>
    <w:rPr>
      <w:sz w:val="16"/>
      <w:szCs w:val="16"/>
    </w:rPr>
  </w:style>
  <w:style w:type="paragraph" w:styleId="906">
    <w:name w:val="annotation text"/>
    <w:basedOn w:val="705"/>
    <w:link w:val="907"/>
    <w:rPr>
      <w:sz w:val="20"/>
      <w:szCs w:val="20"/>
    </w:rPr>
  </w:style>
  <w:style w:type="character" w:styleId="907" w:customStyle="1">
    <w:name w:val="Текст примечания Знак"/>
    <w:basedOn w:val="715"/>
    <w:link w:val="906"/>
  </w:style>
  <w:style w:type="paragraph" w:styleId="908">
    <w:name w:val="annotation subject"/>
    <w:basedOn w:val="906"/>
    <w:next w:val="906"/>
    <w:link w:val="909"/>
    <w:rPr>
      <w:b/>
      <w:bCs/>
      <w:lang w:val="en-US" w:eastAsia="en-US"/>
    </w:rPr>
  </w:style>
  <w:style w:type="character" w:styleId="909" w:customStyle="1">
    <w:name w:val="Тема примечания Знак"/>
    <w:link w:val="908"/>
    <w:rPr>
      <w:b/>
      <w:bCs/>
    </w:rPr>
  </w:style>
  <w:style w:type="character" w:styleId="910" w:customStyle="1">
    <w:name w:val="Основной текст Знак"/>
    <w:link w:val="891"/>
    <w:rPr>
      <w:color w:val="000000"/>
      <w:sz w:val="22"/>
      <w:szCs w:val="18"/>
    </w:rPr>
  </w:style>
  <w:style w:type="character" w:styleId="1_1743" w:customStyle="1">
    <w:name w:val="Гиперссылка"/>
    <w:next w:val="679"/>
    <w:link w:val="670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СУЩЕСТВЕННЫХ ФАКТАХ</dc:title>
  <dc:creator>Белокопытов В.М.</dc:creator>
  <cp:revision>34</cp:revision>
  <dcterms:created xsi:type="dcterms:W3CDTF">2023-04-18T09:50:00Z</dcterms:created>
  <dcterms:modified xsi:type="dcterms:W3CDTF">2025-01-31T14:29:57Z</dcterms:modified>
  <cp:version>1048576</cp:version>
</cp:coreProperties>
</file>