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РЯЗАНСКИЙ РЕГИОНАЛЬНЫЙ ФИЛИАЛ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АО «РОССЕЛЬХОЗБАНК»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ТАРИФЫ КОМИССИОННОГО ВОЗНАГРАЖДЕНИЯ НА УСЛУГИ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РЯ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ЗАНСКОГО РФ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действуют с</w:t>
      </w:r>
      <w:r>
        <w:rPr>
          <w:rFonts w:ascii="Calibri" w:hAnsi="Calibri" w:cs="Calibri" w:eastAsiaTheme="minorHAnsi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01.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10.2025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eastAsia="en-US"/>
        </w:rPr>
      </w:r>
      <w:r>
        <w:rPr>
          <w:rFonts w:eastAsiaTheme="minorHAnsi"/>
          <w:color w:val="000000"/>
          <w:sz w:val="23"/>
          <w:szCs w:val="23"/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7"/>
        <w:gridCol w:w="5776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086"/>
              <w:ind w:left="0" w:right="0" w:firstLine="709"/>
              <w:rPr>
                <w:rFonts w:ascii="Times New Roman" w:hAnsi="Times New Roman" w:cs="Times New Roman"/>
                <w:b/>
                <w:color w:val="000000"/>
              </w:rPr>
              <w:framePr w:hSpace="180" w:wrap="around" w:vAnchor="text" w:hAnchor="margin" w:xAlign="center" w:y="56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«ССП-владелец НД: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3240" cy="1223010"/>
                <wp:effectExtent l="1905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240" cy="1223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0pt;height:96.3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lang w:eastAsia="en-US"/>
        </w:rPr>
      </w:r>
      <w:r>
        <w:rPr>
          <w:lang w:eastAsia="en-US"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  <w:t xml:space="preserve">Содержание:</w:t>
      </w:r>
      <w:r>
        <w:rPr>
          <w:b/>
          <w:caps/>
        </w:rPr>
      </w:r>
      <w:r>
        <w:rPr>
          <w:b/>
          <w:caps/>
        </w:rPr>
      </w:r>
    </w:p>
    <w:sdt>
      <w:sdtPr>
        <w15:appearance w15:val="boundingBox"/>
        <w:id w:val="43379251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</w:rPr>
      </w:sdtPr>
      <w:sdtContent>
        <w:p>
          <w:pPr>
            <w:pStyle w:val="1118"/>
          </w:pPr>
          <w:r/>
          <w:bookmarkStart w:id="0" w:name="_GoBack"/>
          <w:r/>
          <w:bookmarkEnd w:id="0"/>
          <w:r/>
          <w:r/>
        </w:p>
        <w:p>
          <w:pPr>
            <w:pStyle w:val="1101"/>
            <w:tabs>
              <w:tab w:val="right" w:pos="9960" w:leader="dot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/>
          <w:hyperlink w:tooltip="#_Toc1" w:anchor="_Toc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1.Открытие и ведение счетов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2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2" w:anchor="_Toc2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4.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Операции с ценными бумагами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36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3" w:anchor="_Toc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6.</w:t>
            </w:r>
            <w:r>
              <w:rPr>
                <w:rStyle w:val="1100"/>
              </w:rPr>
              <w:t xml:space="preserve"> </w:t>
            </w:r>
            <w:r>
              <w:rPr>
                <w:rStyle w:val="1100"/>
              </w:rPr>
              <w:t xml:space="preserve">Гарантийные операции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45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4" w:anchor="_Toc4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7. Дистанционное банковское обслуживание (ДБО)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49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5" w:anchor="_Toc5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8. Хранение ценностей клиентов в хранилище ценностей Банка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(с учетом НДС)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58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6" w:anchor="_Toc6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9. Аренда клиентами индивидуальных сейфовых ячеек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58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7" w:anchor="_Toc7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10. Услуги инкассации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60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8" w:anchor="_Toc8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11. Операции по покупке-продаже иностранной валюты</w:t>
            </w:r>
            <w:r>
              <w:rPr>
                <w:rStyle w:val="1100"/>
              </w:rPr>
              <w:t xml:space="preserve">1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61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9" w:anchor="_Toc9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12.Кредитные операции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62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0" w:anchor="_Toc10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13.</w:t>
            </w:r>
            <w:r>
              <w:rPr>
                <w:rStyle w:val="1100"/>
                <w:lang w:eastAsia="en-US"/>
              </w:rPr>
              <w:t xml:space="preserve"> </w:t>
            </w:r>
            <w:r>
              <w:rPr>
                <w:rStyle w:val="1100"/>
                <w:lang w:eastAsia="en-US"/>
              </w:rPr>
              <w:t xml:space="preserve">Обслуживание торгово-сервисных предприятий</w:t>
            </w:r>
            <w:r>
              <w:rPr>
                <w:rStyle w:val="1100"/>
                <w:lang w:eastAsia="en-US"/>
              </w:rPr>
              <w:t xml:space="preserve">*</w:t>
            </w:r>
            <w:r>
              <w:rPr>
                <w:rStyle w:val="1100"/>
                <w:lang w:eastAsia="en-US"/>
              </w:rPr>
      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76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1" w:anchor="_Toc11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15. Операции с монетами из драгоценных металлов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83</w:t>
              <w:fldChar w:fldCharType="end"/>
            </w:r>
          </w:hyperlink>
          <w:r/>
        </w:p>
        <w:p>
          <w:pPr>
            <w:pStyle w:val="1101"/>
            <w:tabs>
              <w:tab w:val="right" w:pos="9960" w:leader="dot"/>
            </w:tabs>
          </w:pPr>
          <w:hyperlink w:tooltip="#_Toc12" w:anchor="_Toc12" w:history="1">
            <w:r>
              <w:rPr>
                <w:rStyle w:val="1100"/>
              </w:rPr>
            </w:r>
            <w:r>
              <w:rPr>
                <w:rStyle w:val="1100"/>
                <w:lang w:eastAsia="en-US"/>
              </w:rPr>
              <w:t xml:space="preserve">16. Операции с драгоценными металлами</w:t>
            </w:r>
            <w:r>
              <w:rPr>
                <w:rStyle w:val="1100"/>
                <w:lang w:eastAsia="en-US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83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1101"/>
            <w:tabs>
              <w:tab w:val="right" w:pos="9960" w:leader="dot"/>
            </w:tabs>
          </w:pPr>
          <w:hyperlink w:tooltip="#_Toc13" w:anchor="_Toc13" w:history="1">
            <w:r>
              <w:rPr>
                <w:rStyle w:val="1100"/>
              </w:rPr>
            </w:r>
            <w:r>
              <w:rPr>
                <w:rStyle w:val="1100"/>
              </w:rPr>
              <w:t xml:space="preserve">17. Обслуживание с использованием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АО «Россельхозбанк», Торговой системы РСХБ-</w:t>
            </w:r>
            <w:r>
              <w:rPr>
                <w:rStyle w:val="1100"/>
              </w:rPr>
              <w:t xml:space="preserve">Дилинг</w:t>
            </w:r>
            <w:r>
              <w:rPr>
                <w:rStyle w:val="1100"/>
              </w:rPr>
              <w:t xml:space="preserve"> 2.0</w:t>
            </w:r>
            <w:r>
              <w:rPr>
                <w:rStyle w:val="1100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85</w:t>
              <w:fldChar w:fldCharType="end"/>
            </w:r>
          </w:hyperlink>
          <w:r/>
        </w:p>
        <w:p>
          <w:pPr>
            <w:pStyle w:val="1119"/>
            <w:tabs>
              <w:tab w:val="left" w:pos="660" w:leader="none"/>
              <w:tab w:val="right" w:pos="10183" w:leader="dot"/>
            </w:tabs>
          </w:pPr>
          <w:r/>
          <w:r>
            <w:rPr>
              <w:b/>
              <w:bCs/>
            </w:rPr>
            <w:fldChar w:fldCharType="end"/>
          </w:r>
          <w:r/>
          <w:r/>
        </w:p>
      </w:sdtContent>
    </w:sdt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87"/>
      </w:pPr>
      <w:r/>
      <w:bookmarkStart w:id="1" w:name="_Toc1"/>
      <w:r>
        <w:t xml:space="preserve">1.Открытие и ведение счетов</w:t>
      </w:r>
      <w:r/>
      <w:bookmarkEnd w:id="1"/>
      <w:r/>
      <w:r/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"/>
        <w:gridCol w:w="3819"/>
        <w:gridCol w:w="1986"/>
        <w:gridCol w:w="3118"/>
      </w:tblGrid>
      <w:tr>
        <w:tblPrEx/>
        <w:trPr>
          <w:trHeight w:val="3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</w:t>
            </w:r>
            <w:r>
              <w:rPr>
                <w:rFonts w:eastAsia="Calibri"/>
                <w:sz w:val="20"/>
                <w:szCs w:val="20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</w:t>
            </w:r>
            <w:r>
              <w:rPr>
                <w:rFonts w:eastAsia="Calibri"/>
                <w:sz w:val="20"/>
                <w:szCs w:val="20"/>
              </w:rPr>
              <w:tab/>
              <w:t xml:space="preserve">Подписание с клиентом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</w:t>
            </w:r>
            <w:r>
              <w:rPr>
                <w:rFonts w:eastAsia="Calibri"/>
                <w:sz w:val="20"/>
                <w:szCs w:val="20"/>
              </w:rPr>
              <w:t xml:space="preserve">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</w:t>
            </w:r>
            <w:r>
              <w:rPr>
                <w:bCs/>
                <w:sz w:val="20"/>
                <w:szCs w:val="20"/>
              </w:rPr>
              <w:t xml:space="preserve">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клиентам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2"/>
                <w:lang w:eastAsia="en-US"/>
              </w:rPr>
              <w:br/>
              <w:t xml:space="preserve">№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 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акты Ро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18"/>
                <w:szCs w:val="20"/>
              </w:rPr>
            </w:r>
            <w:r>
              <w:rPr>
                <w:bCs/>
                <w:sz w:val="18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АО «Россельхозбанк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</w:t>
            </w:r>
            <w:r>
              <w:rPr>
                <w:bCs/>
                <w:sz w:val="20"/>
                <w:szCs w:val="20"/>
              </w:rPr>
              <w:t xml:space="preserve">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rPr>
                <w:bCs/>
                <w:sz w:val="20"/>
                <w:szCs w:val="20"/>
              </w:rPr>
              <w:t xml:space="preserve">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  <w:t xml:space="preserve">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eastAsia="Calibri"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 xml:space="preserve">трех</w:t>
            </w:r>
            <w:r>
              <w:rPr>
                <w:rFonts w:eastAsia="Calibri"/>
                <w:sz w:val="20"/>
                <w:szCs w:val="20"/>
              </w:rPr>
              <w:t xml:space="preserve">) календарных месяцев подряд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АО «Россельхозбанк»,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для клиентов, имеющих обязательства перед АО «Россельхозбанк»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 кредитным сделкам***,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 26.10.2002 № 127-ФЗ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</w:t>
            </w:r>
            <w:r>
              <w:rPr>
                <w:sz w:val="20"/>
                <w:szCs w:val="20"/>
              </w:rPr>
              <w:t xml:space="preserve">ом размере согласно п. 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</w:t>
            </w:r>
            <w:r>
              <w:rPr>
                <w:sz w:val="20"/>
                <w:szCs w:val="20"/>
              </w:rPr>
              <w:t xml:space="preserve">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После выполнения обязательств перед АО «Россельхозбанк»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в стандартном размере.».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</w:t>
            </w:r>
            <w:r>
              <w:rPr>
                <w:sz w:val="20"/>
                <w:szCs w:val="20"/>
              </w:rPr>
              <w:t xml:space="preserve">по оплате страховых взносов на счета </w:t>
            </w:r>
            <w:r>
              <w:rPr>
                <w:sz w:val="20"/>
                <w:szCs w:val="20"/>
              </w:rPr>
              <w:t xml:space="preserve">Ф</w:t>
            </w:r>
            <w:r>
              <w:rPr>
                <w:sz w:val="20"/>
                <w:szCs w:val="20"/>
              </w:rPr>
              <w:t xml:space="preserve">онда</w:t>
            </w:r>
            <w:r>
              <w:rPr>
                <w:sz w:val="20"/>
                <w:szCs w:val="20"/>
              </w:rPr>
              <w:t xml:space="preserve"> пенсионного и социального </w:t>
            </w:r>
            <w:r>
              <w:rPr>
                <w:sz w:val="20"/>
                <w:szCs w:val="20"/>
              </w:rPr>
              <w:t xml:space="preserve">страхования </w:t>
            </w:r>
            <w:r>
              <w:rPr>
                <w:sz w:val="20"/>
                <w:szCs w:val="20"/>
              </w:rPr>
              <w:t xml:space="preserve"> Российской</w:t>
            </w:r>
            <w:r>
              <w:rPr>
                <w:sz w:val="20"/>
                <w:szCs w:val="20"/>
              </w:rPr>
              <w:t xml:space="preserve"> Федерации,  Федерального Фонда и 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расчетных документов по счетам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клиентов</w:t>
            </w:r>
            <w:r>
              <w:t xml:space="preserve">, </w:t>
            </w:r>
            <w:r>
              <w:t xml:space="preserve">имеющих </w:t>
            </w:r>
            <w:r>
              <w:rPr>
                <w:sz w:val="20"/>
                <w:szCs w:val="20"/>
              </w:rPr>
              <w:t xml:space="preserve">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</w:t>
            </w:r>
            <w:r>
              <w:rPr>
                <w:sz w:val="20"/>
                <w:szCs w:val="20"/>
              </w:rPr>
              <w:t xml:space="preserve">й по исполнительному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</w:t>
            </w:r>
            <w:r>
              <w:rPr>
                <w:sz w:val="20"/>
                <w:szCs w:val="20"/>
              </w:rPr>
              <w:t xml:space="preserve">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</w:t>
            </w:r>
            <w:r>
              <w:rPr>
                <w:sz w:val="20"/>
                <w:szCs w:val="20"/>
              </w:rPr>
              <w:t xml:space="preserve">вознаграждение</w:t>
            </w:r>
            <w:r>
              <w:rPr>
                <w:sz w:val="20"/>
                <w:szCs w:val="20"/>
              </w:rPr>
              <w:t xml:space="preserve">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</w:t>
            </w:r>
            <w:r>
              <w:rPr>
                <w:sz w:val="20"/>
                <w:szCs w:val="20"/>
              </w:rPr>
              <w:t xml:space="preserve">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1.1.5.1.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ткрытые в АО Россельхозбанк»: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10"/>
              </w:rPr>
            </w:pPr>
            <w:r>
              <w:rPr>
                <w:rFonts w:eastAsia="Calibri"/>
                <w:sz w:val="20"/>
                <w:szCs w:val="22"/>
              </w:rPr>
              <w:t xml:space="preserve">- отправленный клиентом по системе дистанционного банковского </w:t>
            </w: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бслуживания</w:t>
            </w:r>
            <w:r>
              <w:rPr>
                <w:rFonts w:eastAsia="Calibri"/>
                <w:sz w:val="20"/>
                <w:szCs w:val="10"/>
              </w:rPr>
            </w:r>
            <w:r>
              <w:rPr>
                <w:rFonts w:eastAsia="Calibri"/>
                <w:sz w:val="2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0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8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 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сумма платежа до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 (включительно)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умма платежа свыше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</w:t>
            </w:r>
            <w:r>
              <w:rPr>
                <w:bCs/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  <w:t xml:space="preserve">*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</w:t>
            </w:r>
            <w:r>
              <w:rPr>
                <w:sz w:val="20"/>
                <w:szCs w:val="20"/>
              </w:rPr>
              <w:t xml:space="preserve">заключения  дополнительного</w:t>
            </w:r>
            <w:r>
              <w:rPr>
                <w:sz w:val="20"/>
                <w:szCs w:val="20"/>
              </w:rPr>
              <w:t xml:space="preserve"> соглашения к договору банковского счета, состоящего из Условий проведения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1.1.7.1.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</w:r>
          </w:p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согласованию сторон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1.1.8.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  <w:br/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150 000,01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свыше 5 000 000,00 руб.»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«балансовой позицией 30102, 30109, 30232, 30301, 30302, 47422».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«Россельхозбанк»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находящихся в процессе ликвидации.».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</w:t>
            </w:r>
            <w:r>
              <w:rPr>
                <w:sz w:val="20"/>
                <w:szCs w:val="20"/>
              </w:rPr>
              <w:t xml:space="preserve">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</w:t>
            </w:r>
            <w:r>
              <w:rPr>
                <w:sz w:val="20"/>
                <w:szCs w:val="20"/>
              </w:rPr>
              <w:t xml:space="preserve">ельном соглашении, заключаемом </w:t>
            </w:r>
            <w:r>
              <w:rPr>
                <w:sz w:val="20"/>
                <w:szCs w:val="20"/>
              </w:rPr>
              <w:t xml:space="preserve">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</w:t>
            </w:r>
            <w:r>
              <w:rPr>
                <w:b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денежными 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среднемесячный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среднемесячного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</w:t>
            </w:r>
            <w:r>
              <w:rPr>
                <w:sz w:val="20"/>
                <w:szCs w:val="20"/>
              </w:rPr>
              <w:t xml:space="preserve">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среднемесячного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75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среднемесячного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</w:t>
            </w:r>
            <w:r>
              <w:rPr>
                <w:sz w:val="20"/>
                <w:szCs w:val="20"/>
              </w:rPr>
              <w:t xml:space="preserve">о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100 000 долларов США (включительно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</w:t>
            </w:r>
            <w:r>
              <w:rPr>
                <w:sz w:val="20"/>
                <w:szCs w:val="20"/>
              </w:rPr>
              <w:t xml:space="preserve">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отличную от последнего числа расчетного месяца).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</w:t>
            </w:r>
            <w:r>
              <w:rPr>
                <w:bCs/>
                <w:sz w:val="20"/>
                <w:szCs w:val="20"/>
              </w:rPr>
              <w:t xml:space="preserve">электронного средства платежа комиссионное вознаграждение за ведение счета взимается в соответствии с </w:t>
            </w:r>
            <w:r>
              <w:rPr>
                <w:bCs/>
                <w:sz w:val="20"/>
                <w:szCs w:val="20"/>
              </w:rPr>
              <w:br/>
              <w:t xml:space="preserve">п. 1.2.3.2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</w:t>
            </w:r>
            <w:r>
              <w:rPr>
                <w:bCs/>
                <w:sz w:val="20"/>
                <w:szCs w:val="20"/>
              </w:rPr>
              <w:t xml:space="preserve">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погашения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</w:t>
            </w:r>
            <w:r>
              <w:rPr>
                <w:rFonts w:eastAsia="Calibri"/>
                <w:sz w:val="20"/>
                <w:szCs w:val="20"/>
              </w:rPr>
              <w:t xml:space="preserve">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</w:t>
            </w:r>
            <w:r>
              <w:rPr>
                <w:sz w:val="20"/>
                <w:szCs w:val="20"/>
              </w:rPr>
              <w:t xml:space="preserve">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</w:t>
            </w:r>
            <w:r>
              <w:rPr>
                <w:sz w:val="20"/>
                <w:szCs w:val="20"/>
              </w:rPr>
              <w:t xml:space="preserve">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зачисление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денежных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целью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погашения деб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пополнения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highlight w:val="none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Розыск сумм платежей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50 долл.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200" w:line="276" w:lineRule="auto"/>
            </w:pPr>
            <w:r/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000 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документ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1114"/>
              <w:numPr>
                <w:ilvl w:val="0"/>
                <w:numId w:val="4"/>
              </w:numPr>
              <w:ind w:left="169" w:firstLine="0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руб. за 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д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окумент.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400 руб. за одну подпись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                 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</w:t>
      </w:r>
      <w:r>
        <w:rPr>
          <w:sz w:val="18"/>
          <w:szCs w:val="16"/>
        </w:rPr>
        <w:t xml:space="preserve">* Срок действия – до 31 декабря 20</w:t>
      </w:r>
      <w:r>
        <w:rPr>
          <w:sz w:val="18"/>
          <w:szCs w:val="16"/>
        </w:rPr>
        <w:t xml:space="preserve">25</w:t>
      </w:r>
      <w:r>
        <w:rPr>
          <w:sz w:val="18"/>
          <w:szCs w:val="16"/>
        </w:rPr>
        <w:t xml:space="preserve"> года (включительно)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jc w:val="both"/>
        <w:tabs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1.Без взимания комиссии в Банке открываются и обслуживаются: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депозитные счета нотариусов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головного исполнителя;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публичные депозитные счета;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18"/>
          <w:szCs w:val="20"/>
        </w:rPr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2.</w:t>
      </w:r>
      <w:r>
        <w:rPr>
          <w:sz w:val="18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18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3.</w:t>
      </w:r>
      <w:r>
        <w:rPr>
          <w:sz w:val="18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4.</w:t>
      </w:r>
      <w:r>
        <w:rPr>
          <w:sz w:val="18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1107"/>
        <w:ind w:firstLine="709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07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</w:t>
      </w:r>
      <w:r>
        <w:rPr>
          <w:sz w:val="16"/>
          <w:szCs w:val="16"/>
        </w:rPr>
        <w:t xml:space="preserve">договорам,в</w:t>
      </w:r>
      <w:r>
        <w:rPr>
          <w:sz w:val="16"/>
          <w:szCs w:val="16"/>
        </w:rPr>
        <w:t xml:space="preserve"> том числе </w:t>
      </w:r>
      <w:r>
        <w:rPr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rStyle w:val="1096"/>
          <w:sz w:val="16"/>
          <w:szCs w:val="16"/>
        </w:rPr>
      </w:pPr>
      <w:r>
        <w:rPr>
          <w:sz w:val="16"/>
          <w:szCs w:val="16"/>
        </w:rPr>
      </w:r>
      <w:r>
        <w:rPr>
          <w:rStyle w:val="1096"/>
          <w:sz w:val="16"/>
          <w:szCs w:val="16"/>
        </w:rPr>
      </w:r>
      <w:r>
        <w:rPr>
          <w:rStyle w:val="1096"/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b/>
          <w:lang w:eastAsia="en-US"/>
        </w:rPr>
      </w:pPr>
      <w:r>
        <w:rPr>
          <w:rStyle w:val="1096"/>
        </w:rPr>
        <w:t xml:space="preserve">2. Кассовые операции</w:t>
      </w:r>
      <w:r>
        <w:rPr>
          <w:sz w:val="20"/>
          <w:szCs w:val="20"/>
        </w:rPr>
        <w:t xml:space="preserve">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</w:t>
            </w:r>
            <w:r>
              <w:rPr>
                <w:sz w:val="20"/>
                <w:szCs w:val="20"/>
              </w:rPr>
              <w:t xml:space="preserve">(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0,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% от суммы,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 руб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</w:t>
            </w:r>
            <w:r>
              <w:t xml:space="preserve">,</w:t>
            </w: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  <w:br/>
              <w:t xml:space="preserve">до 6 000 000,00 руб. </w:t>
            </w:r>
            <w:r>
              <w:t xml:space="preserve">(</w:t>
            </w:r>
            <w:r>
              <w:rPr>
                <w:sz w:val="20"/>
                <w:szCs w:val="20"/>
              </w:rPr>
              <w:t xml:space="preserve">включительно</w:t>
            </w:r>
            <w:r>
              <w:t xml:space="preserve">) </w:t>
            </w:r>
            <w:r>
              <w:br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t xml:space="preserve">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</w:t>
            </w:r>
            <w:r>
              <w:rPr>
                <w:bCs/>
                <w:sz w:val="20"/>
                <w:szCs w:val="20"/>
              </w:rPr>
              <w:t xml:space="preserve">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</w:t>
            </w:r>
            <w:r>
              <w:rPr>
                <w:sz w:val="20"/>
                <w:szCs w:val="20"/>
              </w:rPr>
              <w:t xml:space="preserve">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</w:t>
            </w:r>
            <w:r>
              <w:rPr>
                <w:sz w:val="20"/>
                <w:szCs w:val="20"/>
              </w:rPr>
              <w:t xml:space="preserve">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0,40%</w:t>
            </w:r>
            <w:r>
              <w:rPr>
                <w:bCs/>
                <w:sz w:val="20"/>
                <w:szCs w:val="20"/>
              </w:rPr>
              <w:t xml:space="preserve">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</w:t>
            </w:r>
            <w:r>
              <w:rPr>
                <w:sz w:val="20"/>
                <w:szCs w:val="20"/>
              </w:rPr>
              <w:t xml:space="preserve">валюты (за исключением монет) 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оформлен</w:t>
            </w:r>
            <w:r>
              <w:rPr>
                <w:sz w:val="20"/>
                <w:szCs w:val="20"/>
              </w:rPr>
              <w:t xml:space="preserve">а предварительная заявка</w:t>
            </w:r>
            <w:r>
              <w:rPr>
                <w:sz w:val="20"/>
                <w:szCs w:val="20"/>
              </w:rPr>
              <w:t xml:space="preserve">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Примечание: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Операции по обслуживанию счетов, открытых бюджетным учреждениям, отдел</w:t>
      </w:r>
      <w:r>
        <w:rPr>
          <w:bCs/>
          <w:sz w:val="18"/>
          <w:szCs w:val="16"/>
        </w:rPr>
        <w:t xml:space="preserve">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</w:t>
      </w:r>
      <w:r>
        <w:rPr>
          <w:bCs/>
          <w:sz w:val="18"/>
          <w:szCs w:val="16"/>
        </w:rPr>
      </w:r>
      <w:r>
        <w:rPr>
          <w:bCs/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*)</w:t>
      </w:r>
      <w:r>
        <w:rPr>
          <w:sz w:val="18"/>
          <w:szCs w:val="16"/>
        </w:rPr>
        <w:t xml:space="preserve"> Плата за услуги Банка взимается в момент совершения операции, если конкретным пунктом Тарифов не предусмотрено иное.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**)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sz w:val="18"/>
          <w:szCs w:val="16"/>
        </w:rPr>
        <w:t xml:space="preserve">ета, представленное в подразделение Банка накануне дня планируемого получения клиентом денежной наличности , либо заявка  в виде формализованного электронного документа на получение </w:t>
      </w:r>
      <w:r>
        <w:rPr>
          <w:sz w:val="18"/>
          <w:szCs w:val="16"/>
        </w:rPr>
        <w:t xml:space="preserve">дененой</w:t>
      </w:r>
      <w:r>
        <w:rPr>
          <w:sz w:val="18"/>
          <w:szCs w:val="16"/>
        </w:rPr>
        <w:t xml:space="preserve"> наличности ,направленная 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</w:t>
      </w:r>
      <w:r>
        <w:rPr>
          <w:sz w:val="18"/>
          <w:szCs w:val="16"/>
        </w:rPr>
        <w:t xml:space="preserve">пасчетно</w:t>
      </w:r>
      <w:r>
        <w:rPr>
          <w:sz w:val="18"/>
          <w:szCs w:val="16"/>
        </w:rPr>
        <w:t xml:space="preserve">-кассового обслуживания клиента в АО «</w:t>
      </w:r>
      <w:r>
        <w:rPr>
          <w:sz w:val="18"/>
          <w:szCs w:val="16"/>
        </w:rPr>
        <w:t xml:space="preserve">Россельхозбанк»,если</w:t>
      </w:r>
      <w:r>
        <w:rPr>
          <w:sz w:val="18"/>
          <w:szCs w:val="16"/>
        </w:rPr>
        <w:t xml:space="preserve"> конкретным пунктом Тарифов не предусмотрено иное».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***) Под подразделением Банка понимается региональный филиал, включая его дополнительные о</w:t>
      </w:r>
      <w:r>
        <w:rPr>
          <w:sz w:val="18"/>
          <w:szCs w:val="16"/>
        </w:rPr>
        <w:t xml:space="preserve">фисы, операционные </w:t>
      </w:r>
      <w:r>
        <w:rPr>
          <w:sz w:val="18"/>
          <w:szCs w:val="16"/>
        </w:rPr>
        <w:t xml:space="preserve">офисы, </w:t>
      </w:r>
      <w:r>
        <w:rPr>
          <w:sz w:val="18"/>
          <w:szCs w:val="16"/>
        </w:rPr>
        <w:t xml:space="preserve"> либо</w:t>
      </w:r>
      <w:r>
        <w:rPr>
          <w:sz w:val="18"/>
          <w:szCs w:val="16"/>
        </w:rPr>
        <w:t xml:space="preserve"> головной офис Банка, включая его внутренние структурные подразделения.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46.2 - Торговля оптовая сельскохозяйственным сырьем и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46.21.1 - Торговля оптовая зерном, семенами и кормами для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46.21.11 - Торговля оптовая зерном.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46.21.12 - Торговля оптовая семенами, кроме семян масличных культур.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46.21.13 - Торговля оптовая масличными семенами и маслосодержащими плодами.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46.21.14 - Торговля оптовая кормами для сельскохозяйственных животных.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46.22 - Торговля оптовая цветами и растениями.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46.23 - Торговля оптовая живыми животными.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46.31 - Торговля оптовая фруктами 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46.31.1 - Торговля оптовая свежими овощами,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46.31.11 - Торговля оптовая свежим картофелем.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46.31.12 - Торговля оптовая прочими свежими овощами.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46.31.13 - Торговля оптовая свежими фруктами и орехами.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46.32 - Торговля оптовая мясом и мясными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46.32.1 - Торговля оптовая мясом и мясом птицы, включая субпродукты.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46.32.2 - Торговля оптовая продуктами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46.32.3 - Торговля оптовая консервами из мяса и мяса птицы.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46.33 - Торговля оптовая молочными продуктами, яйцами и </w:t>
      </w:r>
      <w:r>
        <w:rPr>
          <w:sz w:val="18"/>
          <w:szCs w:val="16"/>
        </w:rPr>
        <w:t xml:space="preserve">пищевыми маслами</w:t>
      </w:r>
      <w:r>
        <w:rPr>
          <w:sz w:val="18"/>
          <w:szCs w:val="16"/>
        </w:rPr>
        <w:t xml:space="preserve">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46.33.1 - Торговля оптовая молочными продуктами.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46.33.2 - Торговля оптовая яйцами.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46.33.3 - Торговля оптовая пищевыми маслами и жирами.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47.21.2 - Торговля розничная консервированными фруктами и </w:t>
      </w:r>
      <w:r>
        <w:rPr>
          <w:sz w:val="18"/>
          <w:szCs w:val="16"/>
        </w:rPr>
        <w:t xml:space="preserve">овощами</w:t>
      </w:r>
      <w:r>
        <w:rPr>
          <w:sz w:val="18"/>
          <w:szCs w:val="16"/>
        </w:rPr>
        <w:t xml:space="preserve"> и орехами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47.29.12 - Торговля розничная яйцами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47.29.22 - Торговля розничная растительными маслами в специализированных магазинах.».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*****)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В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соответствии с Федеральным законом от 10 июля 2023 года № 304-ФЗ </w:t>
      </w:r>
      <w:r>
        <w:rPr>
          <w:bCs/>
          <w:sz w:val="18"/>
          <w:szCs w:val="18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</w:t>
      </w:r>
      <w:r>
        <w:rPr>
          <w:bCs/>
          <w:sz w:val="18"/>
          <w:szCs w:val="18"/>
        </w:rPr>
        <w:t xml:space="preserve">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******)</w:t>
      </w:r>
      <w:r>
        <w:rPr>
          <w:bCs/>
          <w:sz w:val="18"/>
          <w:szCs w:val="18"/>
        </w:rPr>
        <w:t xml:space="preserve"> Банк не принимает поврежденные банкноты иностранных государств.»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3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rStyle w:val="1096"/>
        </w:rPr>
        <w:t xml:space="preserve">3.</w:t>
      </w:r>
      <w:r>
        <w:rPr>
          <w:rStyle w:val="1096"/>
        </w:rPr>
        <w:t xml:space="preserve"> Выполнение функций агента валютного контроля (размер тарифов указан без учета </w:t>
      </w:r>
      <w:r>
        <w:rPr>
          <w:rStyle w:val="1096"/>
        </w:rPr>
        <w:t xml:space="preserve">НДС)</w:t>
      </w:r>
      <w:r>
        <w:rPr>
          <w:b/>
        </w:rPr>
        <w:t xml:space="preserve">*</w:t>
      </w:r>
      <w:r>
        <w:rPr>
          <w:b/>
        </w:rPr>
      </w:r>
      <w:r>
        <w:rPr>
          <w:b/>
        </w:rPr>
      </w:r>
    </w:p>
    <w:tbl>
      <w:tblPr>
        <w:tblW w:w="501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1"/>
        <w:gridCol w:w="4336"/>
        <w:gridCol w:w="1812"/>
        <w:gridCol w:w="3337"/>
      </w:tblGrid>
      <w:tr>
        <w:tblPrEx/>
        <w:trPr/>
        <w:tc>
          <w:tcPr>
            <w:shd w:val="clear" w:color="auto" w:fill="auto"/>
            <w:tcW w:w="35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  <w:t xml:space="preserve"> для головного офиса (далее – ГО), </w:t>
            </w:r>
            <w:r>
              <w:rPr>
                <w:sz w:val="20"/>
                <w:szCs w:val="20"/>
              </w:rPr>
              <w:t xml:space="preserve">РФ АО «Россельхозбанк» - «Центр розничного и малого бизнеса» </w:t>
            </w:r>
            <w:r>
              <w:rPr>
                <w:sz w:val="20"/>
                <w:szCs w:val="20"/>
              </w:rPr>
              <w:t xml:space="preserve">(далее _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и РФ АО «Россельхозбанк» - «ЦКБ» (далее -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</w:t>
            </w:r>
            <w:r>
              <w:rPr>
                <w:sz w:val="20"/>
                <w:szCs w:val="20"/>
              </w:rPr>
              <w:t xml:space="preserve">м 300 руб.</w:t>
            </w:r>
            <w:r>
              <w:rPr>
                <w:sz w:val="20"/>
                <w:szCs w:val="20"/>
              </w:rPr>
              <w:t xml:space="preserve">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3.3.4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1 500 руб.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16"/>
              </w:rPr>
            </w:pPr>
            <w:r>
              <w:rPr>
                <w:sz w:val="20"/>
              </w:rPr>
              <w:t xml:space="preserve">4 000 руб.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bCs/>
                <w:sz w:val="20"/>
              </w:rPr>
              <w:t xml:space="preserve">не</w:t>
            </w:r>
            <w:r>
              <w:rPr>
                <w:bCs/>
                <w:sz w:val="20"/>
              </w:rPr>
              <w:t xml:space="preserve"> оказывается.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Услуга оказывае</w:t>
            </w:r>
            <w:r>
              <w:rPr>
                <w:bCs/>
                <w:sz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</w:t>
            </w:r>
            <w:r>
              <w:rPr>
                <w:bCs/>
                <w:sz w:val="20"/>
              </w:rPr>
              <w:t xml:space="preserve">.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регионального филиала Банка в головной офис Банка;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одного регионального филиала Банка в другой региональный филиал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</w:t>
            </w:r>
            <w:r>
              <w:rPr>
                <w:sz w:val="20"/>
                <w:szCs w:val="20"/>
              </w:rPr>
              <w:t xml:space="preserve">законодательством  Российской</w:t>
            </w:r>
            <w:r>
              <w:rPr>
                <w:sz w:val="20"/>
                <w:szCs w:val="20"/>
              </w:rPr>
              <w:t xml:space="preserve">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12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3.9.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СМС-информирование о статусах документов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к услуге.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и предоставляется только резидентам.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</w:p>
    <w:p>
      <w:pPr>
        <w:rPr>
          <w:rFonts w:eastAsia="Calibri"/>
          <w:sz w:val="18"/>
          <w:szCs w:val="16"/>
          <w:u w:val="single"/>
        </w:rPr>
      </w:pPr>
      <w:r>
        <w:rPr>
          <w:rFonts w:eastAsia="Calibri"/>
          <w:sz w:val="18"/>
          <w:szCs w:val="16"/>
          <w:u w:val="single"/>
        </w:rPr>
        <w:t xml:space="preserve">Примечание:</w:t>
      </w:r>
      <w:r>
        <w:rPr>
          <w:rFonts w:eastAsia="Calibri"/>
          <w:sz w:val="18"/>
          <w:szCs w:val="16"/>
          <w:u w:val="single"/>
        </w:rPr>
      </w:r>
      <w:r>
        <w:rPr>
          <w:rFonts w:eastAsia="Calibri"/>
          <w:sz w:val="18"/>
          <w:szCs w:val="16"/>
          <w:u w:val="single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eastAsia="Calibri"/>
          <w:sz w:val="18"/>
          <w:szCs w:val="16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bCs/>
          <w:sz w:val="18"/>
        </w:rPr>
      </w:pPr>
      <w:r>
        <w:rPr>
          <w:sz w:val="18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18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18"/>
        </w:rPr>
      </w:r>
      <w:r>
        <w:rPr>
          <w:bCs/>
          <w:sz w:val="18"/>
        </w:rPr>
      </w:r>
    </w:p>
    <w:p>
      <w:pPr>
        <w:ind w:firstLine="709"/>
        <w:jc w:val="both"/>
        <w:rPr>
          <w:rFonts w:eastAsia="Calibri"/>
          <w:sz w:val="10"/>
          <w:szCs w:val="16"/>
        </w:rPr>
      </w:pP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eastAsia="Calibri"/>
          <w:sz w:val="18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eastAsia="Calibri"/>
          <w:sz w:val="18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(зачисления) денежных средств общей суммой: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взимается: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</w:t>
      </w:r>
      <w:r>
        <w:rPr>
          <w:rFonts w:eastAsia="Calibri"/>
          <w:sz w:val="18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sz w:val="18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8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 Днем оказания услуги по валютному контролю является: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1.</w:t>
      </w:r>
      <w:r>
        <w:rPr>
          <w:rFonts w:eastAsia="Calibri"/>
          <w:sz w:val="18"/>
          <w:szCs w:val="16"/>
        </w:rPr>
        <w:tab/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2.</w:t>
      </w:r>
      <w:r>
        <w:rPr>
          <w:rFonts w:eastAsia="Calibri"/>
          <w:sz w:val="18"/>
          <w:szCs w:val="16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резиденту информации о коде вида операции.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4.     При проверке СПД: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5.     При оформлении Банком СПД за клиента: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оформления Банком СПД.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6.     При снятии контракта (кредитного договора) с учета: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снятия Банком контракта (кредитного договора) с учета.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8.     При представлении клиенту копий документов из досье валютного контроля: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клиенту копий документов. 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контракта (кредитного договора) на учет в другой уполномоченный банк либо при закрытии резидентом вс</w:t>
      </w:r>
      <w:r>
        <w:rPr>
          <w:rFonts w:eastAsia="Calibri"/>
          <w:sz w:val="18"/>
          <w:szCs w:val="16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</w:t>
      </w: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</w:p>
    <w:p>
      <w:pPr>
        <w:pStyle w:val="1087"/>
      </w:pPr>
      <w:r/>
      <w:bookmarkStart w:id="2" w:name="_Toc2"/>
      <w:r>
        <w:t xml:space="preserve">4.</w:t>
      </w:r>
      <w:r>
        <w:t xml:space="preserve"> </w:t>
      </w:r>
      <w:r>
        <w:t xml:space="preserve">Операции с ценными бумагами</w:t>
      </w:r>
      <w:r/>
      <w:bookmarkEnd w:id="2"/>
      <w:r/>
      <w:r/>
    </w:p>
    <w:p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головном офисе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региональных филиалах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5. Документарные операции</w:t>
      </w:r>
      <w:r>
        <w:rPr>
          <w:b/>
        </w:rPr>
      </w:r>
      <w:r>
        <w:rPr>
          <w:b/>
        </w:rPr>
      </w:r>
    </w:p>
    <w:p>
      <w:pPr>
        <w:ind w:left="1069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5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714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526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максимум 50000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</w:t>
            </w:r>
            <w:r>
              <w:rPr>
                <w:bCs/>
                <w:color w:val="000000"/>
                <w:sz w:val="20"/>
                <w:szCs w:val="20"/>
              </w:rPr>
              <w:t xml:space="preserve">долларах США, </w:t>
            </w:r>
            <w:r>
              <w:rPr>
                <w:bCs/>
                <w:color w:val="000000"/>
                <w:sz w:val="20"/>
                <w:szCs w:val="20"/>
              </w:rPr>
              <w:t xml:space="preserve">евро</w:t>
            </w:r>
            <w:r>
              <w:rPr>
                <w:bCs/>
                <w:color w:val="000000"/>
                <w:sz w:val="20"/>
                <w:szCs w:val="20"/>
              </w:rPr>
              <w:t xml:space="preserve">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</w:t>
            </w:r>
            <w:r>
              <w:rPr>
                <w:bCs/>
                <w:color w:val="000000"/>
                <w:sz w:val="20"/>
                <w:szCs w:val="20"/>
              </w:rPr>
              <w:t xml:space="preserve">запрошенной к</w:t>
            </w:r>
            <w:r>
              <w:rPr>
                <w:bCs/>
                <w:color w:val="000000"/>
                <w:sz w:val="20"/>
                <w:szCs w:val="20"/>
              </w:rPr>
              <w:t xml:space="preserve">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(в </w:t>
            </w:r>
            <w:r>
              <w:rPr>
                <w:bCs/>
                <w:color w:val="000000"/>
                <w:sz w:val="20"/>
                <w:szCs w:val="20"/>
              </w:rPr>
              <w:t xml:space="preserve">т.ч</w:t>
            </w:r>
            <w:r>
              <w:rPr>
                <w:bCs/>
                <w:color w:val="000000"/>
                <w:sz w:val="20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трансферированной</w:t>
            </w:r>
            <w:r>
              <w:rPr>
                <w:bCs/>
                <w:color w:val="000000"/>
                <w:sz w:val="22"/>
                <w:szCs w:val="22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трансферированным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трансферированному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75 000 </w:t>
            </w:r>
            <w:r>
              <w:rPr>
                <w:bCs/>
                <w:color w:val="000000"/>
                <w:sz w:val="22"/>
                <w:szCs w:val="22"/>
              </w:rPr>
              <w:t xml:space="preserve">руб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5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3" w:name="_Toc3"/>
      <w:r>
        <w:t xml:space="preserve">6.</w:t>
      </w:r>
      <w:r>
        <w:t xml:space="preserve"> </w:t>
      </w:r>
      <w:r>
        <w:t xml:space="preserve">Гарантийные операции</w:t>
      </w:r>
      <w:r/>
      <w:bookmarkEnd w:id="3"/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0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9"/>
        <w:gridCol w:w="3685"/>
        <w:gridCol w:w="1985"/>
        <w:gridCol w:w="354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гарантийным сделкам (Приложение 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приказу АО «Россельхозбанк» от 01.08.2013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7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6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требованию Банка;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связанного с увеличением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ее суммы, без обязательств со стороны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увеличением ее суммы/авизование запроса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аннуляцию гарантии/ авизование сообщения по гарантии без обязательств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со стороны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  <w:rPr>
          <w:color w:val="808080"/>
        </w:rPr>
      </w:pPr>
      <w:r/>
      <w:bookmarkStart w:id="4" w:name="_Toc4"/>
      <w:r>
        <w:t xml:space="preserve">7. Дистанционное банковское обслуживание (ДБО)</w:t>
      </w:r>
      <w:r/>
      <w:bookmarkEnd w:id="4"/>
      <w:r/>
      <w:r>
        <w:rPr>
          <w:color w:val="808080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Рязани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Интернет-Клиент</w:t>
            </w:r>
            <w:r>
              <w:rPr>
                <w:bCs/>
                <w:sz w:val="20"/>
                <w:szCs w:val="20"/>
              </w:rPr>
              <w:t xml:space="preserve">»/«Свой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Рязанской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подачи клиентом в Банк заявления.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другую систему ДБО осуществляется в течение 15 рабочих дней с момента подачи клиентом заявления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 приостановлено использование Клиентом указанной системы в качестве электронного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средства платежа, за исключением первого месяца, в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Банком произведено приостановление.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bCs/>
                <w:sz w:val="20"/>
                <w:szCs w:val="20"/>
              </w:rPr>
              <w:t xml:space="preserve">п.п</w:t>
            </w:r>
            <w:r>
              <w:rPr>
                <w:bCs/>
                <w:sz w:val="20"/>
                <w:szCs w:val="20"/>
              </w:rPr>
              <w:t xml:space="preserve">. 7.3.2-7.3.3 комиссия по    п. 7.3.1 Банком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Мобильного приложения «Свой Бизнес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Мобайл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</w:rPr>
              <w:t xml:space="preserve">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для клиентов «Банк-Клиент»/ «Интернет-Клиент»/</w:t>
            </w:r>
            <w:r>
              <w:rPr>
                <w:bCs/>
                <w:sz w:val="20"/>
                <w:szCs w:val="20"/>
              </w:rPr>
              <w:t xml:space="preserve"> «Мобильный банк»/</w:t>
            </w:r>
            <w:r>
              <w:rPr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 xml:space="preserve">Свой бизнес</w:t>
            </w:r>
            <w:r>
              <w:rPr>
                <w:bCs/>
                <w:sz w:val="20"/>
                <w:szCs w:val="20"/>
              </w:rPr>
              <w:t xml:space="preserve">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системе «Интернет-Клиент»</w:t>
            </w:r>
            <w:r>
              <w:rPr>
                <w:sz w:val="20"/>
                <w:szCs w:val="20"/>
              </w:rPr>
              <w:t xml:space="preserve">"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t xml:space="preserve">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</w:t>
            </w:r>
            <w:r>
              <w:rPr>
                <w:bCs/>
                <w:sz w:val="20"/>
                <w:szCs w:val="20"/>
              </w:rPr>
              <w:t xml:space="preserve">ень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получения</w:t>
            </w:r>
            <w:r>
              <w:rPr>
                <w:bCs/>
                <w:sz w:val="20"/>
                <w:szCs w:val="20"/>
              </w:rPr>
              <w:t xml:space="preserve"> клиентом ключевого носителя</w:t>
            </w:r>
            <w:r>
              <w:rPr>
                <w:bCs/>
                <w:sz w:val="20"/>
                <w:szCs w:val="20"/>
              </w:rPr>
              <w:t xml:space="preserve"> к системе «Интернет-Клиент».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</w:t>
            </w:r>
            <w:r>
              <w:rPr>
                <w:bCs/>
                <w:sz w:val="20"/>
                <w:szCs w:val="20"/>
              </w:rPr>
              <w:t xml:space="preserve">обмена  сертификата</w:t>
            </w:r>
            <w:r>
              <w:rPr>
                <w:bCs/>
                <w:sz w:val="20"/>
                <w:szCs w:val="20"/>
              </w:rPr>
              <w:t xml:space="preserve">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</w:t>
            </w:r>
            <w:r>
              <w:rPr>
                <w:bCs/>
                <w:sz w:val="20"/>
                <w:szCs w:val="20"/>
              </w:rPr>
              <w:t xml:space="preserve">/заключения экспертной группы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bCs/>
                <w:sz w:val="20"/>
                <w:szCs w:val="20"/>
              </w:rPr>
              <w:t xml:space="preserve">Банком,  осуществляется</w:t>
            </w:r>
            <w:r>
              <w:rPr>
                <w:bCs/>
                <w:sz w:val="20"/>
                <w:szCs w:val="20"/>
              </w:rPr>
              <w:t xml:space="preserve">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Получение одноразового пароля (кода подтверждения) посредством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SMS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</w:rPr>
              <w:br/>
              <w:t xml:space="preserve">за 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</w:rPr>
              <w:br/>
              <w:t xml:space="preserve">к Сервису, </w:t>
            </w:r>
            <w:r>
              <w:rPr>
                <w:sz w:val="20"/>
              </w:rPr>
              <w:br/>
              <w:t xml:space="preserve">и за каждый телефонный номер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</w:rPr>
              <w:t xml:space="preserve">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Комиссия взимается независимо </w:t>
            </w:r>
            <w:r>
              <w:rPr>
                <w:sz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rPr>
          <w:bCs/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Отдельные счета головного исполнителя, отдельные счета ис</w:t>
      </w:r>
      <w:r>
        <w:rPr>
          <w:bCs/>
          <w:sz w:val="18"/>
          <w:szCs w:val="18"/>
        </w:rPr>
        <w:t xml:space="preserve">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</w:t>
      </w:r>
      <w:r>
        <w:rPr>
          <w:bCs/>
          <w:sz w:val="18"/>
          <w:szCs w:val="18"/>
        </w:rPr>
        <w:t xml:space="preserve">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</w:t>
      </w:r>
      <w:r>
        <w:rPr>
          <w:bCs/>
          <w:sz w:val="18"/>
          <w:szCs w:val="18"/>
        </w:rPr>
        <w:t xml:space="preserve">.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Дистанционное банковское о</w:t>
      </w:r>
      <w:r>
        <w:rPr>
          <w:bCs/>
          <w:iCs/>
          <w:color w:val="000000"/>
          <w:sz w:val="18"/>
          <w:szCs w:val="18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3.</w:t>
      </w:r>
      <w:r>
        <w:rPr>
          <w:bCs/>
          <w:iCs/>
          <w:sz w:val="18"/>
          <w:szCs w:val="18"/>
        </w:rPr>
        <w:tab/>
      </w:r>
      <w:r>
        <w:rPr>
          <w:bCs/>
          <w:iCs/>
          <w:sz w:val="18"/>
          <w:szCs w:val="18"/>
        </w:rPr>
        <w:t xml:space="preserve">В</w:t>
      </w:r>
      <w:r>
        <w:rPr>
          <w:bCs/>
          <w:iCs/>
          <w:sz w:val="18"/>
          <w:szCs w:val="18"/>
        </w:rPr>
        <w:t xml:space="preserve"> случае если на момент оказания услуги клиент не имеет счетов, открыт</w:t>
      </w:r>
      <w:r>
        <w:rPr>
          <w:bCs/>
          <w:iCs/>
          <w:sz w:val="18"/>
          <w:szCs w:val="18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4.</w:t>
      </w:r>
      <w:r>
        <w:t xml:space="preserve"> </w:t>
      </w:r>
      <w:r>
        <w:rPr>
          <w:bCs/>
          <w:iCs/>
          <w:sz w:val="18"/>
          <w:szCs w:val="18"/>
        </w:rPr>
        <w:t xml:space="preserve">По операциям, совершаемым через систему ДБО «Мобильный банк»</w:t>
      </w:r>
      <w:r>
        <w:rPr>
          <w:bCs/>
          <w:iCs/>
          <w:sz w:val="18"/>
          <w:szCs w:val="18"/>
        </w:rPr>
        <w:t xml:space="preserve">/«</w:t>
      </w:r>
      <w:r>
        <w:rPr>
          <w:bCs/>
          <w:iCs/>
          <w:sz w:val="18"/>
          <w:szCs w:val="18"/>
        </w:rPr>
        <w:t xml:space="preserve">Мобильное приложение «Свой Бизнес </w:t>
      </w:r>
      <w:r>
        <w:rPr>
          <w:bCs/>
          <w:iCs/>
          <w:sz w:val="18"/>
          <w:szCs w:val="18"/>
        </w:rPr>
        <w:t xml:space="preserve">Мобайл</w:t>
      </w:r>
      <w:r>
        <w:rPr>
          <w:bCs/>
          <w:iCs/>
          <w:sz w:val="18"/>
          <w:szCs w:val="18"/>
        </w:rPr>
        <w:t xml:space="preserve">»</w:t>
      </w:r>
      <w:r>
        <w:rPr>
          <w:bCs/>
          <w:iCs/>
          <w:sz w:val="18"/>
          <w:szCs w:val="18"/>
        </w:rPr>
        <w:t xml:space="preserve">, установлены следующие лимиты: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единовременную операцию – 5 000 000 (Пять миллионов) рублей;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/>
          <w:bCs/>
          <w:sz w:val="2"/>
          <w:szCs w:val="2"/>
        </w:rPr>
      </w:pPr>
      <w:r>
        <w:rPr>
          <w:bCs/>
          <w:iCs/>
          <w:sz w:val="18"/>
          <w:szCs w:val="18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07"/>
        <w:ind w:firstLine="709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  <w:r>
        <w:rPr>
          <w:rFonts w:ascii="Times New Roman" w:hAnsi="Times New Roman" w:cs="Times New Roman"/>
          <w:i w:val="0"/>
          <w:iCs w:val="0"/>
          <w:sz w:val="16"/>
          <w:szCs w:val="16"/>
        </w:rPr>
      </w:r>
    </w:p>
    <w:p>
      <w:pPr>
        <w:pStyle w:val="1107"/>
        <w:ind w:firstLine="709"/>
        <w:rPr>
          <w:rFonts w:ascii="Times New Roman" w:hAnsi="Times New Roman" w:cs="Times New Roman"/>
          <w:i w:val="0"/>
          <w:iCs w:val="0"/>
          <w:sz w:val="18"/>
          <w:szCs w:val="18"/>
        </w:rPr>
      </w:pPr>
      <w:r>
        <w:rPr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  <w:r>
        <w:rPr>
          <w:rFonts w:ascii="Times New Roman" w:hAnsi="Times New Roman" w:cs="Times New Roman"/>
          <w:i w:val="0"/>
          <w:iCs w:val="0"/>
          <w:sz w:val="18"/>
          <w:szCs w:val="18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18"/>
          <w:szCs w:val="18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8"/>
          <w:szCs w:val="18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8"/>
          <w:szCs w:val="18"/>
          <w:lang w:eastAsia="en-US"/>
        </w:rPr>
        <w:t xml:space="preserve">Федеральным законом </w:t>
      </w:r>
      <w:r>
        <w:rPr>
          <w:sz w:val="18"/>
          <w:szCs w:val="18"/>
        </w:rPr>
        <w:t xml:space="preserve">от 07.05.1998 №</w:t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8"/>
          <w:szCs w:val="18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8"/>
          <w:szCs w:val="18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  <w:r>
        <w:rPr>
          <w:rFonts w:eastAsia="Calibri"/>
          <w:color w:val="000000"/>
          <w:sz w:val="18"/>
          <w:szCs w:val="18"/>
          <w:highlight w:val="none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22"/>
          <w:szCs w:val="22"/>
          <w:highlight w:val="none"/>
        </w:rPr>
      </w:pP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5. 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8"/>
          <w:szCs w:val="18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8"/>
          <w:szCs w:val="18"/>
          <w:highlight w:val="none"/>
        </w:rPr>
        <w:t xml:space="preserve"> Условиями </w:t>
      </w:r>
      <w:r>
        <w:rPr>
          <w:b w:val="0"/>
          <w:bCs w:val="0"/>
          <w:iCs/>
          <w:sz w:val="18"/>
          <w:szCs w:val="18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8"/>
          <w:szCs w:val="18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8"/>
          <w:szCs w:val="18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8"/>
          <w:szCs w:val="18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8"/>
          <w:szCs w:val="18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8"/>
          <w:szCs w:val="18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8"/>
          <w:szCs w:val="18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22"/>
          <w:szCs w:val="22"/>
          <w:highlight w:val="none"/>
        </w:rPr>
      </w:r>
      <w:r>
        <w:rPr>
          <w:rFonts w:eastAsia="Calibri"/>
          <w:color w:val="000000"/>
          <w:sz w:val="22"/>
          <w:szCs w:val="22"/>
          <w:highlight w:val="none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1272" w:leader="none"/>
        </w:tabs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p>
      <w:pPr>
        <w:jc w:val="center"/>
        <w:tabs>
          <w:tab w:val="left" w:pos="127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5" w:name="_Toc5"/>
      <w:r>
        <w:rPr>
          <w:lang w:eastAsia="en-US"/>
        </w:rPr>
        <w:t xml:space="preserve">8. Хранение ценностей клиентов в хранилище ценностей Банка</w:t>
      </w:r>
      <w:r>
        <w:rPr>
          <w:lang w:eastAsia="en-US"/>
        </w:rPr>
        <w:t xml:space="preserve"> </w:t>
      </w:r>
      <w:r>
        <w:rPr>
          <w:lang w:eastAsia="en-US"/>
        </w:rPr>
        <w:t xml:space="preserve">(с учетом НДС)</w:t>
      </w:r>
      <w:r/>
      <w:bookmarkEnd w:id="5"/>
      <w:r/>
      <w:r>
        <w:rPr>
          <w:lang w:eastAsia="en-US"/>
        </w:rPr>
      </w:r>
    </w:p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6" w:name="_Toc6"/>
      <w:r>
        <w:rPr>
          <w:lang w:eastAsia="en-US"/>
        </w:rPr>
        <w:t xml:space="preserve">9. Аренда клиентами индивидуальных сейфовых ячеек</w:t>
      </w:r>
      <w:r/>
      <w:bookmarkEnd w:id="6"/>
      <w:r/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792"/>
        <w:gridCol w:w="3840"/>
        <w:gridCol w:w="2178"/>
        <w:gridCol w:w="3562"/>
      </w:tblGrid>
      <w:tr>
        <w:tblPrEx/>
        <w:trPr>
          <w:trHeight w:val="152"/>
          <w:tblHeader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vAlign w:val="bottom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W w:w="1717" w:type="pct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color w:val="000000"/>
                <w:sz w:val="20"/>
                <w:szCs w:val="20"/>
              </w:rPr>
              <w:br/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9.1.1.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50 до 74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75 до 124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125 до 169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9.1.4.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170 до 299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300 до 515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</w:t>
            </w:r>
            <w:r>
              <w:rPr>
                <w:sz w:val="20"/>
                <w:szCs w:val="20"/>
              </w:rPr>
              <w:t xml:space="preserve">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516 (по высоте, мм)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1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9.2.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>
              <w:rPr>
                <w:sz w:val="20"/>
                <w:szCs w:val="20"/>
              </w:rPr>
              <w:t xml:space="preserve"> 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5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8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87"/>
      </w:pPr>
      <w:r/>
      <w:bookmarkStart w:id="7" w:name="_Toc7"/>
      <w:r>
        <w:t xml:space="preserve">10. Услуги инкассации</w:t>
      </w:r>
      <w:r/>
      <w:bookmarkEnd w:id="7"/>
      <w:r/>
      <w:r/>
    </w:p>
    <w:p>
      <w:r/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Минимальные тарифы на услуги корпоративным клиента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left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10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468"/>
        <w:gridCol w:w="2408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Примечание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10.1.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6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10.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ind w:left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0,2%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1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ind w:left="34" w:hanging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1087"/>
      </w:pPr>
      <w:r/>
      <w:bookmarkStart w:id="8" w:name="_Toc8"/>
      <w:r>
        <w:t xml:space="preserve">11. Операции по покупке-продаже иностранной валюты</w:t>
      </w:r>
      <w:r>
        <w:rPr>
          <w:rStyle w:val="1109"/>
          <w:b/>
        </w:rPr>
        <w:t xml:space="preserve">1</w:t>
      </w:r>
      <w:r/>
      <w:bookmarkEnd w:id="8"/>
      <w:r/>
      <w:r/>
    </w:p>
    <w:p>
      <w:pPr>
        <w:jc w:val="center"/>
        <w:tabs>
          <w:tab w:val="left" w:pos="2188" w:leader="none"/>
        </w:tabs>
      </w:pPr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 </w:t>
      </w:r>
      <w:r>
        <w:rPr>
          <w:sz w:val="18"/>
          <w:szCs w:val="16"/>
          <w:u w:val="single"/>
        </w:rPr>
      </w:r>
      <w:r>
        <w:rPr>
          <w:sz w:val="18"/>
          <w:szCs w:val="16"/>
          <w:u w:val="single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3 При совершении Банком операций, указанных в </w:t>
      </w:r>
      <w:r>
        <w:rPr>
          <w:sz w:val="18"/>
          <w:szCs w:val="16"/>
        </w:rPr>
        <w:t xml:space="preserve">п.п</w:t>
      </w:r>
      <w:r>
        <w:rPr>
          <w:sz w:val="18"/>
          <w:szCs w:val="16"/>
        </w:rPr>
        <w:t xml:space="preserve">. 11.1.1, 11.1.2, 11.2.1 и 11.2.2, Курс Банка и/или размер расчетной комиссии, действующий(</w:t>
      </w:r>
      <w:r>
        <w:rPr>
          <w:sz w:val="18"/>
          <w:szCs w:val="16"/>
        </w:rPr>
        <w:t xml:space="preserve">ие</w:t>
      </w:r>
      <w:r>
        <w:rPr>
          <w:sz w:val="18"/>
          <w:szCs w:val="16"/>
        </w:rPr>
        <w:t xml:space="preserve">) на дату и время совершения операции, сообщаются клиенту после приема Банком к исполнению распоряжения/заявки.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87"/>
        <w:rPr>
          <w:lang w:eastAsia="en-US"/>
        </w:rPr>
      </w:pPr>
      <w:r/>
      <w:bookmarkStart w:id="9" w:name="_Toc9"/>
      <w:r>
        <w:rPr>
          <w:lang w:eastAsia="en-US"/>
        </w:rPr>
        <w:t xml:space="preserve">12.Кредитные операции</w:t>
      </w:r>
      <w:r/>
      <w:bookmarkEnd w:id="9"/>
      <w:r/>
      <w:r>
        <w:rPr>
          <w:lang w:eastAsia="en-US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</w:pPr>
            <w:r>
              <w:t xml:space="preserve">Не менее 0,8%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/>
          </w:p>
          <w:p>
            <w:pPr>
              <w:jc w:val="both"/>
              <w:spacing w:before="40" w:after="40"/>
              <w:rPr>
                <w:highlight w:val="none"/>
              </w:rPr>
            </w:pPr>
            <w: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jc w:val="both"/>
              <w:spacing w:before="40" w:after="40"/>
            </w:pPr>
            <w:r/>
            <w:r/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при кредитовании в рамках решения Министерства экономического развития Российской Федерации о порядке предоставлени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40" w:after="4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highlight w:val="none"/>
              </w:rPr>
            </w:pPr>
            <w: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менее 0,1%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</w:t>
            </w:r>
            <w:r>
              <w:rPr>
                <w:bCs/>
              </w:rPr>
              <w:t xml:space="preserve">ный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№ 738-П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Обслуживание кредита, кредитной линии и кредита в форме «овердрафт» в течение всего периода 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</w:pPr>
            <w:r>
              <w:t xml:space="preserve">Не менее 0,5% годовых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</w:pPr>
            <w:r>
              <w:t xml:space="preserve">Комиссия начисляется и уплачивается в порядке, предусмотренном для упл</w:t>
            </w:r>
            <w: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с использованием связанного финансирования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</w:t>
            </w:r>
            <w:r>
              <w:rPr>
                <w:bCs/>
              </w:rPr>
              <w:t xml:space="preserve">дуктов «Сезонный 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br/>
            </w:r>
            <w:r>
              <w:t xml:space="preserve">АО «Россельхозбанк» № 738-П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09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со дня, следующего за: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14"/>
              <w:numPr>
                <w:ilvl w:val="0"/>
                <w:numId w:val="1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  <w:szCs w:val="22"/>
              </w:rPr>
              <w:t xml:space="preserve">выдачи кредита/ транша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предусмотренном договором.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  <w:szCs w:val="22"/>
              </w:rPr>
              <w:br/>
              <w:t xml:space="preserve">АО «МСП Банк» № 547-П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  <w:szCs w:val="22"/>
              </w:rPr>
              <w:br/>
              <w:t xml:space="preserve">№ 598-П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09"/>
                <w:bCs/>
                <w:sz w:val="22"/>
                <w:szCs w:val="22"/>
              </w:rPr>
              <w:footnoteReference w:id="3"/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«-при кредитовании по договору об открытии кредитной </w:t>
            </w:r>
            <w:r>
              <w:rPr>
                <w:bCs/>
                <w:sz w:val="22"/>
                <w:szCs w:val="22"/>
              </w:rPr>
              <w:t xml:space="preserve">линии,  заключенному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2"/>
                <w:szCs w:val="22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1% годовых»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</w:t>
            </w:r>
            <w:r>
              <w:rPr>
                <w:sz w:val="22"/>
                <w:szCs w:val="22"/>
              </w:rPr>
              <w:t xml:space="preserve">ых</w:t>
            </w:r>
            <w:r>
              <w:rPr>
                <w:sz w:val="22"/>
                <w:szCs w:val="22"/>
              </w:rPr>
              <w:t xml:space="preserve">)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12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При сумме, на которую начисляется комиссия: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до 1 000 000,00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1%</w:t>
            </w:r>
            <w:r>
              <w:t xml:space="preserve">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1 000 000,01 до 50 000 000,00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0,8%;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50 000 000,01 до 100 000 000,00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0,5%;</w:t>
            </w:r>
            <w:r/>
          </w:p>
          <w:p>
            <w:pPr>
              <w:jc w:val="center"/>
              <w:spacing w:after="40"/>
              <w:rPr>
                <w:bCs/>
              </w:rPr>
            </w:pPr>
            <w:r>
              <w:t xml:space="preserve">свыше 100 000 000,01 руб. </w:t>
            </w:r>
            <w:r>
              <w:rPr>
                <w:bCs/>
              </w:rPr>
              <w:t xml:space="preserve">– не менее</w:t>
            </w:r>
            <w:r>
              <w:rPr>
                <w:bCs/>
                <w:i/>
              </w:rPr>
              <w:t xml:space="preserve"> </w:t>
            </w:r>
            <w:r>
              <w:t xml:space="preserve">0,15%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</w:rPr>
              <w:t xml:space="preserve">ых</w:t>
            </w:r>
            <w:r>
              <w:rPr>
                <w:bCs/>
              </w:rPr>
              <w:t xml:space="preserve">) соглашения(</w:t>
            </w:r>
            <w:r>
              <w:rPr>
                <w:bCs/>
              </w:rPr>
              <w:t xml:space="preserve">ий</w:t>
            </w:r>
            <w:r>
              <w:rPr>
                <w:bCs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</w:pPr>
            <w:r>
              <w:rPr>
                <w:bCs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72"/>
              <w:jc w:val="center"/>
              <w:spacing w:before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</w:t>
            </w:r>
            <w:r>
              <w:rPr>
                <w:sz w:val="20"/>
                <w:szCs w:val="20"/>
              </w:rPr>
              <w:t xml:space="preserve">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12.7.2.1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более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«на приоб</w:t>
      </w:r>
      <w:r>
        <w:rPr>
          <w:sz w:val="20"/>
          <w:szCs w:val="20"/>
        </w:rPr>
        <w:t xml:space="preserve">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«-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</w:t>
      </w:r>
      <w:r>
        <w:rPr>
          <w:rFonts w:eastAsia="Calibri"/>
          <w:sz w:val="20"/>
          <w:szCs w:val="20"/>
          <w:lang w:eastAsia="en-US"/>
        </w:rPr>
        <w:t xml:space="preserve"> № 22-68850-00258-Р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</w:r>
      <w:r>
        <w:rPr>
          <w:rFonts w:eastAsia="Calibri"/>
          <w:sz w:val="20"/>
          <w:szCs w:val="20"/>
          <w:lang w:eastAsia="en-US"/>
        </w:rPr>
        <w:t xml:space="preserve"> реализацию, по льготной ставке </w:t>
      </w:r>
      <w:r>
        <w:rPr>
          <w:rFonts w:eastAsia="Calibri"/>
          <w:sz w:val="20"/>
          <w:szCs w:val="20"/>
          <w:lang w:eastAsia="en-US"/>
        </w:rPr>
        <w:t xml:space="preserve">-</w:t>
      </w:r>
      <w:r>
        <w:rPr>
          <w:rFonts w:eastAsia="Calibri"/>
          <w:sz w:val="20"/>
          <w:szCs w:val="20"/>
          <w:lang w:eastAsia="en-US"/>
        </w:rPr>
        <w:t xml:space="preserve">Решение №258-Р»</w:t>
      </w:r>
      <w:r>
        <w:rPr>
          <w:rFonts w:eastAsia="Calibri"/>
          <w:sz w:val="20"/>
          <w:szCs w:val="20"/>
          <w:lang w:eastAsia="en-US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eastAsia="Calibri"/>
          <w:sz w:val="20"/>
          <w:szCs w:val="20"/>
          <w:lang w:eastAsia="en-US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</w:t>
      </w:r>
      <w:r>
        <w:rPr>
          <w:rFonts w:eastAsia="Calibri"/>
          <w:sz w:val="20"/>
          <w:szCs w:val="20"/>
          <w:lang w:eastAsia="en-US"/>
        </w:rPr>
        <w:t xml:space="preserve"> № 22-68850-00358-Р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eastAsia="Calibri"/>
          <w:sz w:val="20"/>
          <w:szCs w:val="20"/>
          <w:lang w:eastAsia="en-US"/>
        </w:rPr>
        <w:t xml:space="preserve"> –Решение № 358-Р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экономического развития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 </w:t>
      </w:r>
      <w:r>
        <w:rPr>
          <w:rFonts w:eastAsia="Calibri"/>
          <w:sz w:val="20"/>
          <w:szCs w:val="20"/>
          <w:lang w:eastAsia="en-US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rFonts w:eastAsia="Calibri"/>
          <w:sz w:val="20"/>
          <w:szCs w:val="20"/>
          <w:lang w:eastAsia="en-US"/>
        </w:rPr>
        <w:t xml:space="preserve">- Решение № 1201-Р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1780.».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</w:t>
      </w:r>
      <w:r>
        <w:rPr>
          <w:rFonts w:eastAsia="Calibri"/>
          <w:sz w:val="18"/>
          <w:szCs w:val="18"/>
          <w:lang w:eastAsia="en-US"/>
        </w:rPr>
        <w:t xml:space="preserve">ия субсидии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</w:t>
      </w:r>
      <w:r>
        <w:rPr>
          <w:rFonts w:eastAsia="Calibri"/>
          <w:sz w:val="18"/>
          <w:szCs w:val="18"/>
          <w:lang w:eastAsia="en-US"/>
        </w:rPr>
        <w:t xml:space="preserve">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</w:t>
      </w:r>
      <w:r>
        <w:rPr>
          <w:rFonts w:eastAsia="Calibri"/>
          <w:sz w:val="18"/>
          <w:szCs w:val="18"/>
          <w:lang w:eastAsia="en-US"/>
        </w:rPr>
        <w:t xml:space="preserve">53-Р), принятого в соответствии с </w:t>
      </w:r>
      <w:r>
        <w:rPr>
          <w:rFonts w:eastAsia="Calibri"/>
          <w:sz w:val="18"/>
          <w:szCs w:val="18"/>
          <w:lang w:eastAsia="en-US"/>
        </w:rPr>
        <w:t xml:space="preserve">ПП</w:t>
      </w:r>
      <w:r>
        <w:rPr>
          <w:rFonts w:eastAsia="Calibri"/>
          <w:sz w:val="18"/>
          <w:szCs w:val="18"/>
          <w:lang w:eastAsia="en-US"/>
        </w:rPr>
        <w:t xml:space="preserve">РФ от 25.10.2023 </w:t>
      </w:r>
      <w:r>
        <w:rPr>
          <w:rFonts w:eastAsia="Calibri"/>
          <w:sz w:val="18"/>
          <w:szCs w:val="18"/>
          <w:lang w:eastAsia="en-US"/>
        </w:rPr>
        <w:t xml:space="preserve">№ 1780.</w:t>
      </w:r>
      <w:r>
        <w:rPr>
          <w:rFonts w:eastAsia="Calibri"/>
          <w:sz w:val="18"/>
          <w:szCs w:val="18"/>
          <w:lang w:eastAsia="en-US"/>
        </w:rPr>
        <w:t xml:space="preserve">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18"/>
          <w:szCs w:val="18"/>
          <w:lang w:eastAsia="en-US"/>
        </w:rPr>
        <w:outlineLvl w:val="5"/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</w:t>
      </w:r>
      <w:r>
        <w:rPr>
          <w:rFonts w:eastAsia="Calibri"/>
          <w:sz w:val="18"/>
          <w:szCs w:val="18"/>
          <w:lang w:eastAsia="en-US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eastAsia="Calibri"/>
          <w:sz w:val="18"/>
          <w:szCs w:val="18"/>
          <w:lang w:eastAsia="en-US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eastAsia="Calibri"/>
          <w:sz w:val="18"/>
          <w:szCs w:val="18"/>
          <w:lang w:eastAsia="en-US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eastAsia="Calibri"/>
          <w:sz w:val="18"/>
          <w:szCs w:val="18"/>
          <w:lang w:eastAsia="en-US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eastAsia="Calibri"/>
          <w:sz w:val="18"/>
          <w:szCs w:val="18"/>
          <w:lang w:eastAsia="en-US"/>
        </w:rPr>
        <w:br/>
        <w:t xml:space="preserve">№ 1780.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3.2. Таблицу «Перечень льготных программ» изложить в следующей редакции: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No 2070-Р (в рамках ППРФ</w:t>
            </w:r>
            <w:r/>
          </w:p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от 25.10.2023 No 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No 2070-Р (в рамках ППРФ</w:t>
            </w:r>
            <w:r/>
          </w:p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от 25.10.2023 No 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pStyle w:val="1114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tabs>
          <w:tab w:val="left" w:pos="2188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ind w:firstLine="0"/>
        <w:spacing w:before="0" w:after="0"/>
        <w:rPr>
          <w:lang w:eastAsia="en-US"/>
        </w:rPr>
      </w:pPr>
      <w:r/>
      <w:bookmarkStart w:id="10" w:name="_Toc10"/>
      <w:r>
        <w:rPr>
          <w:lang w:eastAsia="en-US"/>
        </w:rPr>
        <w:t xml:space="preserve">13.</w:t>
      </w:r>
      <w:r>
        <w:rPr>
          <w:lang w:eastAsia="en-US"/>
        </w:rPr>
        <w:t xml:space="preserve"> </w:t>
      </w:r>
      <w:r>
        <w:rPr>
          <w:lang w:eastAsia="en-US"/>
        </w:rPr>
        <w:t xml:space="preserve">Обслуживание торгово-сервисных предприятий</w:t>
      </w:r>
      <w:r>
        <w:rPr>
          <w:lang w:eastAsia="en-US"/>
        </w:rPr>
        <w:t xml:space="preserve">*</w:t>
      </w:r>
      <w:r>
        <w:rPr>
          <w:lang w:eastAsia="en-US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  <w:bookmarkEnd w:id="10"/>
      <w:r/>
      <w:r>
        <w:rPr>
          <w:lang w:eastAsia="en-US"/>
        </w:rPr>
      </w:r>
    </w:p>
    <w:tbl>
      <w:tblPr>
        <w:tblW w:w="102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69"/>
        <w:gridCol w:w="1985"/>
        <w:gridCol w:w="3545"/>
      </w:tblGrid>
      <w:tr>
        <w:tblPrEx/>
        <w:trPr>
          <w:trHeight w:val="227"/>
          <w:tblHeader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23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</w:t>
            </w:r>
            <w:r>
              <w:rPr>
                <w:sz w:val="20"/>
                <w:szCs w:val="20"/>
              </w:rPr>
              <w:t xml:space="preserve">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color w:val="000000"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«Россельхозбанк», </w:t>
            </w:r>
            <w:r>
              <w:rPr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</w:t>
            </w:r>
            <w:r>
              <w:rPr>
                <w:iCs/>
                <w:color w:val="000000"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эквайрингового</w:t>
            </w:r>
            <w:r>
              <w:rPr>
                <w:iCs/>
                <w:color w:val="000000"/>
                <w:sz w:val="20"/>
                <w:szCs w:val="20"/>
              </w:rPr>
              <w:t xml:space="preserve"> обслуживания клиентов АО «Россельхозбанк»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iCs/>
                <w:color w:val="000000"/>
                <w:sz w:val="20"/>
                <w:szCs w:val="20"/>
              </w:rPr>
              <w:t xml:space="preserve">UnionPay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W w:w="1850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77"/>
        <w:gridCol w:w="8131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7" w:type="dxa"/>
            <w:textDirection w:val="lrTb"/>
            <w:noWrap w:val="false"/>
          </w:tcPr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83"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в рамках одного регионального филиала Банка/внутреннего структурного подразделения Банка и ранее действующие Договоры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были расторгнуты Клиентом/Банком более 3 месяцев назад.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31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</w:tr>
    </w:tbl>
    <w:p>
      <w:r/>
      <w:r/>
    </w:p>
    <w:tbl>
      <w:tblPr>
        <w:tblW w:w="10804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969"/>
        <w:gridCol w:w="1985"/>
        <w:gridCol w:w="3545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комиссионного вознаграждения может быть изменен в сторону увеличения.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</w:t>
            </w:r>
            <w:r>
              <w:t xml:space="preserve"> осуществление операций </w:t>
            </w:r>
            <w: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«Россельхозбанк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13.4.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13.5.1.1.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Государственные платежи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 операции, но не более 1 500 руб. за операцию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13.5.1.3.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13.6.2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28"/>
        </w:rPr>
        <w:t xml:space="preserve"> </w:t>
      </w:r>
      <w:r>
        <w:rPr>
          <w:sz w:val="18"/>
          <w:szCs w:val="16"/>
        </w:rPr>
        <w:t xml:space="preserve">Под торгово-сервисным предприятием (ТСП) для целей настоящего р</w:t>
      </w:r>
      <w:r>
        <w:rPr>
          <w:sz w:val="18"/>
          <w:szCs w:val="16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18"/>
          <w:szCs w:val="16"/>
        </w:rPr>
        <w:t xml:space="preserve">эквайринга</w:t>
      </w:r>
      <w:r>
        <w:rPr>
          <w:sz w:val="18"/>
          <w:szCs w:val="16"/>
        </w:rPr>
        <w:t xml:space="preserve"> или договор, предусматривающий обслуживание в сервисе быстрых платежей платежной системы Банка России».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Примечание: Обслуживание бюджетных учреждений, принимающих к оплате платежные карты, осуществляется бесплатно.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rStyle w:val="1096"/>
        </w:rPr>
        <w:t xml:space="preserve">14.Депозитарные услуги</w:t>
      </w:r>
      <w:r>
        <w:rPr>
          <w:b/>
          <w:lang w:eastAsia="en-US"/>
        </w:rPr>
        <w:t xml:space="preserve">**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0"/>
        <w:gridCol w:w="3827"/>
        <w:gridCol w:w="1134"/>
        <w:gridCol w:w="43"/>
        <w:gridCol w:w="949"/>
        <w:gridCol w:w="3402"/>
      </w:tblGrid>
      <w:tr>
        <w:tblPrEx/>
        <w:trPr>
          <w:trHeight w:val="227"/>
          <w:tblHeader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в НКО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</w:t>
            </w:r>
            <w:r>
              <w:rPr>
                <w:sz w:val="20"/>
                <w:szCs w:val="20"/>
              </w:rPr>
              <w:t xml:space="preserve">имо от количества ценных бумаг.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35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</w:t>
            </w:r>
            <w:r>
              <w:rPr>
                <w:bCs/>
                <w:sz w:val="20"/>
                <w:szCs w:val="20"/>
              </w:rPr>
              <w:t xml:space="preserve">ет </w:t>
            </w:r>
            <w:r>
              <w:rPr>
                <w:bCs/>
                <w:sz w:val="20"/>
                <w:szCs w:val="20"/>
              </w:rPr>
              <w:t xml:space="preserve">на торговом счете ДЕПО</w:t>
            </w:r>
            <w:r>
              <w:rPr>
                <w:bCs/>
                <w:sz w:val="20"/>
                <w:szCs w:val="20"/>
              </w:rPr>
              <w:t xml:space="preserve">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</w:t>
            </w:r>
            <w:r>
              <w:rPr>
                <w:bCs/>
                <w:iCs/>
                <w:sz w:val="20"/>
                <w:szCs w:val="20"/>
              </w:rPr>
              <w:t xml:space="preserve">«Россельхозбанк»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127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</w:t>
            </w:r>
            <w:r>
              <w:rPr>
                <w:color w:val="000000"/>
                <w:sz w:val="18"/>
                <w:szCs w:val="18"/>
              </w:rPr>
              <w:t xml:space="preserve">редневзвешенн</w:t>
            </w:r>
            <w:r>
              <w:rPr>
                <w:color w:val="000000"/>
                <w:sz w:val="18"/>
                <w:szCs w:val="18"/>
              </w:rPr>
              <w:t xml:space="preserve">ая </w:t>
            </w:r>
            <w:r>
              <w:rPr>
                <w:color w:val="000000"/>
                <w:sz w:val="18"/>
                <w:szCs w:val="18"/>
              </w:rPr>
              <w:t xml:space="preserve">стоимост</w:t>
            </w:r>
            <w:r>
              <w:rPr>
                <w:color w:val="000000"/>
                <w:sz w:val="18"/>
                <w:szCs w:val="18"/>
              </w:rPr>
              <w:t xml:space="preserve">ь</w:t>
            </w:r>
            <w:r>
              <w:rPr>
                <w:rStyle w:val="1109"/>
                <w:sz w:val="20"/>
                <w:szCs w:val="20"/>
              </w:rPr>
              <w:footnoteReference w:id="6"/>
            </w:r>
            <w:r>
              <w:rPr>
                <w:color w:val="000000"/>
                <w:sz w:val="18"/>
                <w:szCs w:val="18"/>
              </w:rPr>
              <w:t xml:space="preserve"> ценных бумаг </w:t>
            </w:r>
            <w:r>
              <w:rPr>
                <w:color w:val="000000"/>
                <w:sz w:val="18"/>
                <w:szCs w:val="18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млрд. руб.)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за исключением </w:t>
            </w:r>
            <w:r>
              <w:rPr>
                <w:bCs/>
                <w:sz w:val="20"/>
                <w:szCs w:val="20"/>
              </w:rPr>
              <w:t xml:space="preserve">паев</w:t>
            </w:r>
            <w:r>
              <w:rPr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115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1115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1115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«Россельхозбанк» в реестрах/на </w:t>
            </w:r>
            <w:r>
              <w:rPr>
                <w:sz w:val="20"/>
                <w:szCs w:val="20"/>
              </w:rPr>
              <w:t xml:space="preserve">междепозитарные</w:t>
            </w:r>
            <w:r>
              <w:rPr>
                <w:sz w:val="20"/>
                <w:szCs w:val="20"/>
              </w:rPr>
              <w:t xml:space="preserve"> счета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«Россельхозбанк» в реестрах/</w:t>
            </w:r>
            <w:r>
              <w:rPr>
                <w:sz w:val="20"/>
                <w:szCs w:val="20"/>
              </w:rPr>
              <w:t xml:space="preserve">междепозитарных</w:t>
            </w:r>
            <w:r>
              <w:rPr>
                <w:sz w:val="20"/>
                <w:szCs w:val="20"/>
              </w:rPr>
              <w:t xml:space="preserve">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top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ЦБ РФ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  <w:t xml:space="preserve">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14.8.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rFonts w:eastAsia="Arial Unicode MS"/>
                <w:sz w:val="16"/>
                <w:szCs w:val="16"/>
              </w:rPr>
            </w:r>
            <w:r>
              <w:rPr>
                <w:rFonts w:eastAsia="Arial Unicode MS"/>
                <w:sz w:val="16"/>
                <w:szCs w:val="16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tabs>
          <w:tab w:val="center" w:pos="1260" w:leader="none"/>
          <w:tab w:val="right" w:pos="9355" w:leader="none"/>
        </w:tabs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 Порядок расчета и взимания комиссии осуществляется на основании Условий осуществления депозитарной деятельности</w:t>
      </w: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87"/>
      </w:pPr>
      <w:r/>
      <w:bookmarkStart w:id="11" w:name="_Toc11"/>
      <w:r>
        <w:t xml:space="preserve">15. Операции с монетами из драгоценных металлов</w:t>
      </w:r>
      <w:r/>
      <w:bookmarkEnd w:id="11"/>
      <w:r/>
      <w:r/>
    </w:p>
    <w:p>
      <w:pPr>
        <w:jc w:val="center"/>
        <w:tabs>
          <w:tab w:val="left" w:pos="3460" w:leader="none"/>
        </w:tabs>
      </w:pPr>
      <w:r/>
      <w:r/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8"/>
        <w:gridCol w:w="2552"/>
        <w:gridCol w:w="3118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1087"/>
        <w:rPr>
          <w:lang w:eastAsia="en-US"/>
        </w:rPr>
      </w:pPr>
      <w:r/>
      <w:bookmarkStart w:id="12" w:name="_Toc12"/>
      <w:r>
        <w:rPr>
          <w:lang w:eastAsia="en-US"/>
        </w:rPr>
        <w:t xml:space="preserve">16. Операции с драгоценными металлами</w:t>
      </w:r>
      <w:r/>
      <w:bookmarkEnd w:id="12"/>
      <w:r/>
      <w:r>
        <w:rPr>
          <w:lang w:eastAsia="en-US"/>
        </w:rPr>
      </w:r>
    </w:p>
    <w:tbl>
      <w:tblPr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160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В российских рублях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16.1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Ведение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Ежемесячное обслуживание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дубликата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справки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16.2.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Операции по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footnoteReference w:id="7"/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Прием слитков драгоценных металлов для зачисления на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  <w:t xml:space="preserve">**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Выдача слитков драгоценных металлов со списанием с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0,05 %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8"/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0,50 %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tabs>
          <w:tab w:val="left" w:pos="3460" w:leader="none"/>
        </w:tabs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>
      <w:pPr>
        <w:tabs>
          <w:tab w:val="left" w:pos="3460" w:leader="none"/>
        </w:tabs>
        <w:rPr>
          <w:rStyle w:val="1100"/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  <w:r>
        <w:rPr>
          <w:rStyle w:val="1100"/>
          <w:i/>
          <w:sz w:val="18"/>
          <w:szCs w:val="18"/>
        </w:rPr>
      </w:r>
    </w:p>
    <w:p>
      <w:pPr>
        <w:pStyle w:val="1087"/>
      </w:pPr>
      <w:r/>
      <w:bookmarkStart w:id="13" w:name="_Toc13"/>
      <w:r>
        <w:t xml:space="preserve">17. Обслуживание с использованием Торговой системы РСХБ-</w:t>
      </w:r>
      <w:r>
        <w:t xml:space="preserve">Дилинг</w:t>
      </w:r>
      <w:r>
        <w:t xml:space="preserve"> АО «Россельхозбанк», Торговой системы РСХБ-</w:t>
      </w:r>
      <w:r>
        <w:t xml:space="preserve">Дилинг</w:t>
      </w:r>
      <w:r>
        <w:t xml:space="preserve"> 2.0</w:t>
      </w:r>
      <w:r/>
      <w:bookmarkEnd w:id="1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3"/>
        <w:gridCol w:w="2969"/>
        <w:gridCol w:w="1839"/>
        <w:gridCol w:w="4242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09"/>
                <w:bCs/>
                <w:sz w:val="20"/>
                <w:szCs w:val="20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18 «Операции с использованием цифрового рубля»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(включительно).».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  <w:sz w:val="20"/>
          <w:szCs w:val="20"/>
          <w:highlight w:val="none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В случае если на момент оказания услуги клиент не имеет счетов, открыт</w:t>
      </w:r>
      <w:r>
        <w:rPr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  <w:highlight w:val="none"/>
        </w:rPr>
      </w:pPr>
      <w:r>
        <w:rPr>
          <w:b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sectPr>
          <w:headerReference w:type="default" r:id="rId9"/>
          <w:footnotePr>
            <w:numRestart w:val="eachPage"/>
          </w:footnotePr>
          <w:endnotePr/>
          <w:type w:val="continuous"/>
          <w:pgSz w:w="11906" w:h="16838" w:orient="portrait"/>
          <w:pgMar w:top="426" w:right="720" w:bottom="1135" w:left="993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  <w:sz w:val="20"/>
          <w:szCs w:val="20"/>
        </w:rPr>
      </w:r>
      <w:r/>
    </w:p>
    <w:tbl>
      <w:tblPr>
        <w:tblW w:w="1488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918"/>
        <w:gridCol w:w="783"/>
        <w:gridCol w:w="943"/>
        <w:gridCol w:w="866"/>
        <w:gridCol w:w="743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1100"/>
      </w:tblGrid>
      <w:tr>
        <w:tblPrEx/>
        <w:trPr>
          <w:trHeight w:val="10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Приложение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к Тарифам комиссионного вознаграждени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  <w:t xml:space="preserve">(приказ АО «Россельхозбанк» от 01.08.2013 № 386-ОД)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Наименование профиля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Государственные и коммунальные услуги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Фаст фуд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Супермаркет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АЗС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Медицина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Аптеки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Прочие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МСС-код, соответствующий профилю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4900, 9399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5814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5411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5541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4119, 5047, 5975, 5976, 8011, 8021, 8031, 8041, 8042, 8043, 8049, 8050, 8062,  8071, 8099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5912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Размер финансового оборота (в месяц на один электронный термин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ал, 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(ежемесячно,ру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операции)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до 100 000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1 330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2,20%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2,35%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100 001- 300 000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300 001-500 000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600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500 001-1000 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2,19%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1 000 001 и более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      <w:br/>
              <w:t xml:space="preserve">с МСС-кодом) и среднего оборота от расчетов по банковским картам в предыдущем календарном 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есяце, приходящегося на один э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лектронный терминал/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сервис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SoftPOS решение»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**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«Комиссия за технологическое взаимодействие - фиксированная величина, оплачиваемая клиентом, за каждый электронный терминал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(комиссия за технологическое взаимодействие для сервиса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SoftPOS решение»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взимается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8"/>
                <w:szCs w:val="18"/>
              </w:rPr>
            </w:r>
            <w:r>
              <w:rPr>
                <w:rFonts w:ascii="Calibri" w:hAnsi="Calibri" w:eastAsia="Calibri"/>
                <w:color w:val="000000"/>
                <w:sz w:val="18"/>
                <w:szCs w:val="18"/>
              </w:rPr>
            </w:r>
            <w:r>
              <w:rPr>
                <w:rFonts w:ascii="Calibri" w:hAnsi="Calibri" w:eastAsia="Calibri"/>
                <w:color w:val="000000"/>
                <w:sz w:val="18"/>
                <w:szCs w:val="18"/>
              </w:rPr>
            </w:r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footnotePr>
        <w:numRestart w:val="eachPage"/>
      </w:footnotePr>
      <w:endnotePr/>
      <w:type w:val="nextPage"/>
      <w:pgSz w:w="16838" w:h="11906" w:orient="landscape"/>
      <w:pgMar w:top="993" w:right="426" w:bottom="720" w:left="113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07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07"/>
      </w:pPr>
      <w:r>
        <w:rPr>
          <w:rStyle w:val="1109"/>
          <w:rFonts w:eastAsiaTheme="minorHAnsi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07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07"/>
      </w:pPr>
      <w:r/>
      <w:r/>
    </w:p>
  </w:footnote>
  <w:footnote w:id="4">
    <w:p>
      <w:pPr>
        <w:pStyle w:val="1107"/>
        <w:jc w:val="both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107"/>
        <w:rPr>
          <w:rFonts w:ascii="Times New Roman" w:hAnsi="Times New Roman" w:cs="Times New Roman"/>
        </w:rPr>
      </w:pPr>
      <w:r>
        <w:rPr>
          <w:rStyle w:val="1109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10.2 приказа АО «Россельхозбанк» от 01.08.2013 № 386-ОД.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09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</w:t>
      </w:r>
      <w:r>
        <w:rPr>
          <w:sz w:val="18"/>
          <w:szCs w:val="18"/>
        </w:rPr>
        <w:t xml:space="preserve">ая</w:t>
      </w:r>
      <w:r>
        <w:rPr>
          <w:sz w:val="18"/>
          <w:szCs w:val="18"/>
        </w:rPr>
        <w:t xml:space="preserve"> стоимост</w:t>
      </w:r>
      <w:r>
        <w:rPr>
          <w:sz w:val="18"/>
          <w:szCs w:val="18"/>
        </w:rPr>
        <w:t xml:space="preserve">ь</w:t>
      </w:r>
      <w:r>
        <w:rPr>
          <w:sz w:val="18"/>
          <w:szCs w:val="18"/>
        </w:rPr>
        <w:t xml:space="preserve"> рассчитывае</w:t>
      </w:r>
      <w:r>
        <w:rPr>
          <w:sz w:val="18"/>
          <w:szCs w:val="18"/>
        </w:rPr>
        <w:t xml:space="preserve">тся</w:t>
      </w:r>
      <w:r>
        <w:rPr>
          <w:sz w:val="18"/>
          <w:szCs w:val="18"/>
        </w:rPr>
        <w:t xml:space="preserve"> как сумма остатков ценных бумаг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 календарным дням месяца</w:t>
      </w:r>
      <w:r>
        <w:rPr>
          <w:sz w:val="18"/>
          <w:szCs w:val="18"/>
        </w:rPr>
        <w:t xml:space="preserve"> деленная на количество дней в соответствующем месяце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Стоимость остатка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</w:rPr>
        <w:t xml:space="preserve">по каждому выпуску ценных бумаг за календарный день определяется как произведение остатка в штуках на конец дня на рыночную </w:t>
      </w:r>
      <w:r>
        <w:rPr>
          <w:bCs/>
          <w:sz w:val="18"/>
        </w:rPr>
        <w:t xml:space="preserve">стоимость (для акций и депозитарных расписок) или номинальную стоимость (для облигаций и ценных бумаг, не имеющих рыночной стоимости)</w:t>
      </w:r>
      <w:r>
        <w:rPr>
          <w:bCs/>
          <w:sz w:val="18"/>
        </w:rPr>
        <w:t xml:space="preserve"> ценных бумаг этого выпуска. </w:t>
      </w:r>
      <w:r>
        <w:rPr>
          <w:bCs/>
          <w:sz w:val="18"/>
          <w:szCs w:val="18"/>
        </w:rPr>
        <w:t xml:space="preserve">Для выходных и праздничных дней значени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 остатка</w:t>
      </w:r>
      <w:r>
        <w:rPr>
          <w:bCs/>
          <w:sz w:val="18"/>
          <w:szCs w:val="18"/>
        </w:rPr>
        <w:t xml:space="preserve"> ценных бумаг</w:t>
      </w:r>
      <w:r>
        <w:rPr>
          <w:bCs/>
          <w:sz w:val="18"/>
          <w:szCs w:val="18"/>
        </w:rPr>
        <w:t xml:space="preserve"> принима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тся равным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значени</w:t>
      </w:r>
      <w:r>
        <w:rPr>
          <w:bCs/>
          <w:sz w:val="18"/>
          <w:szCs w:val="18"/>
        </w:rPr>
        <w:t xml:space="preserve">ю</w:t>
      </w:r>
      <w:r>
        <w:rPr>
          <w:bCs/>
          <w:sz w:val="18"/>
          <w:szCs w:val="18"/>
        </w:rPr>
        <w:t xml:space="preserve">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1107"/>
        <w:jc w:val="both"/>
        <w:rPr>
          <w:i/>
          <w:sz w:val="20"/>
          <w:szCs w:val="20"/>
        </w:rPr>
      </w:pPr>
      <w:r>
        <w:rPr>
          <w:rStyle w:val="1109"/>
          <w:rFonts w:eastAsiaTheme="majorEastAsia"/>
        </w:rPr>
        <w:footnoteRef/>
      </w:r>
      <w:r>
        <w:t xml:space="preserve"> </w:t>
      </w:r>
      <w:r>
        <w:rPr>
          <w:i/>
          <w:sz w:val="20"/>
          <w:szCs w:val="20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10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  <w:sz w:val="20"/>
          <w:szCs w:val="20"/>
        </w:rPr>
        <w:t xml:space="preserve">Здесь и далее стандартные слитки, изготовленные аффинажной организацией, соответствующей стандартам 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», должна быть включена в специальный список («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List</w:t>
      </w:r>
      <w:r>
        <w:rPr>
          <w:i/>
          <w:sz w:val="20"/>
          <w:szCs w:val="20"/>
        </w:rPr>
        <w:t xml:space="preserve">», GDL) Лондонской Ассоциации Участников Рынка драгоценных металлов («</w:t>
      </w:r>
      <w:r>
        <w:rPr>
          <w:i/>
          <w:sz w:val="20"/>
          <w:szCs w:val="20"/>
        </w:rPr>
        <w:t xml:space="preserve">London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Bullion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Market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Association</w:t>
      </w:r>
      <w:r>
        <w:rPr>
          <w:i/>
          <w:sz w:val="20"/>
          <w:szCs w:val="20"/>
        </w:rPr>
        <w:t xml:space="preserve">», LBMA), </w:t>
      </w:r>
      <w:hyperlink r:id="rId1" w:tooltip="http://www.lbma.org.uk" w:history="1">
        <w:r>
          <w:rPr>
            <w:rStyle w:val="1100"/>
            <w:rFonts w:cstheme="minorBidi"/>
            <w:i/>
            <w:sz w:val="20"/>
            <w:szCs w:val="20"/>
          </w:rPr>
          <w:t xml:space="preserve">www.lbma.org.uk</w:t>
        </w:r>
      </w:hyperlink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</w:footnote>
  <w:footnote w:id="8">
    <w:p>
      <w:pPr>
        <w:pStyle w:val="1107"/>
        <w:jc w:val="both"/>
        <w:rPr>
          <w:i/>
        </w:rPr>
      </w:pPr>
      <w:r>
        <w:rPr>
          <w:rStyle w:val="1109"/>
          <w:rFonts w:eastAsiaTheme="majorEastAsia"/>
          <w:i/>
        </w:rPr>
        <w:footnoteRef/>
      </w:r>
      <w:r>
        <w:rPr>
          <w:i/>
        </w:rPr>
        <w:t xml:space="preserve"> </w:t>
      </w:r>
      <w:r>
        <w:rPr>
          <w:i/>
          <w:color w:val="000000"/>
        </w:rPr>
        <w:t xml:space="preserve">Стоимость драгоценного металла здесь и далее определяется как произведение массы драгоценного металла, зачисляемого на </w:t>
      </w:r>
      <w:r>
        <w:rPr>
          <w:bCs/>
          <w:i/>
          <w:color w:val="000000"/>
        </w:rPr>
        <w:t xml:space="preserve">банковский счет в драгоценных металлах</w:t>
      </w:r>
      <w:r>
        <w:rPr>
          <w:i/>
          <w:color w:val="000000"/>
        </w:rPr>
        <w:t xml:space="preserve"> (выдаваемого с </w:t>
      </w:r>
      <w:r>
        <w:rPr>
          <w:bCs/>
          <w:i/>
          <w:color w:val="000000"/>
        </w:rPr>
        <w:t xml:space="preserve">банковского счета в драгоценных металлах</w:t>
      </w:r>
      <w:r>
        <w:rPr>
          <w:i/>
          <w:color w:val="000000"/>
        </w:rPr>
        <w:t xml:space="preserve">), и учетной цены драгоценного металла, установленной Банком России на день совершения операции.</w:t>
      </w:r>
      <w:r>
        <w:rPr>
          <w:i/>
        </w:rPr>
      </w:r>
      <w:r>
        <w:rPr>
          <w:i/>
        </w:rPr>
      </w:r>
    </w:p>
  </w:footnote>
  <w:footnote w:id="9">
    <w:p>
      <w:pPr>
        <w:jc w:val="both"/>
        <w:rPr>
          <w:bCs/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0">
    <w:p>
      <w:pPr>
        <w:jc w:val="both"/>
        <w:rPr>
          <w:sz w:val="18"/>
          <w:szCs w:val="18"/>
        </w:rPr>
      </w:pPr>
      <w:r>
        <w:rPr>
          <w:rStyle w:val="110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006299"/>
      <w:docPartObj>
        <w:docPartGallery w:val="Page Numbers (Top of Page)"/>
        <w:docPartUnique w:val="true"/>
      </w:docPartObj>
      <w:rPr/>
    </w:sdtPr>
    <w:sdtContent>
      <w:p>
        <w:pPr>
          <w:pStyle w:val="110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80</w:t>
        </w:r>
        <w:r>
          <w:fldChar w:fldCharType="end"/>
        </w:r>
        <w:r/>
      </w:p>
    </w:sdtContent>
  </w:sdt>
  <w:p>
    <w:pPr>
      <w:pStyle w:val="11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3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5" w:hanging="255"/>
        <w:tabs>
          <w:tab w:val="num" w:pos="255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  <w:tabs>
          <w:tab w:val="num" w:pos="731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  <w:tabs>
          <w:tab w:val="num" w:pos="14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  <w:tabs>
          <w:tab w:val="num" w:pos="217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  <w:tabs>
          <w:tab w:val="num" w:pos="289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  <w:tabs>
          <w:tab w:val="num" w:pos="361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  <w:tabs>
          <w:tab w:val="num" w:pos="433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  <w:tabs>
          <w:tab w:val="num" w:pos="505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  <w:tabs>
          <w:tab w:val="num" w:pos="5771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3">
    <w:name w:val="Heading 1 Char"/>
    <w:basedOn w:val="1089"/>
    <w:link w:val="1087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86"/>
    <w:next w:val="1086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basedOn w:val="1089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86"/>
    <w:next w:val="1086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basedOn w:val="1089"/>
    <w:link w:val="926"/>
    <w:uiPriority w:val="9"/>
    <w:rPr>
      <w:rFonts w:ascii="Arial" w:hAnsi="Arial" w:eastAsia="Arial" w:cs="Arial"/>
      <w:sz w:val="30"/>
      <w:szCs w:val="30"/>
    </w:rPr>
  </w:style>
  <w:style w:type="character" w:styleId="928">
    <w:name w:val="Heading 4 Char"/>
    <w:basedOn w:val="1089"/>
    <w:link w:val="1088"/>
    <w:uiPriority w:val="9"/>
    <w:rPr>
      <w:rFonts w:ascii="Arial" w:hAnsi="Arial" w:eastAsia="Arial" w:cs="Arial"/>
      <w:b/>
      <w:bCs/>
      <w:sz w:val="26"/>
      <w:szCs w:val="26"/>
    </w:rPr>
  </w:style>
  <w:style w:type="paragraph" w:styleId="929">
    <w:name w:val="Heading 5"/>
    <w:basedOn w:val="1086"/>
    <w:next w:val="1086"/>
    <w:link w:val="9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0">
    <w:name w:val="Heading 5 Char"/>
    <w:basedOn w:val="1089"/>
    <w:link w:val="929"/>
    <w:uiPriority w:val="9"/>
    <w:rPr>
      <w:rFonts w:ascii="Arial" w:hAnsi="Arial" w:eastAsia="Arial" w:cs="Arial"/>
      <w:b/>
      <w:bCs/>
      <w:sz w:val="24"/>
      <w:szCs w:val="24"/>
    </w:rPr>
  </w:style>
  <w:style w:type="paragraph" w:styleId="931">
    <w:name w:val="Heading 6"/>
    <w:basedOn w:val="1086"/>
    <w:next w:val="1086"/>
    <w:link w:val="9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2">
    <w:name w:val="Heading 6 Char"/>
    <w:basedOn w:val="1089"/>
    <w:link w:val="931"/>
    <w:uiPriority w:val="9"/>
    <w:rPr>
      <w:rFonts w:ascii="Arial" w:hAnsi="Arial" w:eastAsia="Arial" w:cs="Arial"/>
      <w:b/>
      <w:bCs/>
      <w:sz w:val="22"/>
      <w:szCs w:val="22"/>
    </w:rPr>
  </w:style>
  <w:style w:type="paragraph" w:styleId="933">
    <w:name w:val="Heading 7"/>
    <w:basedOn w:val="1086"/>
    <w:next w:val="1086"/>
    <w:link w:val="9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>
    <w:name w:val="Heading 7 Char"/>
    <w:basedOn w:val="1089"/>
    <w:link w:val="9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5">
    <w:name w:val="Heading 8"/>
    <w:basedOn w:val="1086"/>
    <w:next w:val="1086"/>
    <w:link w:val="9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6">
    <w:name w:val="Heading 8 Char"/>
    <w:basedOn w:val="1089"/>
    <w:link w:val="935"/>
    <w:uiPriority w:val="9"/>
    <w:rPr>
      <w:rFonts w:ascii="Arial" w:hAnsi="Arial" w:eastAsia="Arial" w:cs="Arial"/>
      <w:i/>
      <w:iCs/>
      <w:sz w:val="22"/>
      <w:szCs w:val="22"/>
    </w:rPr>
  </w:style>
  <w:style w:type="paragraph" w:styleId="937">
    <w:name w:val="Heading 9"/>
    <w:basedOn w:val="1086"/>
    <w:next w:val="1086"/>
    <w:link w:val="9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8">
    <w:name w:val="Heading 9 Char"/>
    <w:basedOn w:val="1089"/>
    <w:link w:val="937"/>
    <w:uiPriority w:val="9"/>
    <w:rPr>
      <w:rFonts w:ascii="Arial" w:hAnsi="Arial" w:eastAsia="Arial" w:cs="Arial"/>
      <w:i/>
      <w:iCs/>
      <w:sz w:val="21"/>
      <w:szCs w:val="21"/>
    </w:rPr>
  </w:style>
  <w:style w:type="paragraph" w:styleId="939">
    <w:name w:val="No Spacing"/>
    <w:uiPriority w:val="1"/>
    <w:qFormat/>
    <w:pPr>
      <w:spacing w:before="0" w:after="0" w:line="240" w:lineRule="auto"/>
    </w:pPr>
  </w:style>
  <w:style w:type="character" w:styleId="940">
    <w:name w:val="Title Char"/>
    <w:basedOn w:val="1089"/>
    <w:link w:val="1094"/>
    <w:uiPriority w:val="10"/>
    <w:rPr>
      <w:sz w:val="48"/>
      <w:szCs w:val="48"/>
    </w:rPr>
  </w:style>
  <w:style w:type="paragraph" w:styleId="941">
    <w:name w:val="Subtitle"/>
    <w:basedOn w:val="1086"/>
    <w:next w:val="1086"/>
    <w:link w:val="942"/>
    <w:uiPriority w:val="11"/>
    <w:qFormat/>
    <w:pPr>
      <w:spacing w:before="200" w:after="200"/>
    </w:pPr>
    <w:rPr>
      <w:sz w:val="24"/>
      <w:szCs w:val="24"/>
    </w:rPr>
  </w:style>
  <w:style w:type="character" w:styleId="942">
    <w:name w:val="Subtitle Char"/>
    <w:basedOn w:val="1089"/>
    <w:link w:val="941"/>
    <w:uiPriority w:val="11"/>
    <w:rPr>
      <w:sz w:val="24"/>
      <w:szCs w:val="24"/>
    </w:rPr>
  </w:style>
  <w:style w:type="paragraph" w:styleId="943">
    <w:name w:val="Quote"/>
    <w:basedOn w:val="1086"/>
    <w:next w:val="1086"/>
    <w:link w:val="944"/>
    <w:uiPriority w:val="29"/>
    <w:qFormat/>
    <w:pPr>
      <w:ind w:left="720" w:right="720"/>
    </w:pPr>
    <w:rPr>
      <w:i/>
    </w:rPr>
  </w:style>
  <w:style w:type="character" w:styleId="944">
    <w:name w:val="Quote Char"/>
    <w:link w:val="943"/>
    <w:uiPriority w:val="29"/>
    <w:rPr>
      <w:i/>
    </w:rPr>
  </w:style>
  <w:style w:type="paragraph" w:styleId="945">
    <w:name w:val="Intense Quote"/>
    <w:basedOn w:val="1086"/>
    <w:next w:val="1086"/>
    <w:link w:val="9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6">
    <w:name w:val="Intense Quote Char"/>
    <w:link w:val="945"/>
    <w:uiPriority w:val="30"/>
    <w:rPr>
      <w:i/>
    </w:rPr>
  </w:style>
  <w:style w:type="character" w:styleId="947">
    <w:name w:val="Header Char"/>
    <w:basedOn w:val="1089"/>
    <w:link w:val="1102"/>
    <w:uiPriority w:val="99"/>
  </w:style>
  <w:style w:type="character" w:styleId="948">
    <w:name w:val="Footer Char"/>
    <w:basedOn w:val="1089"/>
    <w:link w:val="1104"/>
    <w:uiPriority w:val="99"/>
  </w:style>
  <w:style w:type="paragraph" w:styleId="949">
    <w:name w:val="Caption"/>
    <w:basedOn w:val="1086"/>
    <w:next w:val="10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0">
    <w:name w:val="Caption Char"/>
    <w:basedOn w:val="949"/>
    <w:link w:val="1104"/>
    <w:uiPriority w:val="99"/>
  </w:style>
  <w:style w:type="table" w:styleId="951">
    <w:name w:val="Table Grid Light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Plain Table 1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2"/>
    <w:basedOn w:val="10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4">
    <w:name w:val="Plain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5">
    <w:name w:val="Plain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Plain Table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7">
    <w:name w:val="Grid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9">
    <w:name w:val="Grid Table 4 - Accent 1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0">
    <w:name w:val="Grid Table 4 - Accent 2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Grid Table 4 - Accent 3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2">
    <w:name w:val="Grid Table 4 - Accent 4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Grid Table 4 - Accent 5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4">
    <w:name w:val="Grid Table 4 - Accent 6"/>
    <w:basedOn w:val="10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5">
    <w:name w:val="Grid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6">
    <w:name w:val="Grid Table 5 Dark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8">
    <w:name w:val="Grid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9">
    <w:name w:val="Grid Table 5 Dark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2">
    <w:name w:val="Grid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3">
    <w:name w:val="Grid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4">
    <w:name w:val="Grid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5">
    <w:name w:val="Grid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6">
    <w:name w:val="Grid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7">
    <w:name w:val="Grid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8">
    <w:name w:val="Grid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9">
    <w:name w:val="Grid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4">
    <w:name w:val="List Table 2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5">
    <w:name w:val="List Table 2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6">
    <w:name w:val="List Table 2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7">
    <w:name w:val="List Table 2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8">
    <w:name w:val="List Table 2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9">
    <w:name w:val="List Table 2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0">
    <w:name w:val="List Table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5 Dark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6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2">
    <w:name w:val="List Table 6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3">
    <w:name w:val="List Table 6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4">
    <w:name w:val="List Table 6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5">
    <w:name w:val="List Table 6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6">
    <w:name w:val="List Table 6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7">
    <w:name w:val="List Table 6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8">
    <w:name w:val="List Table 7 Colorful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9">
    <w:name w:val="List Table 7 Colorful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0">
    <w:name w:val="List Table 7 Colorful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1">
    <w:name w:val="List Table 7 Colorful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2">
    <w:name w:val="List Table 7 Colorful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3">
    <w:name w:val="List Table 7 Colorful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4">
    <w:name w:val="List Table 7 Colorful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5">
    <w:name w:val="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7">
    <w:name w:val="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8">
    <w:name w:val="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9">
    <w:name w:val="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0">
    <w:name w:val="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1">
    <w:name w:val="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2">
    <w:name w:val="Bordered &amp; Lined - Accent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3">
    <w:name w:val="Bordered &amp; Lined - Accent 1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4">
    <w:name w:val="Bordered &amp; Lined - Accent 2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5">
    <w:name w:val="Bordered &amp; Lined - Accent 3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6">
    <w:name w:val="Bordered &amp; Lined - Accent 4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7">
    <w:name w:val="Bordered &amp; Lined - Accent 5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8">
    <w:name w:val="Bordered &amp; Lined - Accent 6"/>
    <w:basedOn w:val="10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9">
    <w:name w:val="Bordered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0">
    <w:name w:val="Bordered - Accent 1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1">
    <w:name w:val="Bordered - Accent 2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2">
    <w:name w:val="Bordered - Accent 3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3">
    <w:name w:val="Bordered - Accent 4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4">
    <w:name w:val="Bordered - Accent 5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5">
    <w:name w:val="Bordered - Accent 6"/>
    <w:basedOn w:val="10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6">
    <w:name w:val="Footnote Text Char"/>
    <w:link w:val="1107"/>
    <w:uiPriority w:val="99"/>
    <w:rPr>
      <w:sz w:val="18"/>
    </w:rPr>
  </w:style>
  <w:style w:type="character" w:styleId="1077">
    <w:name w:val="Endnote Text Char"/>
    <w:link w:val="1110"/>
    <w:uiPriority w:val="99"/>
    <w:rPr>
      <w:sz w:val="20"/>
    </w:rPr>
  </w:style>
  <w:style w:type="paragraph" w:styleId="1078">
    <w:name w:val="toc 3"/>
    <w:basedOn w:val="1086"/>
    <w:next w:val="1086"/>
    <w:uiPriority w:val="39"/>
    <w:unhideWhenUsed/>
    <w:pPr>
      <w:ind w:left="567" w:right="0" w:firstLine="0"/>
      <w:spacing w:after="57"/>
    </w:pPr>
  </w:style>
  <w:style w:type="paragraph" w:styleId="1079">
    <w:name w:val="toc 4"/>
    <w:basedOn w:val="1086"/>
    <w:next w:val="1086"/>
    <w:uiPriority w:val="39"/>
    <w:unhideWhenUsed/>
    <w:pPr>
      <w:ind w:left="850" w:right="0" w:firstLine="0"/>
      <w:spacing w:after="57"/>
    </w:pPr>
  </w:style>
  <w:style w:type="paragraph" w:styleId="1080">
    <w:name w:val="toc 5"/>
    <w:basedOn w:val="1086"/>
    <w:next w:val="1086"/>
    <w:uiPriority w:val="39"/>
    <w:unhideWhenUsed/>
    <w:pPr>
      <w:ind w:left="1134" w:right="0" w:firstLine="0"/>
      <w:spacing w:after="57"/>
    </w:pPr>
  </w:style>
  <w:style w:type="paragraph" w:styleId="1081">
    <w:name w:val="toc 6"/>
    <w:basedOn w:val="1086"/>
    <w:next w:val="1086"/>
    <w:uiPriority w:val="39"/>
    <w:unhideWhenUsed/>
    <w:pPr>
      <w:ind w:left="1417" w:right="0" w:firstLine="0"/>
      <w:spacing w:after="57"/>
    </w:pPr>
  </w:style>
  <w:style w:type="paragraph" w:styleId="1082">
    <w:name w:val="toc 7"/>
    <w:basedOn w:val="1086"/>
    <w:next w:val="1086"/>
    <w:uiPriority w:val="39"/>
    <w:unhideWhenUsed/>
    <w:pPr>
      <w:ind w:left="1701" w:right="0" w:firstLine="0"/>
      <w:spacing w:after="57"/>
    </w:pPr>
  </w:style>
  <w:style w:type="paragraph" w:styleId="1083">
    <w:name w:val="toc 8"/>
    <w:basedOn w:val="1086"/>
    <w:next w:val="1086"/>
    <w:uiPriority w:val="39"/>
    <w:unhideWhenUsed/>
    <w:pPr>
      <w:ind w:left="1984" w:right="0" w:firstLine="0"/>
      <w:spacing w:after="57"/>
    </w:pPr>
  </w:style>
  <w:style w:type="paragraph" w:styleId="1084">
    <w:name w:val="toc 9"/>
    <w:basedOn w:val="1086"/>
    <w:next w:val="1086"/>
    <w:uiPriority w:val="39"/>
    <w:unhideWhenUsed/>
    <w:pPr>
      <w:ind w:left="2268" w:right="0" w:firstLine="0"/>
      <w:spacing w:after="57"/>
    </w:pPr>
  </w:style>
  <w:style w:type="paragraph" w:styleId="1085">
    <w:name w:val="table of figures"/>
    <w:basedOn w:val="1086"/>
    <w:next w:val="1086"/>
    <w:uiPriority w:val="99"/>
    <w:unhideWhenUsed/>
    <w:pPr>
      <w:spacing w:after="0" w:afterAutospacing="0"/>
    </w:pPr>
  </w:style>
  <w:style w:type="paragraph" w:styleId="10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>
    <w:name w:val="Heading 1"/>
    <w:basedOn w:val="1086"/>
    <w:next w:val="1086"/>
    <w:link w:val="1096"/>
    <w:qFormat/>
    <w:pPr>
      <w:ind w:firstLine="709"/>
      <w:jc w:val="center"/>
      <w:keepNext/>
      <w:spacing w:before="240" w:after="60"/>
      <w:outlineLvl w:val="0"/>
    </w:pPr>
    <w:rPr>
      <w:b/>
      <w:bCs/>
    </w:rPr>
  </w:style>
  <w:style w:type="paragraph" w:styleId="1088">
    <w:name w:val="Heading 4"/>
    <w:basedOn w:val="1086"/>
    <w:next w:val="1086"/>
    <w:link w:val="1099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089" w:default="1">
    <w:name w:val="Default Paragraph Font"/>
    <w:uiPriority w:val="1"/>
    <w:semiHidden/>
    <w:unhideWhenUsed/>
  </w:style>
  <w:style w:type="table" w:styleId="10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1" w:default="1">
    <w:name w:val="No List"/>
    <w:uiPriority w:val="99"/>
    <w:semiHidden/>
    <w:unhideWhenUsed/>
  </w:style>
  <w:style w:type="paragraph" w:styleId="1092" w:customStyle="1">
    <w:name w:val="Без интервала1"/>
    <w:link w:val="1093"/>
    <w:pPr>
      <w:spacing w:after="0" w:line="240" w:lineRule="auto"/>
    </w:pPr>
    <w:rPr>
      <w:rFonts w:ascii="Calibri" w:hAnsi="Calibri" w:eastAsia="Times New Roman" w:cs="Times New Roman"/>
    </w:rPr>
  </w:style>
  <w:style w:type="character" w:styleId="1093" w:customStyle="1">
    <w:name w:val="No Spacing Char"/>
    <w:link w:val="1092"/>
    <w:rPr>
      <w:rFonts w:ascii="Calibri" w:hAnsi="Calibri" w:eastAsia="Times New Roman" w:cs="Times New Roman"/>
    </w:rPr>
  </w:style>
  <w:style w:type="paragraph" w:styleId="1094">
    <w:name w:val="Title"/>
    <w:basedOn w:val="1086"/>
    <w:link w:val="1095"/>
    <w:qFormat/>
    <w:pPr>
      <w:jc w:val="center"/>
    </w:pPr>
    <w:rPr>
      <w:b/>
      <w:bCs/>
      <w:sz w:val="28"/>
      <w:szCs w:val="28"/>
    </w:rPr>
  </w:style>
  <w:style w:type="character" w:styleId="1095" w:customStyle="1">
    <w:name w:val="Заголовок Знак"/>
    <w:basedOn w:val="1089"/>
    <w:link w:val="109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096" w:customStyle="1">
    <w:name w:val="Заголовок 1 Знак"/>
    <w:basedOn w:val="1089"/>
    <w:link w:val="108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97">
    <w:name w:val="Balloon Text"/>
    <w:basedOn w:val="1086"/>
    <w:link w:val="1098"/>
    <w:uiPriority w:val="99"/>
    <w:semiHidden/>
    <w:unhideWhenUsed/>
    <w:rPr>
      <w:rFonts w:ascii="Tahoma" w:hAnsi="Tahoma" w:cs="Tahoma"/>
      <w:sz w:val="16"/>
      <w:szCs w:val="16"/>
    </w:rPr>
  </w:style>
  <w:style w:type="character" w:styleId="1098" w:customStyle="1">
    <w:name w:val="Текст выноски Знак"/>
    <w:basedOn w:val="1089"/>
    <w:link w:val="109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99" w:customStyle="1">
    <w:name w:val="Заголовок 4 Знак"/>
    <w:basedOn w:val="1089"/>
    <w:link w:val="1088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1100">
    <w:name w:val="Hyperlink"/>
    <w:uiPriority w:val="99"/>
    <w:rPr>
      <w:rFonts w:cs="Times New Roman"/>
      <w:color w:val="0000ff"/>
      <w:u w:val="single"/>
    </w:rPr>
  </w:style>
  <w:style w:type="paragraph" w:styleId="1101">
    <w:name w:val="toc 1"/>
    <w:basedOn w:val="1086"/>
    <w:next w:val="1086"/>
    <w:uiPriority w:val="39"/>
    <w:pPr>
      <w:spacing w:line="360" w:lineRule="auto"/>
      <w:tabs>
        <w:tab w:val="right" w:pos="9960" w:leader="dot"/>
      </w:tabs>
    </w:pPr>
    <w:rPr>
      <w:sz w:val="22"/>
    </w:rPr>
  </w:style>
  <w:style w:type="paragraph" w:styleId="1102">
    <w:name w:val="Header"/>
    <w:basedOn w:val="1086"/>
    <w:link w:val="11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3" w:customStyle="1">
    <w:name w:val="Верхний колонтитул Знак"/>
    <w:basedOn w:val="1089"/>
    <w:link w:val="11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>
    <w:name w:val="Footer"/>
    <w:basedOn w:val="1086"/>
    <w:link w:val="11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5" w:customStyle="1">
    <w:name w:val="Нижний колонтитул Знак"/>
    <w:basedOn w:val="1089"/>
    <w:link w:val="11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6" w:customStyle="1">
    <w:name w:val="Текст сноски Знак"/>
    <w:link w:val="1107"/>
  </w:style>
  <w:style w:type="paragraph" w:styleId="1107">
    <w:name w:val="footnote text"/>
    <w:basedOn w:val="1086"/>
    <w:link w:val="1106"/>
    <w:uiPriority w:val="99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108" w:customStyle="1">
    <w:name w:val="Текст сноски Знак1"/>
    <w:basedOn w:val="108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9">
    <w:name w:val="footnote reference"/>
    <w:uiPriority w:val="99"/>
    <w:unhideWhenUsed/>
    <w:qFormat/>
    <w:rPr>
      <w:rFonts w:ascii="Times New Roman" w:hAnsi="Times New Roman" w:eastAsia="Times New Roman"/>
      <w:b/>
      <w:sz w:val="24"/>
      <w:szCs w:val="24"/>
      <w:vertAlign w:val="superscript"/>
      <w:lang w:eastAsia="ru-RU"/>
    </w:rPr>
  </w:style>
  <w:style w:type="paragraph" w:styleId="1110">
    <w:name w:val="endnote text"/>
    <w:basedOn w:val="1086"/>
    <w:link w:val="1111"/>
    <w:uiPriority w:val="99"/>
    <w:semiHidden/>
    <w:unhideWhenUsed/>
    <w:rPr>
      <w:sz w:val="20"/>
      <w:szCs w:val="20"/>
    </w:rPr>
  </w:style>
  <w:style w:type="character" w:styleId="1111" w:customStyle="1">
    <w:name w:val="Текст концевой сноски Знак"/>
    <w:basedOn w:val="1089"/>
    <w:link w:val="11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2">
    <w:name w:val="endnote reference"/>
    <w:basedOn w:val="1089"/>
    <w:uiPriority w:val="99"/>
    <w:semiHidden/>
    <w:unhideWhenUsed/>
    <w:rPr>
      <w:vertAlign w:val="superscript"/>
    </w:rPr>
  </w:style>
  <w:style w:type="paragraph" w:styleId="1113" w:customStyle="1">
    <w:name w:val="Нормальный"/>
    <w:pPr>
      <w:spacing w:after="0" w:line="240" w:lineRule="auto"/>
    </w:pPr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114">
    <w:name w:val="List Paragraph"/>
    <w:basedOn w:val="1086"/>
    <w:link w:val="1120"/>
    <w:uiPriority w:val="34"/>
    <w:qFormat/>
    <w:pPr>
      <w:contextualSpacing/>
      <w:ind w:left="720"/>
    </w:pPr>
  </w:style>
  <w:style w:type="paragraph" w:styleId="111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1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1117">
    <w:name w:val="Table Grid"/>
    <w:basedOn w:val="10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8">
    <w:name w:val="TOC Heading"/>
    <w:basedOn w:val="1087"/>
    <w:next w:val="1086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1119">
    <w:name w:val="toc 2"/>
    <w:basedOn w:val="1086"/>
    <w:next w:val="1086"/>
    <w:uiPriority w:val="39"/>
    <w:unhideWhenUsed/>
    <w:pPr>
      <w:ind w:left="240"/>
      <w:spacing w:after="100"/>
    </w:pPr>
  </w:style>
  <w:style w:type="character" w:styleId="1120" w:customStyle="1">
    <w:name w:val="Абзац списка Знак"/>
    <w:link w:val="1114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lbma.org.uk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501D-5C45-4E7B-BEE3-603F1BF2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RSHB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Kozlova-TV</dc:creator>
  <cp:revision>18</cp:revision>
  <dcterms:created xsi:type="dcterms:W3CDTF">2024-07-24T15:12:00Z</dcterms:created>
  <dcterms:modified xsi:type="dcterms:W3CDTF">2025-09-05T10:42:07Z</dcterms:modified>
</cp:coreProperties>
</file>